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FB242" w14:textId="73E3310A" w:rsidR="00943B33" w:rsidRPr="00E60FB8" w:rsidRDefault="00303743" w:rsidP="00943B33">
      <w:pPr>
        <w:spacing w:line="240" w:lineRule="auto"/>
        <w:rPr>
          <w:sz w:val="2"/>
          <w:lang w:val="en-US" w:eastAsia="ja-JP"/>
        </w:rPr>
      </w:pPr>
      <w:bookmarkStart w:id="0" w:name="_Hlk44500355"/>
      <w:bookmarkEnd w:id="0"/>
      <w:r>
        <w:rPr>
          <w:sz w:val="2"/>
          <w:lang w:val="en-US" w:eastAsia="ja-JP"/>
        </w:rPr>
        <w:t>ion</w:t>
      </w:r>
      <w:r w:rsidR="00FD6398">
        <w:rPr>
          <w:sz w:val="2"/>
          <w:lang w:val="en-US" w:eastAsia="ja-JP"/>
        </w:rPr>
        <w:t>b</w:t>
      </w:r>
    </w:p>
    <w:p w14:paraId="04DD5F57" w14:textId="3FE015C3" w:rsidR="00EA1A6E" w:rsidRPr="00EA1A6E" w:rsidRDefault="00EA1A6E" w:rsidP="00EA1A6E">
      <w:pPr>
        <w:spacing w:line="20" w:lineRule="exact"/>
        <w:rPr>
          <w:sz w:val="2"/>
        </w:rPr>
        <w:sectPr w:rsidR="00EA1A6E" w:rsidRPr="00EA1A6E" w:rsidSect="00BB1219">
          <w:headerReference w:type="even" r:id="rId11"/>
          <w:headerReference w:type="default" r:id="rId12"/>
          <w:footerReference w:type="even" r:id="rId13"/>
          <w:footerReference w:type="default" r:id="rId14"/>
          <w:footerReference w:type="first" r:id="rId15"/>
          <w:endnotePr>
            <w:numFmt w:val="decimal"/>
          </w:endnotePr>
          <w:type w:val="continuous"/>
          <w:pgSz w:w="12240" w:h="15840" w:code="1"/>
          <w:pgMar w:top="1742" w:right="1195" w:bottom="1901" w:left="1195" w:header="576" w:footer="878" w:gutter="0"/>
          <w:pgNumType w:start="1"/>
          <w:cols w:space="720"/>
          <w:noEndnote/>
          <w:titlePg/>
          <w:docGrid w:linePitch="278"/>
        </w:sectPr>
      </w:pPr>
    </w:p>
    <w:p w14:paraId="68126C59" w14:textId="77777777" w:rsidR="007A66B8" w:rsidRPr="007A66B8" w:rsidRDefault="007A66B8" w:rsidP="00C941FD">
      <w:pPr>
        <w:spacing w:line="240" w:lineRule="auto"/>
        <w:rPr>
          <w:b/>
          <w:sz w:val="32"/>
          <w:szCs w:val="32"/>
        </w:rPr>
      </w:pPr>
    </w:p>
    <w:p w14:paraId="2A6B3C46" w14:textId="68D20663" w:rsidR="00943B33" w:rsidRDefault="00C941FD" w:rsidP="00C941FD">
      <w:pPr>
        <w:spacing w:line="240" w:lineRule="auto"/>
        <w:rPr>
          <w:b/>
          <w:bCs/>
          <w:sz w:val="28"/>
          <w:szCs w:val="28"/>
        </w:rPr>
      </w:pPr>
      <w:r w:rsidRPr="00C941FD">
        <w:rPr>
          <w:b/>
          <w:bCs/>
          <w:sz w:val="28"/>
          <w:szCs w:val="28"/>
        </w:rPr>
        <w:t xml:space="preserve">Annex </w:t>
      </w:r>
      <w:r w:rsidR="00014B74">
        <w:rPr>
          <w:b/>
          <w:bCs/>
          <w:sz w:val="28"/>
          <w:szCs w:val="28"/>
        </w:rPr>
        <w:t>I</w:t>
      </w:r>
      <w:r w:rsidR="002161C6">
        <w:rPr>
          <w:b/>
          <w:bCs/>
          <w:sz w:val="28"/>
          <w:szCs w:val="28"/>
        </w:rPr>
        <w:t xml:space="preserve"> </w:t>
      </w:r>
      <w:r w:rsidRPr="00C941FD">
        <w:rPr>
          <w:b/>
          <w:bCs/>
          <w:sz w:val="28"/>
          <w:szCs w:val="28"/>
        </w:rPr>
        <w:t>to DP/2020/</w:t>
      </w:r>
      <w:r w:rsidR="004F3E51">
        <w:rPr>
          <w:b/>
          <w:bCs/>
          <w:sz w:val="28"/>
          <w:szCs w:val="28"/>
        </w:rPr>
        <w:t>2</w:t>
      </w:r>
      <w:r w:rsidR="00D249DF">
        <w:rPr>
          <w:b/>
          <w:bCs/>
          <w:sz w:val="28"/>
          <w:szCs w:val="28"/>
        </w:rPr>
        <w:t>0</w:t>
      </w:r>
    </w:p>
    <w:p w14:paraId="3A67C518" w14:textId="5C4BF960" w:rsidR="005E3EFB" w:rsidRPr="00C941FD" w:rsidRDefault="0085388E" w:rsidP="00C941FD">
      <w:pPr>
        <w:spacing w:line="240" w:lineRule="auto"/>
        <w:rPr>
          <w:b/>
          <w:bCs/>
          <w:sz w:val="28"/>
          <w:szCs w:val="28"/>
        </w:rPr>
      </w:pPr>
      <w:r>
        <w:rPr>
          <w:b/>
          <w:bCs/>
          <w:sz w:val="28"/>
          <w:szCs w:val="28"/>
        </w:rPr>
        <w:t>Detailed a</w:t>
      </w:r>
      <w:r w:rsidR="005E3EFB">
        <w:rPr>
          <w:b/>
          <w:bCs/>
          <w:sz w:val="28"/>
          <w:szCs w:val="28"/>
        </w:rPr>
        <w:t>nnual review of the financial situation, 2019</w:t>
      </w:r>
    </w:p>
    <w:p w14:paraId="6EF40020" w14:textId="1A405042" w:rsidR="00E605A4" w:rsidRPr="000E57AE" w:rsidRDefault="00E605A4">
      <w:pPr>
        <w:suppressAutoHyphens w:val="0"/>
        <w:spacing w:line="240" w:lineRule="auto"/>
      </w:pPr>
    </w:p>
    <w:p w14:paraId="21B5BC65" w14:textId="3BEEE11D" w:rsidR="00E605A4" w:rsidRDefault="00E605A4" w:rsidP="00D925ED">
      <w:pPr>
        <w:pStyle w:val="HCh"/>
        <w:spacing w:after="120"/>
        <w:outlineLvl w:val="9"/>
        <w:rPr>
          <w:b w:val="0"/>
        </w:rPr>
      </w:pPr>
      <w:r w:rsidRPr="000E57AE">
        <w:rPr>
          <w:b w:val="0"/>
        </w:rPr>
        <w:t>Contents</w:t>
      </w:r>
    </w:p>
    <w:sdt>
      <w:sdtPr>
        <w:id w:val="221801565"/>
        <w:docPartObj>
          <w:docPartGallery w:val="Table of Contents"/>
          <w:docPartUnique/>
        </w:docPartObj>
      </w:sdtPr>
      <w:sdtEndPr>
        <w:rPr>
          <w:b/>
          <w:bCs/>
          <w:noProof/>
        </w:rPr>
      </w:sdtEndPr>
      <w:sdtContent>
        <w:p w14:paraId="0CEE1A7A" w14:textId="7C3A26CD" w:rsidR="00A03991" w:rsidRDefault="002E6FA7">
          <w:pPr>
            <w:pStyle w:val="TOC1"/>
            <w:rPr>
              <w:rFonts w:asciiTheme="minorHAnsi" w:eastAsiaTheme="minorEastAsia" w:hAnsiTheme="minorHAnsi" w:cstheme="minorBidi"/>
              <w:noProof/>
              <w:spacing w:val="0"/>
              <w:w w:val="100"/>
              <w:kern w:val="0"/>
              <w:sz w:val="22"/>
              <w:szCs w:val="22"/>
              <w:lang w:val="en-US" w:eastAsia="ja-JP"/>
            </w:rPr>
          </w:pPr>
          <w:r>
            <w:fldChar w:fldCharType="begin"/>
          </w:r>
          <w:r>
            <w:instrText xml:space="preserve"> TOC \o "1-3" \h \z \u </w:instrText>
          </w:r>
          <w:r>
            <w:fldChar w:fldCharType="separate"/>
          </w:r>
          <w:hyperlink w:anchor="_Toc46399191" w:history="1">
            <w:r w:rsidR="00A03991" w:rsidRPr="000679E9">
              <w:rPr>
                <w:rStyle w:val="Hyperlink"/>
                <w:noProof/>
              </w:rPr>
              <w:t>I.</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Introduction</w:t>
            </w:r>
            <w:r w:rsidR="00A03991">
              <w:rPr>
                <w:noProof/>
                <w:webHidden/>
              </w:rPr>
              <w:tab/>
            </w:r>
            <w:r w:rsidR="00A03991">
              <w:rPr>
                <w:noProof/>
                <w:webHidden/>
              </w:rPr>
              <w:fldChar w:fldCharType="begin"/>
            </w:r>
            <w:r w:rsidR="00A03991">
              <w:rPr>
                <w:noProof/>
                <w:webHidden/>
              </w:rPr>
              <w:instrText xml:space="preserve"> PAGEREF _Toc46399191 \h </w:instrText>
            </w:r>
            <w:r w:rsidR="00A03991">
              <w:rPr>
                <w:noProof/>
                <w:webHidden/>
              </w:rPr>
            </w:r>
            <w:r w:rsidR="00A03991">
              <w:rPr>
                <w:noProof/>
                <w:webHidden/>
              </w:rPr>
              <w:fldChar w:fldCharType="separate"/>
            </w:r>
            <w:r w:rsidR="00CA29C3">
              <w:rPr>
                <w:noProof/>
                <w:webHidden/>
              </w:rPr>
              <w:t>2</w:t>
            </w:r>
            <w:r w:rsidR="00A03991">
              <w:rPr>
                <w:noProof/>
                <w:webHidden/>
              </w:rPr>
              <w:fldChar w:fldCharType="end"/>
            </w:r>
          </w:hyperlink>
        </w:p>
        <w:p w14:paraId="257A7CDC" w14:textId="45A1B41D" w:rsidR="00A03991" w:rsidRDefault="00F13857">
          <w:pPr>
            <w:pStyle w:val="TOC1"/>
            <w:rPr>
              <w:rFonts w:asciiTheme="minorHAnsi" w:eastAsiaTheme="minorEastAsia" w:hAnsiTheme="minorHAnsi" w:cstheme="minorBidi"/>
              <w:noProof/>
              <w:spacing w:val="0"/>
              <w:w w:val="100"/>
              <w:kern w:val="0"/>
              <w:sz w:val="22"/>
              <w:szCs w:val="22"/>
              <w:lang w:val="en-US" w:eastAsia="ja-JP"/>
            </w:rPr>
          </w:pPr>
          <w:hyperlink w:anchor="_Toc46399192" w:history="1">
            <w:r w:rsidR="00A03991" w:rsidRPr="000679E9">
              <w:rPr>
                <w:rStyle w:val="Hyperlink"/>
                <w:noProof/>
              </w:rPr>
              <w:t>II.</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Overview</w:t>
            </w:r>
            <w:r w:rsidR="00A03991">
              <w:rPr>
                <w:noProof/>
                <w:webHidden/>
              </w:rPr>
              <w:tab/>
            </w:r>
            <w:r w:rsidR="00A03991">
              <w:rPr>
                <w:noProof/>
                <w:webHidden/>
              </w:rPr>
              <w:fldChar w:fldCharType="begin"/>
            </w:r>
            <w:r w:rsidR="00A03991">
              <w:rPr>
                <w:noProof/>
                <w:webHidden/>
              </w:rPr>
              <w:instrText xml:space="preserve"> PAGEREF _Toc46399192 \h </w:instrText>
            </w:r>
            <w:r w:rsidR="00A03991">
              <w:rPr>
                <w:noProof/>
                <w:webHidden/>
              </w:rPr>
            </w:r>
            <w:r w:rsidR="00A03991">
              <w:rPr>
                <w:noProof/>
                <w:webHidden/>
              </w:rPr>
              <w:fldChar w:fldCharType="separate"/>
            </w:r>
            <w:r w:rsidR="00CA29C3">
              <w:rPr>
                <w:noProof/>
                <w:webHidden/>
              </w:rPr>
              <w:t>2</w:t>
            </w:r>
            <w:r w:rsidR="00A03991">
              <w:rPr>
                <w:noProof/>
                <w:webHidden/>
              </w:rPr>
              <w:fldChar w:fldCharType="end"/>
            </w:r>
          </w:hyperlink>
        </w:p>
        <w:p w14:paraId="6714C2C9" w14:textId="584A4AEA" w:rsidR="00A03991" w:rsidRDefault="00F13857">
          <w:pPr>
            <w:pStyle w:val="TOC1"/>
            <w:rPr>
              <w:rFonts w:asciiTheme="minorHAnsi" w:eastAsiaTheme="minorEastAsia" w:hAnsiTheme="minorHAnsi" w:cstheme="minorBidi"/>
              <w:noProof/>
              <w:spacing w:val="0"/>
              <w:w w:val="100"/>
              <w:kern w:val="0"/>
              <w:sz w:val="22"/>
              <w:szCs w:val="22"/>
              <w:lang w:val="en-US" w:eastAsia="ja-JP"/>
            </w:rPr>
          </w:pPr>
          <w:hyperlink w:anchor="_Toc46399193" w:history="1">
            <w:r w:rsidR="00A03991" w:rsidRPr="000679E9">
              <w:rPr>
                <w:rStyle w:val="Hyperlink"/>
                <w:noProof/>
              </w:rPr>
              <w:t>III.</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Financial highlights for 2019</w:t>
            </w:r>
            <w:r w:rsidR="00A03991">
              <w:rPr>
                <w:noProof/>
                <w:webHidden/>
              </w:rPr>
              <w:tab/>
            </w:r>
            <w:r w:rsidR="00A03991">
              <w:rPr>
                <w:noProof/>
                <w:webHidden/>
              </w:rPr>
              <w:fldChar w:fldCharType="begin"/>
            </w:r>
            <w:r w:rsidR="00A03991">
              <w:rPr>
                <w:noProof/>
                <w:webHidden/>
              </w:rPr>
              <w:instrText xml:space="preserve"> PAGEREF _Toc46399193 \h </w:instrText>
            </w:r>
            <w:r w:rsidR="00A03991">
              <w:rPr>
                <w:noProof/>
                <w:webHidden/>
              </w:rPr>
            </w:r>
            <w:r w:rsidR="00A03991">
              <w:rPr>
                <w:noProof/>
                <w:webHidden/>
              </w:rPr>
              <w:fldChar w:fldCharType="separate"/>
            </w:r>
            <w:r w:rsidR="00CA29C3">
              <w:rPr>
                <w:noProof/>
                <w:webHidden/>
              </w:rPr>
              <w:t>5</w:t>
            </w:r>
            <w:r w:rsidR="00A03991">
              <w:rPr>
                <w:noProof/>
                <w:webHidden/>
              </w:rPr>
              <w:fldChar w:fldCharType="end"/>
            </w:r>
          </w:hyperlink>
        </w:p>
        <w:p w14:paraId="22818212" w14:textId="7D04A76F" w:rsidR="00A03991" w:rsidRDefault="00F13857">
          <w:pPr>
            <w:pStyle w:val="TOC2"/>
            <w:rPr>
              <w:rFonts w:asciiTheme="minorHAnsi" w:eastAsiaTheme="minorEastAsia" w:hAnsiTheme="minorHAnsi" w:cstheme="minorBidi"/>
              <w:noProof/>
              <w:spacing w:val="0"/>
              <w:w w:val="100"/>
              <w:kern w:val="0"/>
              <w:sz w:val="22"/>
              <w:szCs w:val="22"/>
              <w:lang w:val="en-US" w:eastAsia="ja-JP"/>
            </w:rPr>
          </w:pPr>
          <w:hyperlink w:anchor="_Toc46399194" w:history="1">
            <w:r w:rsidR="00A03991" w:rsidRPr="000679E9">
              <w:rPr>
                <w:rStyle w:val="Hyperlink"/>
                <w:noProof/>
              </w:rPr>
              <w:t>A.</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Summary of UNDP financial situation</w:t>
            </w:r>
            <w:r w:rsidR="00A03991">
              <w:rPr>
                <w:noProof/>
                <w:webHidden/>
              </w:rPr>
              <w:tab/>
            </w:r>
            <w:r w:rsidR="00A03991">
              <w:rPr>
                <w:noProof/>
                <w:webHidden/>
              </w:rPr>
              <w:fldChar w:fldCharType="begin"/>
            </w:r>
            <w:r w:rsidR="00A03991">
              <w:rPr>
                <w:noProof/>
                <w:webHidden/>
              </w:rPr>
              <w:instrText xml:space="preserve"> PAGEREF _Toc46399194 \h </w:instrText>
            </w:r>
            <w:r w:rsidR="00A03991">
              <w:rPr>
                <w:noProof/>
                <w:webHidden/>
              </w:rPr>
            </w:r>
            <w:r w:rsidR="00A03991">
              <w:rPr>
                <w:noProof/>
                <w:webHidden/>
              </w:rPr>
              <w:fldChar w:fldCharType="separate"/>
            </w:r>
            <w:r w:rsidR="00CA29C3">
              <w:rPr>
                <w:noProof/>
                <w:webHidden/>
              </w:rPr>
              <w:t>5</w:t>
            </w:r>
            <w:r w:rsidR="00A03991">
              <w:rPr>
                <w:noProof/>
                <w:webHidden/>
              </w:rPr>
              <w:fldChar w:fldCharType="end"/>
            </w:r>
          </w:hyperlink>
        </w:p>
        <w:p w14:paraId="5D67B957" w14:textId="0D221783" w:rsidR="00A03991" w:rsidRDefault="00F13857">
          <w:pPr>
            <w:pStyle w:val="TOC2"/>
            <w:rPr>
              <w:rFonts w:asciiTheme="minorHAnsi" w:eastAsiaTheme="minorEastAsia" w:hAnsiTheme="minorHAnsi" w:cstheme="minorBidi"/>
              <w:noProof/>
              <w:spacing w:val="0"/>
              <w:w w:val="100"/>
              <w:kern w:val="0"/>
              <w:sz w:val="22"/>
              <w:szCs w:val="22"/>
              <w:lang w:val="en-US" w:eastAsia="ja-JP"/>
            </w:rPr>
          </w:pPr>
          <w:hyperlink w:anchor="_Toc46399195" w:history="1">
            <w:r w:rsidR="00A03991" w:rsidRPr="000679E9">
              <w:rPr>
                <w:rStyle w:val="Hyperlink"/>
                <w:noProof/>
              </w:rPr>
              <w:t>B.</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Revenue</w:t>
            </w:r>
            <w:r w:rsidR="00A03991">
              <w:rPr>
                <w:noProof/>
                <w:webHidden/>
              </w:rPr>
              <w:tab/>
            </w:r>
            <w:r w:rsidR="00A03991">
              <w:rPr>
                <w:noProof/>
                <w:webHidden/>
              </w:rPr>
              <w:fldChar w:fldCharType="begin"/>
            </w:r>
            <w:r w:rsidR="00A03991">
              <w:rPr>
                <w:noProof/>
                <w:webHidden/>
              </w:rPr>
              <w:instrText xml:space="preserve"> PAGEREF _Toc46399195 \h </w:instrText>
            </w:r>
            <w:r w:rsidR="00A03991">
              <w:rPr>
                <w:noProof/>
                <w:webHidden/>
              </w:rPr>
            </w:r>
            <w:r w:rsidR="00A03991">
              <w:rPr>
                <w:noProof/>
                <w:webHidden/>
              </w:rPr>
              <w:fldChar w:fldCharType="separate"/>
            </w:r>
            <w:r w:rsidR="00CA29C3">
              <w:rPr>
                <w:noProof/>
                <w:webHidden/>
              </w:rPr>
              <w:t>6</w:t>
            </w:r>
            <w:r w:rsidR="00A03991">
              <w:rPr>
                <w:noProof/>
                <w:webHidden/>
              </w:rPr>
              <w:fldChar w:fldCharType="end"/>
            </w:r>
          </w:hyperlink>
        </w:p>
        <w:p w14:paraId="2BAB7184" w14:textId="68A0D186" w:rsidR="00A03991" w:rsidRDefault="00F13857">
          <w:pPr>
            <w:pStyle w:val="TOC2"/>
            <w:rPr>
              <w:rFonts w:asciiTheme="minorHAnsi" w:eastAsiaTheme="minorEastAsia" w:hAnsiTheme="minorHAnsi" w:cstheme="minorBidi"/>
              <w:noProof/>
              <w:spacing w:val="0"/>
              <w:w w:val="100"/>
              <w:kern w:val="0"/>
              <w:sz w:val="22"/>
              <w:szCs w:val="22"/>
              <w:lang w:val="en-US" w:eastAsia="ja-JP"/>
            </w:rPr>
          </w:pPr>
          <w:hyperlink w:anchor="_Toc46399203" w:history="1">
            <w:r w:rsidR="00A03991" w:rsidRPr="000679E9">
              <w:rPr>
                <w:rStyle w:val="Hyperlink"/>
                <w:noProof/>
              </w:rPr>
              <w:t>C.</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Expenses</w:t>
            </w:r>
            <w:r w:rsidR="00A03991">
              <w:rPr>
                <w:noProof/>
                <w:webHidden/>
              </w:rPr>
              <w:tab/>
            </w:r>
            <w:r w:rsidR="00A03991">
              <w:rPr>
                <w:noProof/>
                <w:webHidden/>
              </w:rPr>
              <w:fldChar w:fldCharType="begin"/>
            </w:r>
            <w:r w:rsidR="00A03991">
              <w:rPr>
                <w:noProof/>
                <w:webHidden/>
              </w:rPr>
              <w:instrText xml:space="preserve"> PAGEREF _Toc46399203 \h </w:instrText>
            </w:r>
            <w:r w:rsidR="00A03991">
              <w:rPr>
                <w:noProof/>
                <w:webHidden/>
              </w:rPr>
            </w:r>
            <w:r w:rsidR="00A03991">
              <w:rPr>
                <w:noProof/>
                <w:webHidden/>
              </w:rPr>
              <w:fldChar w:fldCharType="separate"/>
            </w:r>
            <w:r w:rsidR="00CA29C3">
              <w:rPr>
                <w:noProof/>
                <w:webHidden/>
              </w:rPr>
              <w:t>10</w:t>
            </w:r>
            <w:r w:rsidR="00A03991">
              <w:rPr>
                <w:noProof/>
                <w:webHidden/>
              </w:rPr>
              <w:fldChar w:fldCharType="end"/>
            </w:r>
          </w:hyperlink>
        </w:p>
        <w:p w14:paraId="142C0582" w14:textId="2BA87036" w:rsidR="00A03991" w:rsidRDefault="00F13857">
          <w:pPr>
            <w:pStyle w:val="TOC1"/>
            <w:rPr>
              <w:rFonts w:asciiTheme="minorHAnsi" w:eastAsiaTheme="minorEastAsia" w:hAnsiTheme="minorHAnsi" w:cstheme="minorBidi"/>
              <w:noProof/>
              <w:spacing w:val="0"/>
              <w:w w:val="100"/>
              <w:kern w:val="0"/>
              <w:sz w:val="22"/>
              <w:szCs w:val="22"/>
              <w:lang w:val="en-US" w:eastAsia="ja-JP"/>
            </w:rPr>
          </w:pPr>
          <w:hyperlink w:anchor="_Toc46399212" w:history="1">
            <w:r w:rsidR="00A03991" w:rsidRPr="000679E9">
              <w:rPr>
                <w:rStyle w:val="Hyperlink"/>
                <w:noProof/>
              </w:rPr>
              <w:t>IV.</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Financial position</w:t>
            </w:r>
            <w:r w:rsidR="00A03991">
              <w:rPr>
                <w:noProof/>
                <w:webHidden/>
              </w:rPr>
              <w:tab/>
            </w:r>
            <w:r w:rsidR="00A03991">
              <w:rPr>
                <w:noProof/>
                <w:webHidden/>
              </w:rPr>
              <w:fldChar w:fldCharType="begin"/>
            </w:r>
            <w:r w:rsidR="00A03991">
              <w:rPr>
                <w:noProof/>
                <w:webHidden/>
              </w:rPr>
              <w:instrText xml:space="preserve"> PAGEREF _Toc46399212 \h </w:instrText>
            </w:r>
            <w:r w:rsidR="00A03991">
              <w:rPr>
                <w:noProof/>
                <w:webHidden/>
              </w:rPr>
            </w:r>
            <w:r w:rsidR="00A03991">
              <w:rPr>
                <w:noProof/>
                <w:webHidden/>
              </w:rPr>
              <w:fldChar w:fldCharType="separate"/>
            </w:r>
            <w:r w:rsidR="00CA29C3">
              <w:rPr>
                <w:noProof/>
                <w:webHidden/>
              </w:rPr>
              <w:t>16</w:t>
            </w:r>
            <w:r w:rsidR="00A03991">
              <w:rPr>
                <w:noProof/>
                <w:webHidden/>
              </w:rPr>
              <w:fldChar w:fldCharType="end"/>
            </w:r>
          </w:hyperlink>
        </w:p>
        <w:p w14:paraId="77DC1760" w14:textId="3C1CFD75" w:rsidR="00A03991" w:rsidRDefault="00F13857">
          <w:pPr>
            <w:pStyle w:val="TOC2"/>
            <w:rPr>
              <w:rFonts w:asciiTheme="minorHAnsi" w:eastAsiaTheme="minorEastAsia" w:hAnsiTheme="minorHAnsi" w:cstheme="minorBidi"/>
              <w:noProof/>
              <w:spacing w:val="0"/>
              <w:w w:val="100"/>
              <w:kern w:val="0"/>
              <w:sz w:val="22"/>
              <w:szCs w:val="22"/>
              <w:lang w:val="en-US" w:eastAsia="ja-JP"/>
            </w:rPr>
          </w:pPr>
          <w:hyperlink w:anchor="_Toc46399213" w:history="1">
            <w:r w:rsidR="00A03991" w:rsidRPr="000679E9">
              <w:rPr>
                <w:rStyle w:val="Hyperlink"/>
                <w:noProof/>
              </w:rPr>
              <w:t>A.</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Assets</w:t>
            </w:r>
            <w:r w:rsidR="00A03991">
              <w:rPr>
                <w:noProof/>
                <w:webHidden/>
              </w:rPr>
              <w:tab/>
            </w:r>
            <w:r w:rsidR="00A03991">
              <w:rPr>
                <w:noProof/>
                <w:webHidden/>
              </w:rPr>
              <w:fldChar w:fldCharType="begin"/>
            </w:r>
            <w:r w:rsidR="00A03991">
              <w:rPr>
                <w:noProof/>
                <w:webHidden/>
              </w:rPr>
              <w:instrText xml:space="preserve"> PAGEREF _Toc46399213 \h </w:instrText>
            </w:r>
            <w:r w:rsidR="00A03991">
              <w:rPr>
                <w:noProof/>
                <w:webHidden/>
              </w:rPr>
            </w:r>
            <w:r w:rsidR="00A03991">
              <w:rPr>
                <w:noProof/>
                <w:webHidden/>
              </w:rPr>
              <w:fldChar w:fldCharType="separate"/>
            </w:r>
            <w:r w:rsidR="00CA29C3">
              <w:rPr>
                <w:noProof/>
                <w:webHidden/>
              </w:rPr>
              <w:t>16</w:t>
            </w:r>
            <w:r w:rsidR="00A03991">
              <w:rPr>
                <w:noProof/>
                <w:webHidden/>
              </w:rPr>
              <w:fldChar w:fldCharType="end"/>
            </w:r>
          </w:hyperlink>
        </w:p>
        <w:p w14:paraId="50D299EE" w14:textId="5304CE9B" w:rsidR="00A03991" w:rsidRDefault="00F13857">
          <w:pPr>
            <w:pStyle w:val="TOC2"/>
            <w:rPr>
              <w:rFonts w:asciiTheme="minorHAnsi" w:eastAsiaTheme="minorEastAsia" w:hAnsiTheme="minorHAnsi" w:cstheme="minorBidi"/>
              <w:noProof/>
              <w:spacing w:val="0"/>
              <w:w w:val="100"/>
              <w:kern w:val="0"/>
              <w:sz w:val="22"/>
              <w:szCs w:val="22"/>
              <w:lang w:val="en-US" w:eastAsia="ja-JP"/>
            </w:rPr>
          </w:pPr>
          <w:hyperlink w:anchor="_Toc46399216" w:history="1">
            <w:r w:rsidR="00A03991" w:rsidRPr="000679E9">
              <w:rPr>
                <w:rStyle w:val="Hyperlink"/>
                <w:noProof/>
              </w:rPr>
              <w:t>B.</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Liabilities</w:t>
            </w:r>
            <w:r w:rsidR="00A03991">
              <w:rPr>
                <w:noProof/>
                <w:webHidden/>
              </w:rPr>
              <w:tab/>
            </w:r>
            <w:r w:rsidR="00A03991">
              <w:rPr>
                <w:noProof/>
                <w:webHidden/>
              </w:rPr>
              <w:fldChar w:fldCharType="begin"/>
            </w:r>
            <w:r w:rsidR="00A03991">
              <w:rPr>
                <w:noProof/>
                <w:webHidden/>
              </w:rPr>
              <w:instrText xml:space="preserve"> PAGEREF _Toc46399216 \h </w:instrText>
            </w:r>
            <w:r w:rsidR="00A03991">
              <w:rPr>
                <w:noProof/>
                <w:webHidden/>
              </w:rPr>
            </w:r>
            <w:r w:rsidR="00A03991">
              <w:rPr>
                <w:noProof/>
                <w:webHidden/>
              </w:rPr>
              <w:fldChar w:fldCharType="separate"/>
            </w:r>
            <w:r w:rsidR="00CA29C3">
              <w:rPr>
                <w:noProof/>
                <w:webHidden/>
              </w:rPr>
              <w:t>17</w:t>
            </w:r>
            <w:r w:rsidR="00A03991">
              <w:rPr>
                <w:noProof/>
                <w:webHidden/>
              </w:rPr>
              <w:fldChar w:fldCharType="end"/>
            </w:r>
          </w:hyperlink>
        </w:p>
        <w:p w14:paraId="3A682909" w14:textId="42659E6C" w:rsidR="00A03991" w:rsidRDefault="00F13857">
          <w:pPr>
            <w:pStyle w:val="TOC2"/>
            <w:rPr>
              <w:rFonts w:asciiTheme="minorHAnsi" w:eastAsiaTheme="minorEastAsia" w:hAnsiTheme="minorHAnsi" w:cstheme="minorBidi"/>
              <w:noProof/>
              <w:spacing w:val="0"/>
              <w:w w:val="100"/>
              <w:kern w:val="0"/>
              <w:sz w:val="22"/>
              <w:szCs w:val="22"/>
              <w:lang w:val="en-US" w:eastAsia="ja-JP"/>
            </w:rPr>
          </w:pPr>
          <w:hyperlink w:anchor="_Toc46399217" w:history="1">
            <w:r w:rsidR="00A03991" w:rsidRPr="000679E9">
              <w:rPr>
                <w:rStyle w:val="Hyperlink"/>
                <w:noProof/>
              </w:rPr>
              <w:t>C.</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Accumulated Surplus</w:t>
            </w:r>
            <w:r w:rsidR="00A03991">
              <w:rPr>
                <w:noProof/>
                <w:webHidden/>
              </w:rPr>
              <w:tab/>
            </w:r>
            <w:r w:rsidR="00A03991">
              <w:rPr>
                <w:noProof/>
                <w:webHidden/>
              </w:rPr>
              <w:fldChar w:fldCharType="begin"/>
            </w:r>
            <w:r w:rsidR="00A03991">
              <w:rPr>
                <w:noProof/>
                <w:webHidden/>
              </w:rPr>
              <w:instrText xml:space="preserve"> PAGEREF _Toc46399217 \h </w:instrText>
            </w:r>
            <w:r w:rsidR="00A03991">
              <w:rPr>
                <w:noProof/>
                <w:webHidden/>
              </w:rPr>
            </w:r>
            <w:r w:rsidR="00A03991">
              <w:rPr>
                <w:noProof/>
                <w:webHidden/>
              </w:rPr>
              <w:fldChar w:fldCharType="separate"/>
            </w:r>
            <w:r w:rsidR="00CA29C3">
              <w:rPr>
                <w:noProof/>
                <w:webHidden/>
              </w:rPr>
              <w:t>18</w:t>
            </w:r>
            <w:r w:rsidR="00A03991">
              <w:rPr>
                <w:noProof/>
                <w:webHidden/>
              </w:rPr>
              <w:fldChar w:fldCharType="end"/>
            </w:r>
          </w:hyperlink>
        </w:p>
        <w:p w14:paraId="48FB157C" w14:textId="4AC61B94" w:rsidR="00A03991" w:rsidRDefault="00F13857">
          <w:pPr>
            <w:pStyle w:val="TOC1"/>
            <w:rPr>
              <w:rFonts w:asciiTheme="minorHAnsi" w:eastAsiaTheme="minorEastAsia" w:hAnsiTheme="minorHAnsi" w:cstheme="minorBidi"/>
              <w:noProof/>
              <w:spacing w:val="0"/>
              <w:w w:val="100"/>
              <w:kern w:val="0"/>
              <w:sz w:val="22"/>
              <w:szCs w:val="22"/>
              <w:lang w:val="en-US" w:eastAsia="ja-JP"/>
            </w:rPr>
          </w:pPr>
          <w:hyperlink w:anchor="_Toc46399219" w:history="1">
            <w:r w:rsidR="00A03991" w:rsidRPr="000679E9">
              <w:rPr>
                <w:rStyle w:val="Hyperlink"/>
                <w:noProof/>
              </w:rPr>
              <w:t>V.</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Others</w:t>
            </w:r>
            <w:r w:rsidR="00A03991">
              <w:rPr>
                <w:noProof/>
                <w:webHidden/>
              </w:rPr>
              <w:tab/>
            </w:r>
            <w:r w:rsidR="00A03991">
              <w:rPr>
                <w:noProof/>
                <w:webHidden/>
              </w:rPr>
              <w:fldChar w:fldCharType="begin"/>
            </w:r>
            <w:r w:rsidR="00A03991">
              <w:rPr>
                <w:noProof/>
                <w:webHidden/>
              </w:rPr>
              <w:instrText xml:space="preserve"> PAGEREF _Toc46399219 \h </w:instrText>
            </w:r>
            <w:r w:rsidR="00A03991">
              <w:rPr>
                <w:noProof/>
                <w:webHidden/>
              </w:rPr>
            </w:r>
            <w:r w:rsidR="00A03991">
              <w:rPr>
                <w:noProof/>
                <w:webHidden/>
              </w:rPr>
              <w:fldChar w:fldCharType="separate"/>
            </w:r>
            <w:r w:rsidR="00CA29C3">
              <w:rPr>
                <w:noProof/>
                <w:webHidden/>
              </w:rPr>
              <w:t>20</w:t>
            </w:r>
            <w:r w:rsidR="00A03991">
              <w:rPr>
                <w:noProof/>
                <w:webHidden/>
              </w:rPr>
              <w:fldChar w:fldCharType="end"/>
            </w:r>
          </w:hyperlink>
        </w:p>
        <w:p w14:paraId="0588CFB9" w14:textId="45DD8FEE" w:rsidR="00A03991" w:rsidRDefault="00F13857">
          <w:pPr>
            <w:pStyle w:val="TOC1"/>
            <w:rPr>
              <w:rFonts w:asciiTheme="minorHAnsi" w:eastAsiaTheme="minorEastAsia" w:hAnsiTheme="minorHAnsi" w:cstheme="minorBidi"/>
              <w:noProof/>
              <w:spacing w:val="0"/>
              <w:w w:val="100"/>
              <w:kern w:val="0"/>
              <w:sz w:val="22"/>
              <w:szCs w:val="22"/>
              <w:lang w:val="en-US" w:eastAsia="ja-JP"/>
            </w:rPr>
          </w:pPr>
          <w:hyperlink w:anchor="_Toc46399226" w:history="1">
            <w:r w:rsidR="00A03991" w:rsidRPr="000679E9">
              <w:rPr>
                <w:rStyle w:val="Hyperlink"/>
                <w:noProof/>
              </w:rPr>
              <w:t>VI.</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United Nations reform and support to United Nations organizations</w:t>
            </w:r>
            <w:r w:rsidR="00A03991">
              <w:rPr>
                <w:noProof/>
                <w:webHidden/>
              </w:rPr>
              <w:tab/>
            </w:r>
            <w:r w:rsidR="00A03991">
              <w:rPr>
                <w:noProof/>
                <w:webHidden/>
              </w:rPr>
              <w:fldChar w:fldCharType="begin"/>
            </w:r>
            <w:r w:rsidR="00A03991">
              <w:rPr>
                <w:noProof/>
                <w:webHidden/>
              </w:rPr>
              <w:instrText xml:space="preserve"> PAGEREF _Toc46399226 \h </w:instrText>
            </w:r>
            <w:r w:rsidR="00A03991">
              <w:rPr>
                <w:noProof/>
                <w:webHidden/>
              </w:rPr>
            </w:r>
            <w:r w:rsidR="00A03991">
              <w:rPr>
                <w:noProof/>
                <w:webHidden/>
              </w:rPr>
              <w:fldChar w:fldCharType="separate"/>
            </w:r>
            <w:r w:rsidR="00CA29C3">
              <w:rPr>
                <w:noProof/>
                <w:webHidden/>
              </w:rPr>
              <w:t>21</w:t>
            </w:r>
            <w:r w:rsidR="00A03991">
              <w:rPr>
                <w:noProof/>
                <w:webHidden/>
              </w:rPr>
              <w:fldChar w:fldCharType="end"/>
            </w:r>
          </w:hyperlink>
        </w:p>
        <w:p w14:paraId="6C959112" w14:textId="4D711B4D" w:rsidR="00A03991" w:rsidRDefault="00F13857">
          <w:pPr>
            <w:pStyle w:val="TOC2"/>
            <w:rPr>
              <w:rFonts w:asciiTheme="minorHAnsi" w:eastAsiaTheme="minorEastAsia" w:hAnsiTheme="minorHAnsi" w:cstheme="minorBidi"/>
              <w:noProof/>
              <w:spacing w:val="0"/>
              <w:w w:val="100"/>
              <w:kern w:val="0"/>
              <w:sz w:val="22"/>
              <w:szCs w:val="22"/>
              <w:lang w:val="en-US" w:eastAsia="ja-JP"/>
            </w:rPr>
          </w:pPr>
          <w:hyperlink w:anchor="_Toc46399227" w:history="1">
            <w:r w:rsidR="00A03991" w:rsidRPr="000679E9">
              <w:rPr>
                <w:rStyle w:val="Hyperlink"/>
                <w:noProof/>
              </w:rPr>
              <w:t>A.</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UNDP administrative agent function</w:t>
            </w:r>
            <w:r w:rsidR="00A03991">
              <w:rPr>
                <w:noProof/>
                <w:webHidden/>
              </w:rPr>
              <w:tab/>
            </w:r>
            <w:r w:rsidR="00A03991">
              <w:rPr>
                <w:noProof/>
                <w:webHidden/>
              </w:rPr>
              <w:fldChar w:fldCharType="begin"/>
            </w:r>
            <w:r w:rsidR="00A03991">
              <w:rPr>
                <w:noProof/>
                <w:webHidden/>
              </w:rPr>
              <w:instrText xml:space="preserve"> PAGEREF _Toc46399227 \h </w:instrText>
            </w:r>
            <w:r w:rsidR="00A03991">
              <w:rPr>
                <w:noProof/>
                <w:webHidden/>
              </w:rPr>
            </w:r>
            <w:r w:rsidR="00A03991">
              <w:rPr>
                <w:noProof/>
                <w:webHidden/>
              </w:rPr>
              <w:fldChar w:fldCharType="separate"/>
            </w:r>
            <w:r w:rsidR="00CA29C3">
              <w:rPr>
                <w:noProof/>
                <w:webHidden/>
              </w:rPr>
              <w:t>21</w:t>
            </w:r>
            <w:r w:rsidR="00A03991">
              <w:rPr>
                <w:noProof/>
                <w:webHidden/>
              </w:rPr>
              <w:fldChar w:fldCharType="end"/>
            </w:r>
          </w:hyperlink>
        </w:p>
        <w:p w14:paraId="40EB4777" w14:textId="04A270CF" w:rsidR="00A03991" w:rsidRDefault="00F13857">
          <w:pPr>
            <w:pStyle w:val="TOC2"/>
            <w:rPr>
              <w:rFonts w:asciiTheme="minorHAnsi" w:eastAsiaTheme="minorEastAsia" w:hAnsiTheme="minorHAnsi" w:cstheme="minorBidi"/>
              <w:noProof/>
              <w:spacing w:val="0"/>
              <w:w w:val="100"/>
              <w:kern w:val="0"/>
              <w:sz w:val="22"/>
              <w:szCs w:val="22"/>
              <w:lang w:val="en-US" w:eastAsia="ja-JP"/>
            </w:rPr>
          </w:pPr>
          <w:hyperlink w:anchor="_Toc46399228" w:history="1">
            <w:r w:rsidR="00A03991" w:rsidRPr="000679E9">
              <w:rPr>
                <w:rStyle w:val="Hyperlink"/>
                <w:noProof/>
              </w:rPr>
              <w:t>B.</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Support to United Nations organizations</w:t>
            </w:r>
            <w:r w:rsidR="00A03991">
              <w:rPr>
                <w:noProof/>
                <w:webHidden/>
              </w:rPr>
              <w:tab/>
            </w:r>
            <w:r w:rsidR="00A03991">
              <w:rPr>
                <w:noProof/>
                <w:webHidden/>
              </w:rPr>
              <w:fldChar w:fldCharType="begin"/>
            </w:r>
            <w:r w:rsidR="00A03991">
              <w:rPr>
                <w:noProof/>
                <w:webHidden/>
              </w:rPr>
              <w:instrText xml:space="preserve"> PAGEREF _Toc46399228 \h </w:instrText>
            </w:r>
            <w:r w:rsidR="00A03991">
              <w:rPr>
                <w:noProof/>
                <w:webHidden/>
              </w:rPr>
            </w:r>
            <w:r w:rsidR="00A03991">
              <w:rPr>
                <w:noProof/>
                <w:webHidden/>
              </w:rPr>
              <w:fldChar w:fldCharType="separate"/>
            </w:r>
            <w:r w:rsidR="00CA29C3">
              <w:rPr>
                <w:noProof/>
                <w:webHidden/>
              </w:rPr>
              <w:t>22</w:t>
            </w:r>
            <w:r w:rsidR="00A03991">
              <w:rPr>
                <w:noProof/>
                <w:webHidden/>
              </w:rPr>
              <w:fldChar w:fldCharType="end"/>
            </w:r>
          </w:hyperlink>
        </w:p>
        <w:p w14:paraId="1D2177AD" w14:textId="17368AA9" w:rsidR="00A03991" w:rsidRDefault="00F13857">
          <w:pPr>
            <w:pStyle w:val="TOC2"/>
            <w:rPr>
              <w:rFonts w:asciiTheme="minorHAnsi" w:eastAsiaTheme="minorEastAsia" w:hAnsiTheme="minorHAnsi" w:cstheme="minorBidi"/>
              <w:noProof/>
              <w:spacing w:val="0"/>
              <w:w w:val="100"/>
              <w:kern w:val="0"/>
              <w:sz w:val="22"/>
              <w:szCs w:val="22"/>
              <w:lang w:val="en-US" w:eastAsia="ja-JP"/>
            </w:rPr>
          </w:pPr>
          <w:hyperlink w:anchor="_Toc46399229" w:history="1">
            <w:r w:rsidR="00A03991" w:rsidRPr="000679E9">
              <w:rPr>
                <w:rStyle w:val="Hyperlink"/>
                <w:noProof/>
              </w:rPr>
              <w:t>C.</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United Nations development coordination activities</w:t>
            </w:r>
            <w:r w:rsidR="00A03991">
              <w:rPr>
                <w:noProof/>
                <w:webHidden/>
              </w:rPr>
              <w:tab/>
            </w:r>
            <w:r w:rsidR="00A03991">
              <w:rPr>
                <w:noProof/>
                <w:webHidden/>
              </w:rPr>
              <w:fldChar w:fldCharType="begin"/>
            </w:r>
            <w:r w:rsidR="00A03991">
              <w:rPr>
                <w:noProof/>
                <w:webHidden/>
              </w:rPr>
              <w:instrText xml:space="preserve"> PAGEREF _Toc46399229 \h </w:instrText>
            </w:r>
            <w:r w:rsidR="00A03991">
              <w:rPr>
                <w:noProof/>
                <w:webHidden/>
              </w:rPr>
            </w:r>
            <w:r w:rsidR="00A03991">
              <w:rPr>
                <w:noProof/>
                <w:webHidden/>
              </w:rPr>
              <w:fldChar w:fldCharType="separate"/>
            </w:r>
            <w:r w:rsidR="00CA29C3">
              <w:rPr>
                <w:noProof/>
                <w:webHidden/>
              </w:rPr>
              <w:t>22</w:t>
            </w:r>
            <w:r w:rsidR="00A03991">
              <w:rPr>
                <w:noProof/>
                <w:webHidden/>
              </w:rPr>
              <w:fldChar w:fldCharType="end"/>
            </w:r>
          </w:hyperlink>
        </w:p>
        <w:p w14:paraId="27F8DA5A" w14:textId="1309687E" w:rsidR="00A03991" w:rsidRDefault="00F13857">
          <w:pPr>
            <w:pStyle w:val="TOC2"/>
            <w:rPr>
              <w:rFonts w:asciiTheme="minorHAnsi" w:eastAsiaTheme="minorEastAsia" w:hAnsiTheme="minorHAnsi" w:cstheme="minorBidi"/>
              <w:noProof/>
              <w:spacing w:val="0"/>
              <w:w w:val="100"/>
              <w:kern w:val="0"/>
              <w:sz w:val="22"/>
              <w:szCs w:val="22"/>
              <w:lang w:val="en-US" w:eastAsia="ja-JP"/>
            </w:rPr>
          </w:pPr>
          <w:hyperlink w:anchor="_Toc46399230" w:history="1">
            <w:r w:rsidR="00A03991" w:rsidRPr="000679E9">
              <w:rPr>
                <w:rStyle w:val="Hyperlink"/>
                <w:noProof/>
              </w:rPr>
              <w:t>D.</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United Nations-mandated security costs</w:t>
            </w:r>
            <w:r w:rsidR="00A03991">
              <w:rPr>
                <w:noProof/>
                <w:webHidden/>
              </w:rPr>
              <w:tab/>
            </w:r>
            <w:r w:rsidR="00A03991">
              <w:rPr>
                <w:noProof/>
                <w:webHidden/>
              </w:rPr>
              <w:fldChar w:fldCharType="begin"/>
            </w:r>
            <w:r w:rsidR="00A03991">
              <w:rPr>
                <w:noProof/>
                <w:webHidden/>
              </w:rPr>
              <w:instrText xml:space="preserve"> PAGEREF _Toc46399230 \h </w:instrText>
            </w:r>
            <w:r w:rsidR="00A03991">
              <w:rPr>
                <w:noProof/>
                <w:webHidden/>
              </w:rPr>
            </w:r>
            <w:r w:rsidR="00A03991">
              <w:rPr>
                <w:noProof/>
                <w:webHidden/>
              </w:rPr>
              <w:fldChar w:fldCharType="separate"/>
            </w:r>
            <w:r w:rsidR="00CA29C3">
              <w:rPr>
                <w:noProof/>
                <w:webHidden/>
              </w:rPr>
              <w:t>22</w:t>
            </w:r>
            <w:r w:rsidR="00A03991">
              <w:rPr>
                <w:noProof/>
                <w:webHidden/>
              </w:rPr>
              <w:fldChar w:fldCharType="end"/>
            </w:r>
          </w:hyperlink>
        </w:p>
        <w:p w14:paraId="10DD7282" w14:textId="251F8C29" w:rsidR="00A03991" w:rsidRDefault="00F13857">
          <w:pPr>
            <w:pStyle w:val="TOC1"/>
            <w:rPr>
              <w:rFonts w:asciiTheme="minorHAnsi" w:eastAsiaTheme="minorEastAsia" w:hAnsiTheme="minorHAnsi" w:cstheme="minorBidi"/>
              <w:noProof/>
              <w:spacing w:val="0"/>
              <w:w w:val="100"/>
              <w:kern w:val="0"/>
              <w:sz w:val="22"/>
              <w:szCs w:val="22"/>
              <w:lang w:val="en-US" w:eastAsia="ja-JP"/>
            </w:rPr>
          </w:pPr>
          <w:hyperlink w:anchor="_Toc46399231" w:history="1">
            <w:r w:rsidR="00A03991" w:rsidRPr="000679E9">
              <w:rPr>
                <w:rStyle w:val="Hyperlink"/>
                <w:noProof/>
              </w:rPr>
              <w:t>VII.</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‘Greening’ UNDP</w:t>
            </w:r>
            <w:r w:rsidR="00A03991">
              <w:rPr>
                <w:noProof/>
                <w:webHidden/>
              </w:rPr>
              <w:tab/>
            </w:r>
            <w:r w:rsidR="00A03991">
              <w:rPr>
                <w:noProof/>
                <w:webHidden/>
              </w:rPr>
              <w:fldChar w:fldCharType="begin"/>
            </w:r>
            <w:r w:rsidR="00A03991">
              <w:rPr>
                <w:noProof/>
                <w:webHidden/>
              </w:rPr>
              <w:instrText xml:space="preserve"> PAGEREF _Toc46399231 \h </w:instrText>
            </w:r>
            <w:r w:rsidR="00A03991">
              <w:rPr>
                <w:noProof/>
                <w:webHidden/>
              </w:rPr>
            </w:r>
            <w:r w:rsidR="00A03991">
              <w:rPr>
                <w:noProof/>
                <w:webHidden/>
              </w:rPr>
              <w:fldChar w:fldCharType="separate"/>
            </w:r>
            <w:r w:rsidR="00CA29C3">
              <w:rPr>
                <w:noProof/>
                <w:webHidden/>
              </w:rPr>
              <w:t>23</w:t>
            </w:r>
            <w:r w:rsidR="00A03991">
              <w:rPr>
                <w:noProof/>
                <w:webHidden/>
              </w:rPr>
              <w:fldChar w:fldCharType="end"/>
            </w:r>
          </w:hyperlink>
        </w:p>
        <w:p w14:paraId="1A7EA777" w14:textId="1F6ECB3E" w:rsidR="00A03991" w:rsidRDefault="00F13857">
          <w:pPr>
            <w:pStyle w:val="TOC1"/>
            <w:rPr>
              <w:rFonts w:asciiTheme="minorHAnsi" w:eastAsiaTheme="minorEastAsia" w:hAnsiTheme="minorHAnsi" w:cstheme="minorBidi"/>
              <w:noProof/>
              <w:spacing w:val="0"/>
              <w:w w:val="100"/>
              <w:kern w:val="0"/>
              <w:sz w:val="22"/>
              <w:szCs w:val="22"/>
              <w:lang w:val="en-US" w:eastAsia="ja-JP"/>
            </w:rPr>
          </w:pPr>
          <w:hyperlink w:anchor="_Toc46399232" w:history="1">
            <w:r w:rsidR="00A03991" w:rsidRPr="000679E9">
              <w:rPr>
                <w:rStyle w:val="Hyperlink"/>
                <w:bCs/>
                <w:noProof/>
              </w:rPr>
              <w:t>VIII.</w:t>
            </w:r>
            <w:r w:rsidR="00A03991">
              <w:rPr>
                <w:rFonts w:asciiTheme="minorHAnsi" w:eastAsiaTheme="minorEastAsia" w:hAnsiTheme="minorHAnsi" w:cstheme="minorBidi"/>
                <w:noProof/>
                <w:spacing w:val="0"/>
                <w:w w:val="100"/>
                <w:kern w:val="0"/>
                <w:sz w:val="22"/>
                <w:szCs w:val="22"/>
                <w:lang w:val="en-US" w:eastAsia="ja-JP"/>
              </w:rPr>
              <w:tab/>
            </w:r>
            <w:r w:rsidR="00A03991" w:rsidRPr="000679E9">
              <w:rPr>
                <w:rStyle w:val="Hyperlink"/>
                <w:noProof/>
              </w:rPr>
              <w:t>Appendices</w:t>
            </w:r>
            <w:r w:rsidR="00A03991">
              <w:rPr>
                <w:noProof/>
                <w:webHidden/>
              </w:rPr>
              <w:tab/>
            </w:r>
            <w:r w:rsidR="00A03991">
              <w:rPr>
                <w:noProof/>
                <w:webHidden/>
              </w:rPr>
              <w:fldChar w:fldCharType="begin"/>
            </w:r>
            <w:r w:rsidR="00A03991">
              <w:rPr>
                <w:noProof/>
                <w:webHidden/>
              </w:rPr>
              <w:instrText xml:space="preserve"> PAGEREF _Toc46399232 \h </w:instrText>
            </w:r>
            <w:r w:rsidR="00A03991">
              <w:rPr>
                <w:noProof/>
                <w:webHidden/>
              </w:rPr>
            </w:r>
            <w:r w:rsidR="00A03991">
              <w:rPr>
                <w:noProof/>
                <w:webHidden/>
              </w:rPr>
              <w:fldChar w:fldCharType="separate"/>
            </w:r>
            <w:r w:rsidR="00CA29C3">
              <w:rPr>
                <w:noProof/>
                <w:webHidden/>
              </w:rPr>
              <w:t>23</w:t>
            </w:r>
            <w:r w:rsidR="00A03991">
              <w:rPr>
                <w:noProof/>
                <w:webHidden/>
              </w:rPr>
              <w:fldChar w:fldCharType="end"/>
            </w:r>
          </w:hyperlink>
        </w:p>
        <w:p w14:paraId="25EDF886" w14:textId="6C98260E" w:rsidR="00122E90" w:rsidRPr="00681331" w:rsidRDefault="002E6FA7">
          <w:pPr>
            <w:rPr>
              <w:noProof/>
            </w:rPr>
          </w:pPr>
          <w:r>
            <w:rPr>
              <w:b/>
              <w:bCs/>
              <w:noProof/>
            </w:rPr>
            <w:fldChar w:fldCharType="end"/>
          </w:r>
          <w:r w:rsidR="001E476E" w:rsidRPr="00681331" w:rsidDel="001E476E">
            <w:rPr>
              <w:noProof/>
            </w:rPr>
            <w:t xml:space="preserve"> </w:t>
          </w:r>
        </w:p>
        <w:p w14:paraId="3F72B558" w14:textId="44D21076" w:rsidR="002E6FA7" w:rsidRDefault="00F13857"/>
      </w:sdtContent>
    </w:sdt>
    <w:p w14:paraId="58451734" w14:textId="77777777" w:rsidR="00E605A4" w:rsidRPr="000E57AE" w:rsidRDefault="00E605A4">
      <w:pPr>
        <w:suppressAutoHyphens w:val="0"/>
        <w:spacing w:line="240" w:lineRule="auto"/>
      </w:pPr>
      <w:r w:rsidRPr="000E57AE">
        <w:br w:type="page"/>
      </w:r>
    </w:p>
    <w:p w14:paraId="0BBD9D2C" w14:textId="295847E5" w:rsidR="00AE5C22" w:rsidRDefault="00AE5C22" w:rsidP="00454919">
      <w:pPr>
        <w:pStyle w:val="SingleTxt"/>
        <w:tabs>
          <w:tab w:val="clear" w:pos="1267"/>
          <w:tab w:val="clear" w:pos="1742"/>
          <w:tab w:val="left" w:pos="1530"/>
        </w:tabs>
        <w:ind w:left="1080"/>
      </w:pPr>
      <w:bookmarkStart w:id="1" w:name="_Toc44600413"/>
      <w:bookmarkStart w:id="2" w:name="_Toc44600760"/>
      <w:bookmarkStart w:id="3" w:name="_Toc44600414"/>
      <w:bookmarkStart w:id="4" w:name="_Toc44600761"/>
      <w:bookmarkStart w:id="5" w:name="_Toc44600415"/>
      <w:bookmarkStart w:id="6" w:name="_Toc44600762"/>
      <w:bookmarkStart w:id="7" w:name="_Toc44600416"/>
      <w:bookmarkStart w:id="8" w:name="_Toc44600763"/>
      <w:bookmarkStart w:id="9" w:name="_Toc39596148"/>
      <w:bookmarkStart w:id="10" w:name="_Toc39596192"/>
      <w:bookmarkStart w:id="11" w:name="_Toc39596236"/>
      <w:bookmarkEnd w:id="1"/>
      <w:bookmarkEnd w:id="2"/>
      <w:bookmarkEnd w:id="3"/>
      <w:bookmarkEnd w:id="4"/>
      <w:bookmarkEnd w:id="5"/>
      <w:bookmarkEnd w:id="6"/>
      <w:bookmarkEnd w:id="7"/>
      <w:bookmarkEnd w:id="8"/>
      <w:bookmarkEnd w:id="9"/>
      <w:bookmarkEnd w:id="10"/>
      <w:bookmarkEnd w:id="11"/>
    </w:p>
    <w:p w14:paraId="597D9E25" w14:textId="359902D4" w:rsidR="007E3F7F" w:rsidRDefault="007E3F7F" w:rsidP="005F648C">
      <w:pPr>
        <w:pStyle w:val="HCh"/>
        <w:numPr>
          <w:ilvl w:val="0"/>
          <w:numId w:val="13"/>
        </w:numPr>
        <w:spacing w:before="360" w:after="240" w:line="240" w:lineRule="auto"/>
        <w:ind w:right="1267"/>
      </w:pPr>
      <w:bookmarkStart w:id="12" w:name="_Toc46399191"/>
      <w:r w:rsidRPr="007459CA">
        <w:t>Introduction</w:t>
      </w:r>
      <w:bookmarkEnd w:id="12"/>
    </w:p>
    <w:p w14:paraId="3ACAD8F5" w14:textId="6983F446" w:rsidR="007E3F7F" w:rsidRPr="007459CA" w:rsidRDefault="007E3F7F" w:rsidP="000B6404">
      <w:pPr>
        <w:pStyle w:val="SingleTxt"/>
        <w:numPr>
          <w:ilvl w:val="0"/>
          <w:numId w:val="5"/>
        </w:numPr>
        <w:tabs>
          <w:tab w:val="left" w:pos="1530"/>
        </w:tabs>
        <w:spacing w:before="240" w:after="240" w:line="240" w:lineRule="auto"/>
        <w:ind w:left="1339"/>
      </w:pPr>
      <w:r w:rsidRPr="007459CA">
        <w:t xml:space="preserve">This </w:t>
      </w:r>
      <w:r w:rsidR="00772FB5">
        <w:t>Annex</w:t>
      </w:r>
      <w:r w:rsidRPr="007459CA">
        <w:t xml:space="preserve"> provides an overview of the financial position of UNDP – including the United Nations Volunteers (UNV) and the United Nations Office for South-South Cooperation (UNOSSC) at the end of 201</w:t>
      </w:r>
      <w:r w:rsidR="00DD611F">
        <w:t>9</w:t>
      </w:r>
      <w:r w:rsidRPr="007459CA">
        <w:t xml:space="preserve">. </w:t>
      </w:r>
    </w:p>
    <w:p w14:paraId="12F214C2" w14:textId="204536CE" w:rsidR="007E3F7F" w:rsidRPr="00043410" w:rsidRDefault="007F402D" w:rsidP="000B6404">
      <w:pPr>
        <w:pStyle w:val="SingleTxt"/>
        <w:numPr>
          <w:ilvl w:val="0"/>
          <w:numId w:val="5"/>
        </w:numPr>
        <w:tabs>
          <w:tab w:val="left" w:pos="1530"/>
        </w:tabs>
        <w:spacing w:before="240" w:after="240" w:line="240" w:lineRule="auto"/>
        <w:ind w:left="1339"/>
      </w:pPr>
      <w:r w:rsidRPr="00043410">
        <w:t>A</w:t>
      </w:r>
      <w:r>
        <w:t xml:space="preserve">ppendices </w:t>
      </w:r>
      <w:r w:rsidR="007E3F7F" w:rsidRPr="00043410">
        <w:t>I-V are available on the Executive Board web page. Tables 1-1</w:t>
      </w:r>
      <w:r w:rsidR="00CC46AD">
        <w:t>0</w:t>
      </w:r>
      <w:r w:rsidR="007E3F7F" w:rsidRPr="00043410">
        <w:t xml:space="preserve">, in </w:t>
      </w:r>
      <w:r>
        <w:t>Appendix VI</w:t>
      </w:r>
      <w:r w:rsidR="007E3F7F" w:rsidRPr="00043410">
        <w:t>, provide further details of the activities undertaken by UNDP.</w:t>
      </w:r>
    </w:p>
    <w:p w14:paraId="4A0E5B41" w14:textId="4F9420DE" w:rsidR="007E3F7F" w:rsidRDefault="007E3F7F" w:rsidP="000B6404">
      <w:pPr>
        <w:pStyle w:val="SingleTxt"/>
        <w:numPr>
          <w:ilvl w:val="0"/>
          <w:numId w:val="5"/>
        </w:numPr>
        <w:tabs>
          <w:tab w:val="left" w:pos="1530"/>
        </w:tabs>
        <w:spacing w:before="240" w:after="240" w:line="240" w:lineRule="auto"/>
        <w:ind w:left="1339"/>
      </w:pPr>
      <w:r w:rsidRPr="00043410">
        <w:t>In accordance with Executive Board decision 2013/28, this report includes a comparative overview of actual 201</w:t>
      </w:r>
      <w:r w:rsidR="001B242C" w:rsidRPr="00043410">
        <w:t>9</w:t>
      </w:r>
      <w:r w:rsidRPr="00043410">
        <w:t xml:space="preserve"> utilization compared to the resource planning figures in the UNDP Integrated resources plan, 2018-2021 (</w:t>
      </w:r>
      <w:hyperlink r:id="rId16" w:history="1">
        <w:r w:rsidRPr="00043410">
          <w:t>DP/2017/</w:t>
        </w:r>
      </w:hyperlink>
      <w:r w:rsidRPr="00043410">
        <w:t>39), and the corresponding a</w:t>
      </w:r>
      <w:r w:rsidR="00822D21">
        <w:t>ppendix</w:t>
      </w:r>
      <w:r w:rsidRPr="00043410">
        <w:t xml:space="preserve"> II. It includes </w:t>
      </w:r>
      <w:r w:rsidR="00822D21" w:rsidRPr="00043410">
        <w:t>a</w:t>
      </w:r>
      <w:r w:rsidR="00822D21">
        <w:t>ppendices</w:t>
      </w:r>
      <w:r w:rsidRPr="00043410">
        <w:t xml:space="preserve"> III.A and III.B in the format of the UNDP integrated resources plan. A</w:t>
      </w:r>
      <w:r w:rsidR="00822D21">
        <w:t>ppendix</w:t>
      </w:r>
      <w:r w:rsidRPr="00043410">
        <w:t xml:space="preserve"> III.C provides the resources allocated to posts, by location.</w:t>
      </w:r>
    </w:p>
    <w:p w14:paraId="3EBE692B" w14:textId="7872ECD7" w:rsidR="0003738C" w:rsidRPr="000D61AD" w:rsidRDefault="0003738C" w:rsidP="000B6404">
      <w:pPr>
        <w:pStyle w:val="SingleTxt"/>
        <w:numPr>
          <w:ilvl w:val="0"/>
          <w:numId w:val="5"/>
        </w:numPr>
        <w:tabs>
          <w:tab w:val="left" w:pos="1530"/>
        </w:tabs>
        <w:spacing w:before="240" w:after="240" w:line="240" w:lineRule="auto"/>
        <w:ind w:left="1339"/>
      </w:pPr>
      <w:r w:rsidRPr="3055D291">
        <w:t>In 2019, UNDP refined its accounting policy on IPSAS 23 (non-exchange) revenues. UNDP now records the full value of</w:t>
      </w:r>
      <w:r w:rsidRPr="00BA3F6E">
        <w:t xml:space="preserve"> funding agreements when signed, even when cash has not been received for majority of </w:t>
      </w:r>
      <w:r>
        <w:t xml:space="preserve">the amounts of </w:t>
      </w:r>
      <w:r w:rsidRPr="00BA3F6E">
        <w:t xml:space="preserve">the contribution agreements. Any uncollected cash associated with funding agreements is held as a receivable. </w:t>
      </w:r>
      <w:r w:rsidRPr="3055D291">
        <w:t xml:space="preserve">All comparatives for 2018 have been restated on the same basis as 2019. </w:t>
      </w:r>
    </w:p>
    <w:p w14:paraId="29D56F43" w14:textId="77777777" w:rsidR="0003738C" w:rsidRPr="000D61AD" w:rsidRDefault="0003738C" w:rsidP="000B6404">
      <w:pPr>
        <w:pStyle w:val="SingleTxt"/>
        <w:numPr>
          <w:ilvl w:val="0"/>
          <w:numId w:val="5"/>
        </w:numPr>
        <w:tabs>
          <w:tab w:val="left" w:pos="1530"/>
        </w:tabs>
        <w:spacing w:before="240" w:after="240" w:line="240" w:lineRule="auto"/>
      </w:pPr>
      <w:r w:rsidRPr="00BA3F6E">
        <w:t xml:space="preserve">Under UNDP’s new voluntary contributions policies established in 2019, the full amount of the contributions will be recorded as revenue upon signing of contribution agreements, irrespective of which future period the contributions will be received. This applies to revenue received through all contribution agreements, including core (with donors who sign agreements) but excluding Programme Government Cost Sharing and GLOC contributions, which will continue to be recognized upon receipt of funds.  </w:t>
      </w:r>
      <w:bookmarkStart w:id="13" w:name="_Hlk45005439"/>
    </w:p>
    <w:p w14:paraId="7C1A329B" w14:textId="2F420129" w:rsidR="0003738C" w:rsidRPr="000D61AD" w:rsidRDefault="0003738C" w:rsidP="000B6404">
      <w:pPr>
        <w:pStyle w:val="SingleTxt"/>
        <w:numPr>
          <w:ilvl w:val="0"/>
          <w:numId w:val="5"/>
        </w:numPr>
        <w:tabs>
          <w:tab w:val="left" w:pos="1530"/>
        </w:tabs>
        <w:spacing w:before="240" w:line="240" w:lineRule="auto"/>
        <w:ind w:left="1339"/>
      </w:pPr>
      <w:r w:rsidRPr="00BA3F6E">
        <w:t>The change in accounting policy has had the following impact on UNDP’s 2019 Financial Statements</w:t>
      </w:r>
      <w:r w:rsidR="00D62225">
        <w:t xml:space="preserve"> and therefore the information presented in this paper</w:t>
      </w:r>
      <w:r w:rsidRPr="00BA3F6E">
        <w:t>:</w:t>
      </w:r>
      <w:bookmarkEnd w:id="13"/>
    </w:p>
    <w:p w14:paraId="14145946" w14:textId="2E8189E7" w:rsidR="0003738C" w:rsidRPr="00667200" w:rsidRDefault="0003738C" w:rsidP="000B6404">
      <w:pPr>
        <w:pStyle w:val="ListParagraph"/>
        <w:numPr>
          <w:ilvl w:val="1"/>
          <w:numId w:val="5"/>
        </w:numPr>
        <w:spacing w:before="120" w:after="120" w:line="240" w:lineRule="auto"/>
        <w:ind w:left="1800" w:right="1267"/>
        <w:contextualSpacing w:val="0"/>
        <w:jc w:val="both"/>
      </w:pPr>
      <w:r w:rsidRPr="00FA630E">
        <w:t>Increase in voluntary contributions revenue</w:t>
      </w:r>
      <w:r w:rsidR="0009479A">
        <w:t xml:space="preserve"> (which also impacts the accumulated reserve</w:t>
      </w:r>
      <w:r w:rsidR="009D500F">
        <w:t xml:space="preserve"> through an increase in </w:t>
      </w:r>
      <w:r w:rsidR="009F1D4B">
        <w:t>contributio</w:t>
      </w:r>
      <w:r w:rsidR="00444E3F">
        <w:t xml:space="preserve">ns </w:t>
      </w:r>
      <w:r w:rsidR="00E31832">
        <w:t>receivable</w:t>
      </w:r>
      <w:r w:rsidR="0009479A">
        <w:t>)</w:t>
      </w:r>
      <w:r w:rsidR="00341F2F">
        <w:t>.</w:t>
      </w:r>
    </w:p>
    <w:p w14:paraId="6BB19ABC" w14:textId="610E568C" w:rsidR="0003738C" w:rsidRPr="00FA630E" w:rsidRDefault="0003738C" w:rsidP="000B6404">
      <w:pPr>
        <w:pStyle w:val="ListParagraph"/>
        <w:numPr>
          <w:ilvl w:val="1"/>
          <w:numId w:val="5"/>
        </w:numPr>
        <w:spacing w:before="120" w:after="120" w:line="240" w:lineRule="auto"/>
        <w:ind w:left="1800" w:right="1267"/>
        <w:contextualSpacing w:val="0"/>
        <w:jc w:val="both"/>
      </w:pPr>
      <w:r w:rsidRPr="00FA630E">
        <w:t>Increase in Outstanding Contributions Receivable</w:t>
      </w:r>
      <w:r w:rsidR="005B186D">
        <w:t>.</w:t>
      </w:r>
      <w:r w:rsidR="006B59C4">
        <w:t xml:space="preserve"> </w:t>
      </w:r>
    </w:p>
    <w:p w14:paraId="178A0301" w14:textId="77777777" w:rsidR="0003738C" w:rsidRPr="00FA630E" w:rsidRDefault="0003738C" w:rsidP="000B6404">
      <w:pPr>
        <w:pStyle w:val="ListParagraph"/>
        <w:numPr>
          <w:ilvl w:val="1"/>
          <w:numId w:val="5"/>
        </w:numPr>
        <w:spacing w:before="120" w:after="120" w:line="240" w:lineRule="auto"/>
        <w:ind w:left="1800" w:right="1267"/>
        <w:contextualSpacing w:val="0"/>
        <w:jc w:val="both"/>
      </w:pPr>
      <w:r w:rsidRPr="00FA630E">
        <w:t xml:space="preserve">No Change in Cash Received: The revised policy does not impact the amount of cash received which will continue to determine the spending ability by UNDP offices.  </w:t>
      </w:r>
    </w:p>
    <w:p w14:paraId="24A1F5A3" w14:textId="7DE53C11" w:rsidR="0003738C" w:rsidRPr="00803426" w:rsidRDefault="0003738C" w:rsidP="000B6404">
      <w:pPr>
        <w:pStyle w:val="ListParagraph"/>
        <w:numPr>
          <w:ilvl w:val="1"/>
          <w:numId w:val="5"/>
        </w:numPr>
        <w:spacing w:before="120" w:after="120" w:line="240" w:lineRule="auto"/>
        <w:ind w:left="1800" w:right="1267"/>
        <w:contextualSpacing w:val="0"/>
        <w:jc w:val="both"/>
      </w:pPr>
      <w:r w:rsidRPr="00803426">
        <w:t>Restatement of Prior Period Financial Statement</w:t>
      </w:r>
      <w:r w:rsidR="00803426" w:rsidRPr="00803426">
        <w:t>s.</w:t>
      </w:r>
      <w:r w:rsidRPr="00803426">
        <w:t xml:space="preserve"> </w:t>
      </w:r>
    </w:p>
    <w:p w14:paraId="124A67C5" w14:textId="6D72B885" w:rsidR="51250B2D" w:rsidRPr="006A1D94" w:rsidRDefault="00120C01" w:rsidP="0050288D">
      <w:pPr>
        <w:pStyle w:val="SingleTxt"/>
        <w:numPr>
          <w:ilvl w:val="0"/>
          <w:numId w:val="5"/>
        </w:numPr>
        <w:spacing w:before="240" w:after="240" w:line="240" w:lineRule="auto"/>
      </w:pPr>
      <w:r w:rsidRPr="00BA3F6E">
        <w:t xml:space="preserve">In line with UNDP’s Financial Regulations and Rules (FRRs), funds will continue to be programmed only when funding partners transfer </w:t>
      </w:r>
      <w:r w:rsidRPr="3055D291">
        <w:t>cash resources.</w:t>
      </w:r>
      <w:r w:rsidR="00BE5713">
        <w:t xml:space="preserve"> </w:t>
      </w:r>
      <w:r w:rsidR="00590773">
        <w:t>Thus,</w:t>
      </w:r>
      <w:r w:rsidR="00BE5713">
        <w:t xml:space="preserve"> </w:t>
      </w:r>
      <w:r w:rsidR="0003738C" w:rsidRPr="00BA3F6E">
        <w:t>the ability of offices to spend or enter into commitments is unchanged and continues to be dependent on funds received.</w:t>
      </w:r>
    </w:p>
    <w:p w14:paraId="76EE0022" w14:textId="270C7D40" w:rsidR="0050288D" w:rsidRDefault="0050288D" w:rsidP="005F648C">
      <w:pPr>
        <w:pStyle w:val="HCh"/>
        <w:numPr>
          <w:ilvl w:val="0"/>
          <w:numId w:val="13"/>
        </w:numPr>
        <w:spacing w:before="360" w:after="240" w:line="240" w:lineRule="auto"/>
        <w:ind w:right="1267"/>
      </w:pPr>
      <w:bookmarkStart w:id="14" w:name="_Toc46399192"/>
      <w:r>
        <w:t>Overview</w:t>
      </w:r>
      <w:bookmarkEnd w:id="14"/>
    </w:p>
    <w:p w14:paraId="642149B4" w14:textId="00BDB4D4" w:rsidR="009F71C8" w:rsidRPr="009F71C8" w:rsidRDefault="00615A16" w:rsidP="006E5E37">
      <w:pPr>
        <w:pStyle w:val="SingleTxt"/>
        <w:numPr>
          <w:ilvl w:val="0"/>
          <w:numId w:val="5"/>
        </w:numPr>
        <w:tabs>
          <w:tab w:val="left" w:pos="1530"/>
        </w:tabs>
        <w:spacing w:before="240" w:after="240" w:line="240" w:lineRule="auto"/>
        <w:ind w:left="1339"/>
        <w:rPr>
          <w:rFonts w:eastAsia="Times New Roman"/>
        </w:rPr>
      </w:pPr>
      <w:r w:rsidRPr="00615A16">
        <w:t>Financial stability remained a top corporate priority in 2019 for UNDP.</w:t>
      </w:r>
      <w:r>
        <w:t xml:space="preserve"> </w:t>
      </w:r>
      <w:r w:rsidR="009F71C8" w:rsidRPr="0017419B">
        <w:t xml:space="preserve">UNDP continued to maintain a positive net asset position on its balance sheet. </w:t>
      </w:r>
      <w:r w:rsidR="003459B8" w:rsidRPr="003367B9">
        <w:t xml:space="preserve">During 2019, net </w:t>
      </w:r>
      <w:r w:rsidR="003459B8" w:rsidRPr="003367B9">
        <w:lastRenderedPageBreak/>
        <w:t>assets/equity increased by $66 million</w:t>
      </w:r>
      <w:r w:rsidR="001D79DB">
        <w:t>,</w:t>
      </w:r>
      <w:r w:rsidR="003459B8" w:rsidRPr="003367B9">
        <w:t xml:space="preserve"> </w:t>
      </w:r>
      <w:r w:rsidR="001D79DB" w:rsidRPr="0017419B">
        <w:t>and UNDP achieved the year-end core liquidity position above the minimum threshold requested by the Executive Board</w:t>
      </w:r>
      <w:r w:rsidR="001D79DB">
        <w:t>.</w:t>
      </w:r>
      <w:r w:rsidR="001D79DB" w:rsidRPr="003459B8">
        <w:t xml:space="preserve"> </w:t>
      </w:r>
    </w:p>
    <w:p w14:paraId="5764968A" w14:textId="6894933D" w:rsidR="73AB3A99" w:rsidRDefault="009F71C8" w:rsidP="006E5E37">
      <w:pPr>
        <w:pStyle w:val="SingleTxt"/>
        <w:numPr>
          <w:ilvl w:val="0"/>
          <w:numId w:val="5"/>
        </w:numPr>
        <w:tabs>
          <w:tab w:val="left" w:pos="1530"/>
        </w:tabs>
        <w:spacing w:before="240" w:after="240" w:line="240" w:lineRule="auto"/>
        <w:ind w:left="1339"/>
        <w:rPr>
          <w:rFonts w:eastAsia="Times New Roman"/>
        </w:rPr>
      </w:pPr>
      <w:r>
        <w:t>Total revenue</w:t>
      </w:r>
      <w:r w:rsidR="00954B03">
        <w:t>,</w:t>
      </w:r>
      <w:r>
        <w:t xml:space="preserve"> including voluntary contributions in 2019 was $4.8 billion, a decrease of $863 million (or 15 per cent) from $5.7 billion in 2018. This includes voluntary contributions of $4.5 billion, a decrease of $887 million (or 17 per cent) from $5.4 billion) in 2018.</w:t>
      </w:r>
      <w:r w:rsidR="00C558D3" w:rsidRPr="00C558D3">
        <w:t xml:space="preserve"> Of this decrease, $559 million is due to lower multi-year funding agreements signed in 2019 compared to 2018, and $161</w:t>
      </w:r>
      <w:r w:rsidR="00B570ED">
        <w:t xml:space="preserve"> </w:t>
      </w:r>
      <w:r w:rsidR="00C558D3" w:rsidRPr="00C558D3">
        <w:t>m</w:t>
      </w:r>
      <w:r w:rsidR="00B570ED">
        <w:t>illion</w:t>
      </w:r>
      <w:r w:rsidR="00C558D3" w:rsidRPr="00C558D3">
        <w:t xml:space="preserve"> can be attributed to exchange rate fluctuations.</w:t>
      </w:r>
    </w:p>
    <w:p w14:paraId="45452A87" w14:textId="08CECF3C" w:rsidR="73AB3A99" w:rsidRPr="003220C7" w:rsidRDefault="73AB3A99" w:rsidP="006E5E37">
      <w:pPr>
        <w:pStyle w:val="SingleTxt"/>
        <w:numPr>
          <w:ilvl w:val="0"/>
          <w:numId w:val="5"/>
        </w:numPr>
        <w:tabs>
          <w:tab w:val="left" w:pos="1530"/>
        </w:tabs>
        <w:spacing w:before="240" w:after="240" w:line="240" w:lineRule="auto"/>
        <w:ind w:left="1339"/>
        <w:rPr>
          <w:rFonts w:eastAsia="Times New Roman"/>
        </w:rPr>
      </w:pPr>
      <w:r>
        <w:t>Total expense</w:t>
      </w:r>
      <w:r w:rsidR="00414907">
        <w:t>s</w:t>
      </w:r>
      <w:r w:rsidR="00414907" w:rsidRPr="00414907">
        <w:t xml:space="preserve"> </w:t>
      </w:r>
      <w:r w:rsidR="00414907">
        <w:t>in 2019</w:t>
      </w:r>
      <w:r>
        <w:t>, that includes programme delivery</w:t>
      </w:r>
      <w:r w:rsidR="00414907">
        <w:t>,</w:t>
      </w:r>
      <w:r>
        <w:t xml:space="preserve"> was $4.9 billion, a decrease of $17</w:t>
      </w:r>
      <w:r w:rsidR="003D76F7">
        <w:t>3</w:t>
      </w:r>
      <w:r>
        <w:t xml:space="preserve"> million (3 per cent) from $ 5.1 billion in 2018. </w:t>
      </w:r>
      <w:r w:rsidR="00C0359B">
        <w:t xml:space="preserve">Total expenses </w:t>
      </w:r>
      <w:r w:rsidR="00C0359B" w:rsidRPr="00EE584A">
        <w:t>remain</w:t>
      </w:r>
      <w:r w:rsidR="00C0359B">
        <w:t>ed</w:t>
      </w:r>
      <w:r w:rsidR="00C0359B" w:rsidRPr="00EE584A">
        <w:t xml:space="preserve"> above the level of total revenue by drawing upon the accumulated </w:t>
      </w:r>
      <w:r w:rsidR="152CB390" w:rsidRPr="00C71017">
        <w:t>positive balance</w:t>
      </w:r>
      <w:r w:rsidR="00C71017" w:rsidRPr="00C71017">
        <w:t>.</w:t>
      </w:r>
      <w:r w:rsidR="152CB390">
        <w:t xml:space="preserve"> </w:t>
      </w:r>
      <w:r>
        <w:t>Programme expense (i.e.</w:t>
      </w:r>
      <w:r w:rsidR="006C7B63">
        <w:t>,</w:t>
      </w:r>
      <w:r>
        <w:t xml:space="preserve"> delivery) was $4.3 billion a decrease of $86 million (or 2 per cent) from $4.4 billion</w:t>
      </w:r>
      <w:r w:rsidR="00954B03">
        <w:t xml:space="preserve"> in 2018</w:t>
      </w:r>
      <w:r>
        <w:t xml:space="preserve">.  </w:t>
      </w:r>
    </w:p>
    <w:p w14:paraId="0AAEAF06" w14:textId="3D9C8A2C" w:rsidR="32DB0536" w:rsidRDefault="6A6AF236" w:rsidP="006E5E37">
      <w:pPr>
        <w:pStyle w:val="SingleTxt"/>
        <w:numPr>
          <w:ilvl w:val="0"/>
          <w:numId w:val="5"/>
        </w:numPr>
        <w:tabs>
          <w:tab w:val="left" w:pos="1530"/>
        </w:tabs>
        <w:spacing w:before="240" w:after="240" w:line="240" w:lineRule="auto"/>
        <w:rPr>
          <w:rFonts w:eastAsia="Times New Roman"/>
        </w:rPr>
      </w:pPr>
      <w:r>
        <w:t xml:space="preserve">Compared to the previous year, the proportion of regular resources allocated to development programmes increased to 65.9 per cent from 62.6 per cent, while the proportion of regular resources used for institutional budget activities decreased from 37.4 per cent to 34.1 per cent. The latter was below the planned allocation of regular resources to institutional activities of 35.9 per cent in the Executive Board-approved integrated budget. </w:t>
      </w:r>
    </w:p>
    <w:p w14:paraId="324CDBC5" w14:textId="35EF22A6" w:rsidR="32DB0536" w:rsidRDefault="6A6AF236" w:rsidP="006E5E37">
      <w:pPr>
        <w:pStyle w:val="SingleTxt"/>
        <w:numPr>
          <w:ilvl w:val="0"/>
          <w:numId w:val="5"/>
        </w:numPr>
        <w:tabs>
          <w:tab w:val="left" w:pos="1530"/>
        </w:tabs>
        <w:spacing w:before="240" w:after="240" w:line="240" w:lineRule="auto"/>
        <w:rPr>
          <w:rFonts w:eastAsia="Times New Roman"/>
        </w:rPr>
      </w:pPr>
      <w:r>
        <w:t>Total cash and investments, including the After-Service Health Insurance (ASHI) portfolio increased by $543 million to $7.1 billion (2018: $6.5 billion) at 31 December 2019. This was due to an increase in investments of $753 million which was offset by a $210 million decrease in cash and cash equivalents.</w:t>
      </w:r>
    </w:p>
    <w:p w14:paraId="75251769" w14:textId="63C2CF01" w:rsidR="009856BF" w:rsidRDefault="6A6AF236" w:rsidP="006E5E37">
      <w:pPr>
        <w:pStyle w:val="SingleTxt"/>
        <w:numPr>
          <w:ilvl w:val="0"/>
          <w:numId w:val="5"/>
        </w:numPr>
        <w:tabs>
          <w:tab w:val="left" w:pos="1530"/>
        </w:tabs>
        <w:spacing w:before="240" w:after="240" w:line="240" w:lineRule="auto"/>
        <w:rPr>
          <w:rFonts w:eastAsia="Times New Roman"/>
        </w:rPr>
      </w:pPr>
      <w:r>
        <w:t>The liability for ASHI increased by $10 million (or 1 per cent) compared to 2018, while investments and cash balances (arising from ASHI investments) increased by 24</w:t>
      </w:r>
      <w:r w:rsidR="008264C8">
        <w:t xml:space="preserve"> per cent</w:t>
      </w:r>
      <w:r>
        <w:t xml:space="preserve"> to $775 million. This resulted in a funding position of 74</w:t>
      </w:r>
      <w:r w:rsidR="008264C8">
        <w:t xml:space="preserve"> per cent</w:t>
      </w:r>
      <w:r>
        <w:t xml:space="preserve"> up from 60</w:t>
      </w:r>
      <w:r w:rsidR="008264C8">
        <w:t xml:space="preserve"> per cent</w:t>
      </w:r>
      <w:r>
        <w:t xml:space="preserve"> in 2018 which is based on a 15-year ASHI funding strategy.</w:t>
      </w:r>
    </w:p>
    <w:p w14:paraId="289EF015" w14:textId="325B86A9" w:rsidR="00CB31B2" w:rsidRDefault="00A05933" w:rsidP="006E5E37">
      <w:pPr>
        <w:pStyle w:val="SingleTxt"/>
        <w:numPr>
          <w:ilvl w:val="0"/>
          <w:numId w:val="5"/>
        </w:numPr>
        <w:tabs>
          <w:tab w:val="left" w:pos="1530"/>
        </w:tabs>
        <w:spacing w:before="240" w:after="240" w:line="240" w:lineRule="auto"/>
        <w:rPr>
          <w:rFonts w:eastAsia="Times New Roman"/>
        </w:rPr>
      </w:pPr>
      <w:r w:rsidRPr="00A05933">
        <w:t>UNDP continued to reverse the institutional budget deficit and balanced its institutional budget for the third consecutive year.</w:t>
      </w:r>
      <w:r>
        <w:t xml:space="preserve"> </w:t>
      </w:r>
      <w:r w:rsidR="00F46D8B">
        <w:t>I</w:t>
      </w:r>
      <w:r w:rsidR="3E723BCF">
        <w:t xml:space="preserve">nstitutional expenditure remained below the level of the institutional revenue, and there was a </w:t>
      </w:r>
      <w:r w:rsidR="00F46D8B">
        <w:t xml:space="preserve">small </w:t>
      </w:r>
      <w:r w:rsidR="3E723BCF">
        <w:t>net institutional balance of $58.4 million.</w:t>
      </w:r>
    </w:p>
    <w:p w14:paraId="3BCD0B3B" w14:textId="5D6F8881" w:rsidR="00A24BFB" w:rsidRPr="00A24BFB" w:rsidRDefault="57EE499E" w:rsidP="00A24BFB">
      <w:pPr>
        <w:pStyle w:val="SingleTxt"/>
        <w:numPr>
          <w:ilvl w:val="0"/>
          <w:numId w:val="5"/>
        </w:numPr>
        <w:tabs>
          <w:tab w:val="left" w:pos="1530"/>
        </w:tabs>
      </w:pPr>
      <w:r>
        <w:t>Total accumulated resource balances were $9.4 billion (in 2018 (restated): $9.3 billion), of which, non-core programme resources balances were $8.7 billion, a slight decrease of 1 per cent from 2018 (restated, $8.8 billion). UNDP is systemically reviewing these balances.</w:t>
      </w:r>
      <w:r w:rsidR="003F7F11" w:rsidRPr="003F7F11">
        <w:t xml:space="preserve"> UNDP continue</w:t>
      </w:r>
      <w:r w:rsidR="003F7F11">
        <w:t>s</w:t>
      </w:r>
      <w:r w:rsidR="003F7F11" w:rsidRPr="003F7F11">
        <w:t xml:space="preserve"> to seek opportunities to accelerate the delivery of development results and further draw down its accumulated </w:t>
      </w:r>
      <w:r w:rsidR="5C1F80DA">
        <w:t>surplus</w:t>
      </w:r>
      <w:r w:rsidR="003F7F11" w:rsidRPr="003F7F11">
        <w:t>, taking into account the revenue increase and the late receipt of funds.</w:t>
      </w:r>
      <w:r w:rsidR="00E97FB3">
        <w:t xml:space="preserve"> </w:t>
      </w:r>
      <w:bookmarkStart w:id="15" w:name="_Hlk45028216"/>
      <w:r w:rsidR="00BA5CFF" w:rsidRPr="00BA3F6E">
        <w:t>Available accumulated regular resource</w:t>
      </w:r>
      <w:r w:rsidR="00BD0366">
        <w:t xml:space="preserve"> balances</w:t>
      </w:r>
      <w:r w:rsidR="00BA5CFF" w:rsidRPr="00BA3F6E">
        <w:t xml:space="preserve"> (core) increased by $187 million</w:t>
      </w:r>
      <w:r w:rsidR="00BD0366">
        <w:t>,</w:t>
      </w:r>
      <w:r w:rsidR="00BA5CFF" w:rsidRPr="00BA3F6E">
        <w:t xml:space="preserve"> mainly due to </w:t>
      </w:r>
      <w:r w:rsidR="746F9BDC">
        <w:t>a</w:t>
      </w:r>
      <w:r w:rsidR="60A24068">
        <w:t xml:space="preserve"> </w:t>
      </w:r>
      <w:r w:rsidR="00E1118C">
        <w:t xml:space="preserve">small </w:t>
      </w:r>
      <w:r w:rsidR="00026167">
        <w:t xml:space="preserve">surplus </w:t>
      </w:r>
      <w:r w:rsidR="00BA5CFF" w:rsidRPr="00BA3F6E">
        <w:t xml:space="preserve">of $58 million in 2019, </w:t>
      </w:r>
      <w:r w:rsidR="00A744A5">
        <w:t>along with</w:t>
      </w:r>
      <w:r w:rsidR="00BA5CFF" w:rsidRPr="00BA3F6E">
        <w:t xml:space="preserve"> </w:t>
      </w:r>
      <w:r w:rsidR="00051B43">
        <w:t xml:space="preserve">an increase </w:t>
      </w:r>
      <w:r w:rsidR="00BA5CFF" w:rsidRPr="00BA3F6E">
        <w:t xml:space="preserve">in the fair value of ASHI investments and an actuarial gain. The fair value change in ASHI investments and </w:t>
      </w:r>
      <w:r w:rsidR="004A1BBC">
        <w:t xml:space="preserve">the </w:t>
      </w:r>
      <w:r w:rsidR="00BA5CFF" w:rsidRPr="00BA3F6E">
        <w:t>actuarial gains are unrealized and therefore non-programmable.</w:t>
      </w:r>
      <w:r w:rsidR="00A24BFB">
        <w:t xml:space="preserve"> </w:t>
      </w:r>
    </w:p>
    <w:p w14:paraId="05A3E9AA" w14:textId="30AFFB44" w:rsidR="000D6C37" w:rsidRPr="00BA3F6E" w:rsidRDefault="000D6C37" w:rsidP="004A1BBC">
      <w:pPr>
        <w:pStyle w:val="SingleTxt"/>
        <w:tabs>
          <w:tab w:val="left" w:pos="1530"/>
        </w:tabs>
        <w:spacing w:before="240" w:after="240" w:line="240" w:lineRule="auto"/>
        <w:ind w:left="1343"/>
      </w:pPr>
    </w:p>
    <w:bookmarkEnd w:id="15"/>
    <w:p w14:paraId="442358FC" w14:textId="5B08BC66" w:rsidR="00065220" w:rsidRPr="000E57AE" w:rsidRDefault="00F21C31" w:rsidP="006E5E37">
      <w:pPr>
        <w:pStyle w:val="SingleTxt"/>
        <w:keepNext/>
        <w:numPr>
          <w:ilvl w:val="0"/>
          <w:numId w:val="5"/>
        </w:numPr>
        <w:tabs>
          <w:tab w:val="clear" w:pos="1267"/>
          <w:tab w:val="left" w:pos="1260"/>
          <w:tab w:val="left" w:pos="1530"/>
        </w:tabs>
        <w:spacing w:before="240" w:after="240" w:line="240" w:lineRule="auto"/>
        <w:ind w:left="1339"/>
      </w:pPr>
      <w:r w:rsidRPr="000E57AE">
        <w:lastRenderedPageBreak/>
        <w:t xml:space="preserve">Figure </w:t>
      </w:r>
      <w:r w:rsidR="004D4DCC">
        <w:t>I</w:t>
      </w:r>
      <w:r w:rsidR="00442030">
        <w:t xml:space="preserve"> (</w:t>
      </w:r>
      <w:r w:rsidR="004D4DCC">
        <w:t>a</w:t>
      </w:r>
      <w:r w:rsidR="00442030">
        <w:t>)</w:t>
      </w:r>
      <w:r>
        <w:t>-</w:t>
      </w:r>
      <w:r w:rsidR="004D4DCC">
        <w:t>I</w:t>
      </w:r>
      <w:r w:rsidR="00442030">
        <w:t xml:space="preserve"> (</w:t>
      </w:r>
      <w:r w:rsidR="004D4DCC">
        <w:t>c</w:t>
      </w:r>
      <w:r w:rsidR="00442030">
        <w:t>)</w:t>
      </w:r>
      <w:r w:rsidRPr="000E57AE">
        <w:t xml:space="preserve"> illustrates the trend of total revenue and total expenses.</w:t>
      </w:r>
      <w:r w:rsidR="00065220" w:rsidRPr="000E57AE" w:rsidDel="00065220">
        <w:t xml:space="preserve"> </w:t>
      </w:r>
    </w:p>
    <w:p w14:paraId="62ED00D7" w14:textId="66C8FEF3" w:rsidR="0051378B" w:rsidRDefault="00454919" w:rsidP="00BA3F6E">
      <w:pPr>
        <w:pStyle w:val="SingleTxt"/>
        <w:keepNext/>
        <w:tabs>
          <w:tab w:val="clear" w:pos="1267"/>
          <w:tab w:val="clear" w:pos="1742"/>
          <w:tab w:val="left" w:pos="1530"/>
        </w:tabs>
        <w:ind w:firstLine="259"/>
        <w:jc w:val="center"/>
        <w:rPr>
          <w:b/>
        </w:rPr>
      </w:pPr>
      <w:r>
        <w:rPr>
          <w:noProof/>
        </w:rPr>
        <w:drawing>
          <wp:anchor distT="0" distB="0" distL="114300" distR="114300" simplePos="0" relativeHeight="251658240" behindDoc="1" locked="0" layoutInCell="1" allowOverlap="1" wp14:anchorId="52B0F6D0" wp14:editId="3D78069A">
            <wp:simplePos x="0" y="0"/>
            <wp:positionH relativeFrom="column">
              <wp:posOffset>244475</wp:posOffset>
            </wp:positionH>
            <wp:positionV relativeFrom="paragraph">
              <wp:posOffset>205683</wp:posOffset>
            </wp:positionV>
            <wp:extent cx="6013451" cy="2252980"/>
            <wp:effectExtent l="0" t="0" r="0" b="0"/>
            <wp:wrapSquare wrapText="bothSides"/>
            <wp:docPr id="643300318" name="Picture 1280056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056995"/>
                    <pic:cNvPicPr/>
                  </pic:nvPicPr>
                  <pic:blipFill>
                    <a:blip r:embed="rId17">
                      <a:extLst>
                        <a:ext uri="{28A0092B-C50C-407E-A947-70E740481C1C}">
                          <a14:useLocalDpi xmlns:a14="http://schemas.microsoft.com/office/drawing/2010/main" val="0"/>
                        </a:ext>
                      </a:extLst>
                    </a:blip>
                    <a:stretch>
                      <a:fillRect/>
                    </a:stretch>
                  </pic:blipFill>
                  <pic:spPr>
                    <a:xfrm>
                      <a:off x="0" y="0"/>
                      <a:ext cx="6013451" cy="2252980"/>
                    </a:xfrm>
                    <a:prstGeom prst="rect">
                      <a:avLst/>
                    </a:prstGeom>
                  </pic:spPr>
                </pic:pic>
              </a:graphicData>
            </a:graphic>
            <wp14:sizeRelH relativeFrom="page">
              <wp14:pctWidth>0</wp14:pctWidth>
            </wp14:sizeRelH>
            <wp14:sizeRelV relativeFrom="page">
              <wp14:pctHeight>0</wp14:pctHeight>
            </wp14:sizeRelV>
          </wp:anchor>
        </w:drawing>
      </w:r>
      <w:r w:rsidR="001E05F1" w:rsidRPr="5D788B90">
        <w:rPr>
          <w:b/>
          <w:bCs/>
        </w:rPr>
        <w:t xml:space="preserve">Figure </w:t>
      </w:r>
      <w:r w:rsidR="004D4DCC">
        <w:rPr>
          <w:b/>
          <w:bCs/>
        </w:rPr>
        <w:t>I</w:t>
      </w:r>
      <w:r w:rsidR="00442030">
        <w:rPr>
          <w:b/>
          <w:bCs/>
        </w:rPr>
        <w:t xml:space="preserve"> (</w:t>
      </w:r>
      <w:r w:rsidR="004D4DCC">
        <w:rPr>
          <w:b/>
          <w:bCs/>
        </w:rPr>
        <w:t>a</w:t>
      </w:r>
      <w:r w:rsidR="00442030">
        <w:rPr>
          <w:b/>
          <w:bCs/>
        </w:rPr>
        <w:t>)</w:t>
      </w:r>
      <w:r w:rsidR="006E15C8">
        <w:t>.</w:t>
      </w:r>
      <w:r w:rsidR="00484B4E" w:rsidRPr="000E57AE">
        <w:t xml:space="preserve"> </w:t>
      </w:r>
      <w:r w:rsidR="00FE34D6" w:rsidRPr="5D788B90">
        <w:rPr>
          <w:b/>
          <w:bCs/>
        </w:rPr>
        <w:t xml:space="preserve">UNDP </w:t>
      </w:r>
      <w:r w:rsidR="00BF1BF3" w:rsidRPr="5D788B90">
        <w:rPr>
          <w:b/>
          <w:bCs/>
        </w:rPr>
        <w:t>total revenue trend</w:t>
      </w:r>
    </w:p>
    <w:p w14:paraId="710DBEE5" w14:textId="458B356D" w:rsidR="00C53F80" w:rsidRDefault="00C53F80" w:rsidP="0051378B">
      <w:pPr>
        <w:pStyle w:val="SingleTxt"/>
        <w:tabs>
          <w:tab w:val="clear" w:pos="1267"/>
          <w:tab w:val="clear" w:pos="1742"/>
          <w:tab w:val="left" w:pos="1530"/>
        </w:tabs>
        <w:ind w:left="0"/>
        <w:jc w:val="center"/>
      </w:pPr>
    </w:p>
    <w:p w14:paraId="6DD4E435" w14:textId="47E98F70" w:rsidR="001E05F1" w:rsidRDefault="00F82B59" w:rsidP="006E5E37">
      <w:pPr>
        <w:pStyle w:val="SingleTxt"/>
        <w:keepNext/>
        <w:tabs>
          <w:tab w:val="clear" w:pos="1267"/>
          <w:tab w:val="clear" w:pos="1742"/>
          <w:tab w:val="left" w:pos="1530"/>
        </w:tabs>
        <w:ind w:left="0" w:firstLine="1428"/>
        <w:jc w:val="center"/>
        <w:rPr>
          <w:b/>
        </w:rPr>
      </w:pPr>
      <w:r>
        <w:rPr>
          <w:noProof/>
        </w:rPr>
        <w:drawing>
          <wp:anchor distT="0" distB="0" distL="114300" distR="114300" simplePos="0" relativeHeight="251658248" behindDoc="1" locked="0" layoutInCell="1" allowOverlap="1" wp14:anchorId="44F451E8" wp14:editId="32F73542">
            <wp:simplePos x="0" y="0"/>
            <wp:positionH relativeFrom="column">
              <wp:posOffset>407973</wp:posOffset>
            </wp:positionH>
            <wp:positionV relativeFrom="paragraph">
              <wp:posOffset>214630</wp:posOffset>
            </wp:positionV>
            <wp:extent cx="5717540" cy="2242185"/>
            <wp:effectExtent l="0" t="0" r="0" b="5715"/>
            <wp:wrapTight wrapText="bothSides">
              <wp:wrapPolygon edited="0">
                <wp:start x="0" y="0"/>
                <wp:lineTo x="0" y="21472"/>
                <wp:lineTo x="21518" y="21472"/>
                <wp:lineTo x="21518" y="0"/>
                <wp:lineTo x="0" y="0"/>
              </wp:wrapPolygon>
            </wp:wrapTight>
            <wp:docPr id="1112306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5717540" cy="2242185"/>
                    </a:xfrm>
                    <a:prstGeom prst="rect">
                      <a:avLst/>
                    </a:prstGeom>
                  </pic:spPr>
                </pic:pic>
              </a:graphicData>
            </a:graphic>
            <wp14:sizeRelH relativeFrom="page">
              <wp14:pctWidth>0</wp14:pctWidth>
            </wp14:sizeRelH>
            <wp14:sizeRelV relativeFrom="page">
              <wp14:pctHeight>0</wp14:pctHeight>
            </wp14:sizeRelV>
          </wp:anchor>
        </w:drawing>
      </w:r>
      <w:r w:rsidR="001E05F1" w:rsidRPr="5D788B90">
        <w:rPr>
          <w:b/>
          <w:bCs/>
        </w:rPr>
        <w:t xml:space="preserve">Figure </w:t>
      </w:r>
      <w:r w:rsidR="004D4DCC">
        <w:rPr>
          <w:b/>
          <w:bCs/>
        </w:rPr>
        <w:t>I</w:t>
      </w:r>
      <w:r w:rsidR="00442030">
        <w:rPr>
          <w:b/>
          <w:bCs/>
        </w:rPr>
        <w:t xml:space="preserve"> (</w:t>
      </w:r>
      <w:r w:rsidR="004D4DCC">
        <w:rPr>
          <w:b/>
          <w:bCs/>
        </w:rPr>
        <w:t>b</w:t>
      </w:r>
      <w:r w:rsidR="00442030">
        <w:rPr>
          <w:b/>
          <w:bCs/>
        </w:rPr>
        <w:t>)</w:t>
      </w:r>
      <w:r w:rsidR="006E15C8">
        <w:rPr>
          <w:b/>
          <w:bCs/>
        </w:rPr>
        <w:t>.</w:t>
      </w:r>
      <w:r w:rsidR="00BF1BF3" w:rsidRPr="5D788B90">
        <w:rPr>
          <w:b/>
          <w:bCs/>
        </w:rPr>
        <w:t xml:space="preserve"> UNDP total expenses tre</w:t>
      </w:r>
      <w:r w:rsidR="00887D87" w:rsidRPr="5D788B90">
        <w:rPr>
          <w:b/>
          <w:bCs/>
        </w:rPr>
        <w:t>nd</w:t>
      </w:r>
    </w:p>
    <w:p w14:paraId="1B43C383" w14:textId="5CF246ED" w:rsidR="006C0436" w:rsidRPr="000E57AE" w:rsidRDefault="00376E54" w:rsidP="003F5F37">
      <w:pPr>
        <w:pStyle w:val="SingleTxt"/>
        <w:keepNext/>
        <w:tabs>
          <w:tab w:val="clear" w:pos="1267"/>
          <w:tab w:val="clear" w:pos="1742"/>
          <w:tab w:val="clear" w:pos="2218"/>
        </w:tabs>
        <w:ind w:left="1440"/>
        <w:jc w:val="left"/>
        <w:rPr>
          <w:sz w:val="14"/>
          <w:szCs w:val="14"/>
        </w:rPr>
      </w:pPr>
      <w:r w:rsidRPr="000E57AE">
        <w:rPr>
          <w:sz w:val="14"/>
          <w:szCs w:val="14"/>
        </w:rPr>
        <w:t>N</w:t>
      </w:r>
      <w:r w:rsidR="005C35E2" w:rsidRPr="000E57AE">
        <w:rPr>
          <w:sz w:val="14"/>
          <w:szCs w:val="14"/>
        </w:rPr>
        <w:t>ote:  N</w:t>
      </w:r>
      <w:r w:rsidRPr="000E57AE">
        <w:rPr>
          <w:sz w:val="14"/>
          <w:szCs w:val="14"/>
        </w:rPr>
        <w:t>on-program</w:t>
      </w:r>
      <w:r w:rsidR="00272195">
        <w:rPr>
          <w:sz w:val="14"/>
          <w:szCs w:val="14"/>
        </w:rPr>
        <w:t xml:space="preserve"> Note: Non-programme e</w:t>
      </w:r>
      <w:r w:rsidR="00A23414" w:rsidRPr="000E57AE">
        <w:rPr>
          <w:sz w:val="14"/>
          <w:szCs w:val="14"/>
        </w:rPr>
        <w:t xml:space="preserve">xpenses consist of </w:t>
      </w:r>
      <w:r w:rsidR="00394277" w:rsidRPr="000E57AE">
        <w:rPr>
          <w:sz w:val="14"/>
          <w:szCs w:val="14"/>
        </w:rPr>
        <w:t>development effectiveness, United Nations development coordination, management and special purpose classifications</w:t>
      </w:r>
      <w:r w:rsidR="002E10B5" w:rsidRPr="000E57AE">
        <w:rPr>
          <w:sz w:val="14"/>
          <w:szCs w:val="14"/>
        </w:rPr>
        <w:t>.</w:t>
      </w:r>
    </w:p>
    <w:p w14:paraId="53A5438B" w14:textId="6629F7EE" w:rsidR="00E44330" w:rsidRDefault="00E44330">
      <w:pPr>
        <w:suppressAutoHyphens w:val="0"/>
        <w:spacing w:line="240" w:lineRule="auto"/>
      </w:pPr>
    </w:p>
    <w:p w14:paraId="3FD4F30C" w14:textId="66308963" w:rsidR="00CC7EA4" w:rsidRPr="000E57AE" w:rsidRDefault="00F27DB5" w:rsidP="003F5F37">
      <w:pPr>
        <w:keepNext/>
        <w:tabs>
          <w:tab w:val="left" w:pos="1530"/>
        </w:tabs>
        <w:suppressAutoHyphens w:val="0"/>
        <w:spacing w:line="240" w:lineRule="auto"/>
        <w:rPr>
          <w:b/>
        </w:rPr>
      </w:pPr>
      <w:r>
        <w:lastRenderedPageBreak/>
        <w:tab/>
      </w:r>
      <w:bookmarkStart w:id="16" w:name="_Hlk10826233"/>
      <w:r w:rsidR="006E5E37">
        <w:tab/>
      </w:r>
      <w:r w:rsidR="006E5E37">
        <w:tab/>
      </w:r>
      <w:r w:rsidR="00CC7EA4" w:rsidRPr="000E57AE">
        <w:rPr>
          <w:b/>
        </w:rPr>
        <w:t xml:space="preserve">Figure </w:t>
      </w:r>
      <w:r w:rsidR="004D4DCC">
        <w:rPr>
          <w:b/>
        </w:rPr>
        <w:t>I</w:t>
      </w:r>
      <w:r w:rsidR="00442030">
        <w:rPr>
          <w:b/>
        </w:rPr>
        <w:t xml:space="preserve"> (</w:t>
      </w:r>
      <w:r w:rsidR="001E05F1" w:rsidRPr="000E57AE">
        <w:rPr>
          <w:b/>
        </w:rPr>
        <w:t>c</w:t>
      </w:r>
      <w:r w:rsidR="00442030">
        <w:rPr>
          <w:b/>
        </w:rPr>
        <w:t>)</w:t>
      </w:r>
      <w:r w:rsidR="00CC7EA4" w:rsidRPr="000E57AE">
        <w:rPr>
          <w:b/>
        </w:rPr>
        <w:t xml:space="preserve">. </w:t>
      </w:r>
      <w:r w:rsidR="00FC1FDA" w:rsidRPr="000E57AE">
        <w:rPr>
          <w:b/>
        </w:rPr>
        <w:t xml:space="preserve"> </w:t>
      </w:r>
      <w:r w:rsidR="004C4202" w:rsidRPr="000E57AE">
        <w:rPr>
          <w:b/>
        </w:rPr>
        <w:t xml:space="preserve"> </w:t>
      </w:r>
      <w:r w:rsidR="003C7F38" w:rsidRPr="000E57AE">
        <w:rPr>
          <w:b/>
        </w:rPr>
        <w:t>Total r</w:t>
      </w:r>
      <w:r w:rsidR="00CC7EA4" w:rsidRPr="000E57AE">
        <w:rPr>
          <w:b/>
        </w:rPr>
        <w:t>evenue and expenses</w:t>
      </w:r>
      <w:r w:rsidR="00887D87" w:rsidRPr="000E57AE">
        <w:rPr>
          <w:b/>
        </w:rPr>
        <w:t xml:space="preserve"> trend</w:t>
      </w:r>
      <w:r w:rsidR="00CC7EA4" w:rsidRPr="000E57AE">
        <w:rPr>
          <w:b/>
        </w:rPr>
        <w:t>, 20</w:t>
      </w:r>
      <w:r w:rsidR="0053446A">
        <w:rPr>
          <w:b/>
        </w:rPr>
        <w:t>0</w:t>
      </w:r>
      <w:r w:rsidR="00090F2D" w:rsidRPr="000E57AE">
        <w:rPr>
          <w:b/>
        </w:rPr>
        <w:t>9</w:t>
      </w:r>
      <w:r w:rsidR="00CC7EA4" w:rsidRPr="000E57AE">
        <w:rPr>
          <w:b/>
        </w:rPr>
        <w:t>-201</w:t>
      </w:r>
      <w:r w:rsidR="0053446A">
        <w:rPr>
          <w:b/>
        </w:rPr>
        <w:t>9</w:t>
      </w:r>
    </w:p>
    <w:bookmarkEnd w:id="16"/>
    <w:p w14:paraId="677CFC7B" w14:textId="5A877C3B" w:rsidR="00CC7EA4" w:rsidRDefault="00CC7EA4" w:rsidP="003F5F37">
      <w:pPr>
        <w:keepNext/>
        <w:tabs>
          <w:tab w:val="left" w:pos="1260"/>
          <w:tab w:val="left" w:pos="1530"/>
        </w:tabs>
        <w:suppressAutoHyphens w:val="0"/>
        <w:spacing w:line="240" w:lineRule="auto"/>
        <w:jc w:val="center"/>
        <w:rPr>
          <w:i/>
        </w:rPr>
      </w:pPr>
      <w:r w:rsidRPr="000E57AE">
        <w:rPr>
          <w:b/>
        </w:rPr>
        <w:t xml:space="preserve"> </w:t>
      </w:r>
      <w:r w:rsidRPr="00E44330">
        <w:rPr>
          <w:i/>
        </w:rPr>
        <w:t xml:space="preserve">(in millions of </w:t>
      </w:r>
      <w:r w:rsidR="00E44330">
        <w:rPr>
          <w:i/>
        </w:rPr>
        <w:t xml:space="preserve">United States </w:t>
      </w:r>
      <w:r w:rsidRPr="00E44330">
        <w:rPr>
          <w:i/>
        </w:rPr>
        <w:t>dollars)</w:t>
      </w:r>
    </w:p>
    <w:p w14:paraId="6AA921CF" w14:textId="02074755" w:rsidR="00CF0F94" w:rsidRPr="00E44330" w:rsidRDefault="7362D222" w:rsidP="003F5F37">
      <w:pPr>
        <w:keepNext/>
        <w:tabs>
          <w:tab w:val="left" w:pos="1260"/>
          <w:tab w:val="left" w:pos="1530"/>
        </w:tabs>
        <w:suppressAutoHyphens w:val="0"/>
        <w:spacing w:line="240" w:lineRule="auto"/>
        <w:jc w:val="center"/>
        <w:rPr>
          <w:i/>
        </w:rPr>
      </w:pPr>
      <w:r>
        <w:rPr>
          <w:noProof/>
        </w:rPr>
        <w:drawing>
          <wp:inline distT="0" distB="0" distL="0" distR="0" wp14:anchorId="76A154AF" wp14:editId="390782FB">
            <wp:extent cx="5915249" cy="3364302"/>
            <wp:effectExtent l="0" t="0" r="9525" b="7620"/>
            <wp:docPr id="6034905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5915249" cy="3364302"/>
                    </a:xfrm>
                    <a:prstGeom prst="rect">
                      <a:avLst/>
                    </a:prstGeom>
                  </pic:spPr>
                </pic:pic>
              </a:graphicData>
            </a:graphic>
          </wp:inline>
        </w:drawing>
      </w:r>
    </w:p>
    <w:p w14:paraId="6E99A50D" w14:textId="77777777" w:rsidR="001955C8" w:rsidRDefault="001955C8" w:rsidP="00CC7EA4">
      <w:pPr>
        <w:pStyle w:val="SingleTxt"/>
        <w:spacing w:before="60" w:after="0" w:line="120" w:lineRule="exact"/>
        <w:rPr>
          <w:i/>
          <w:sz w:val="14"/>
          <w:szCs w:val="14"/>
        </w:rPr>
      </w:pPr>
    </w:p>
    <w:p w14:paraId="5FC8C3F9" w14:textId="551FD2FC" w:rsidR="00CC7EA4" w:rsidRPr="005F5E73" w:rsidRDefault="00A32A7F" w:rsidP="00CC7EA4">
      <w:pPr>
        <w:pStyle w:val="SingleTxt"/>
        <w:spacing w:before="60" w:after="0" w:line="120" w:lineRule="exact"/>
        <w:rPr>
          <w:b/>
          <w:sz w:val="18"/>
          <w:szCs w:val="18"/>
        </w:rPr>
      </w:pPr>
      <w:r w:rsidRPr="000E57AE">
        <w:rPr>
          <w:i/>
          <w:sz w:val="14"/>
          <w:szCs w:val="14"/>
        </w:rPr>
        <w:tab/>
      </w:r>
      <w:r w:rsidR="00CC7EA4" w:rsidRPr="005F5E73">
        <w:rPr>
          <w:i/>
          <w:sz w:val="18"/>
          <w:szCs w:val="18"/>
        </w:rPr>
        <w:t>Note:</w:t>
      </w:r>
      <w:r w:rsidR="00CC7EA4" w:rsidRPr="005F5E73">
        <w:rPr>
          <w:sz w:val="18"/>
          <w:szCs w:val="18"/>
        </w:rPr>
        <w:t xml:space="preserve"> IPSAS=</w:t>
      </w:r>
      <w:r w:rsidR="00CC7EA4" w:rsidRPr="005F5E73">
        <w:rPr>
          <w:color w:val="333333"/>
          <w:sz w:val="18"/>
          <w:szCs w:val="18"/>
          <w:shd w:val="clear" w:color="auto" w:fill="F5F5F5"/>
        </w:rPr>
        <w:t>International Public Sector Accounting Standards</w:t>
      </w:r>
    </w:p>
    <w:p w14:paraId="5CC01D42" w14:textId="5A68F867" w:rsidR="003D3B1E" w:rsidRPr="000E57AE" w:rsidRDefault="003D3B1E" w:rsidP="005F648C">
      <w:pPr>
        <w:pStyle w:val="HCh"/>
        <w:numPr>
          <w:ilvl w:val="0"/>
          <w:numId w:val="13"/>
        </w:numPr>
        <w:tabs>
          <w:tab w:val="clear" w:pos="1267"/>
          <w:tab w:val="left" w:pos="1260"/>
        </w:tabs>
        <w:spacing w:before="360" w:after="240" w:line="240" w:lineRule="auto"/>
        <w:ind w:right="1267"/>
      </w:pPr>
      <w:bookmarkStart w:id="17" w:name="_Toc46399193"/>
      <w:r w:rsidRPr="000E57AE">
        <w:t xml:space="preserve">Financial </w:t>
      </w:r>
      <w:r w:rsidR="00E82350" w:rsidRPr="000E57AE">
        <w:t>h</w:t>
      </w:r>
      <w:r w:rsidRPr="000E57AE">
        <w:t>ighlights for 201</w:t>
      </w:r>
      <w:r w:rsidR="00494E10">
        <w:t>9</w:t>
      </w:r>
      <w:bookmarkEnd w:id="17"/>
    </w:p>
    <w:p w14:paraId="1D6C1539" w14:textId="76B425C0" w:rsidR="003D3B1E" w:rsidRPr="000E57AE" w:rsidRDefault="003D3B1E" w:rsidP="009E5F63">
      <w:pPr>
        <w:pStyle w:val="H1"/>
        <w:numPr>
          <w:ilvl w:val="1"/>
          <w:numId w:val="6"/>
        </w:numPr>
        <w:tabs>
          <w:tab w:val="clear" w:pos="1022"/>
          <w:tab w:val="clear" w:pos="1742"/>
          <w:tab w:val="right" w:pos="1440"/>
          <w:tab w:val="left" w:pos="1800"/>
        </w:tabs>
        <w:spacing w:before="240" w:after="240" w:line="240" w:lineRule="auto"/>
        <w:ind w:left="1152" w:right="0"/>
        <w:outlineLvl w:val="1"/>
      </w:pPr>
      <w:bookmarkStart w:id="18" w:name="_Toc39596151"/>
      <w:bookmarkStart w:id="19" w:name="_Toc39596195"/>
      <w:bookmarkStart w:id="20" w:name="_Toc39596239"/>
      <w:bookmarkStart w:id="21" w:name="_Toc46399194"/>
      <w:bookmarkEnd w:id="18"/>
      <w:bookmarkEnd w:id="19"/>
      <w:bookmarkEnd w:id="20"/>
      <w:r w:rsidRPr="000E57AE">
        <w:t>Summary of UNDP financial situation</w:t>
      </w:r>
      <w:bookmarkEnd w:id="21"/>
      <w:r w:rsidRPr="000E57AE">
        <w:t xml:space="preserve"> </w:t>
      </w:r>
    </w:p>
    <w:p w14:paraId="0E73A800" w14:textId="65FA0C55" w:rsidR="008C76BF" w:rsidRPr="000E57AE" w:rsidRDefault="006D630A" w:rsidP="008264C8">
      <w:pPr>
        <w:pStyle w:val="SingleTxt"/>
        <w:keepNext/>
        <w:spacing w:after="0"/>
        <w:jc w:val="center"/>
        <w:rPr>
          <w:b/>
          <w:sz w:val="22"/>
        </w:rPr>
      </w:pPr>
      <w:r w:rsidRPr="000E57AE">
        <w:rPr>
          <w:b/>
        </w:rPr>
        <w:t>Table 1.</w:t>
      </w:r>
      <w:r w:rsidR="002861BE" w:rsidRPr="000E57AE">
        <w:rPr>
          <w:b/>
        </w:rPr>
        <w:t xml:space="preserve"> </w:t>
      </w:r>
      <w:r w:rsidR="003E2000" w:rsidRPr="000E57AE">
        <w:rPr>
          <w:b/>
        </w:rPr>
        <w:t>UNDP financial situation, 201</w:t>
      </w:r>
      <w:r w:rsidR="00494E10">
        <w:rPr>
          <w:b/>
        </w:rPr>
        <w:t>8-</w:t>
      </w:r>
      <w:r w:rsidR="003E2000" w:rsidRPr="000E57AE">
        <w:rPr>
          <w:b/>
        </w:rPr>
        <w:t>201</w:t>
      </w:r>
      <w:r w:rsidR="00494E10">
        <w:rPr>
          <w:b/>
        </w:rPr>
        <w:t>9</w:t>
      </w:r>
      <w:bookmarkStart w:id="22" w:name="_Toc40281075"/>
      <w:bookmarkStart w:id="23" w:name="_Toc40281234"/>
      <w:bookmarkEnd w:id="22"/>
      <w:bookmarkEnd w:id="23"/>
    </w:p>
    <w:tbl>
      <w:tblPr>
        <w:tblStyle w:val="TableGrid"/>
        <w:tblpPr w:leftFromText="180" w:rightFromText="180" w:vertAnchor="text" w:horzAnchor="page" w:tblpX="1916" w:tblpY="55"/>
        <w:tblW w:w="8708" w:type="dxa"/>
        <w:tblLayout w:type="fixed"/>
        <w:tblCellMar>
          <w:top w:w="43" w:type="dxa"/>
          <w:left w:w="43" w:type="dxa"/>
          <w:bottom w:w="43" w:type="dxa"/>
          <w:right w:w="43" w:type="dxa"/>
        </w:tblCellMar>
        <w:tblLook w:val="04A0" w:firstRow="1" w:lastRow="0" w:firstColumn="1" w:lastColumn="0" w:noHBand="0" w:noVBand="1"/>
      </w:tblPr>
      <w:tblGrid>
        <w:gridCol w:w="2963"/>
        <w:gridCol w:w="1433"/>
        <w:gridCol w:w="1434"/>
        <w:gridCol w:w="1434"/>
        <w:gridCol w:w="1435"/>
        <w:gridCol w:w="9"/>
      </w:tblGrid>
      <w:tr w:rsidR="001A228F" w:rsidRPr="00FE27DA" w14:paraId="35520FEF" w14:textId="70B6C5AB" w:rsidTr="00955997">
        <w:trPr>
          <w:gridAfter w:val="1"/>
          <w:wAfter w:w="9" w:type="dxa"/>
          <w:trHeight w:val="410"/>
        </w:trPr>
        <w:tc>
          <w:tcPr>
            <w:tcW w:w="2963" w:type="dxa"/>
            <w:tcBorders>
              <w:top w:val="nil"/>
              <w:left w:val="nil"/>
              <w:bottom w:val="single" w:sz="4" w:space="0" w:color="auto"/>
              <w:right w:val="nil"/>
            </w:tcBorders>
            <w:hideMark/>
          </w:tcPr>
          <w:p w14:paraId="551575D8" w14:textId="20735A0C" w:rsidR="001A228F" w:rsidRPr="00FE27DA" w:rsidRDefault="001A228F" w:rsidP="009741B1">
            <w:pPr>
              <w:keepNext/>
              <w:rPr>
                <w:color w:val="000000"/>
                <w:spacing w:val="0"/>
                <w:w w:val="100"/>
                <w:kern w:val="0"/>
                <w:sz w:val="18"/>
                <w:szCs w:val="18"/>
                <w:lang w:val="en-US"/>
              </w:rPr>
            </w:pPr>
            <w:r w:rsidRPr="00FE27DA">
              <w:rPr>
                <w:color w:val="000000"/>
                <w:spacing w:val="0"/>
                <w:w w:val="100"/>
                <w:kern w:val="0"/>
                <w:sz w:val="18"/>
                <w:szCs w:val="18"/>
                <w:lang w:val="en-US"/>
              </w:rPr>
              <w:t>(</w:t>
            </w:r>
            <w:r>
              <w:rPr>
                <w:color w:val="000000"/>
                <w:spacing w:val="0"/>
                <w:w w:val="100"/>
                <w:kern w:val="0"/>
                <w:sz w:val="18"/>
                <w:szCs w:val="18"/>
                <w:lang w:val="en-US"/>
              </w:rPr>
              <w:t>M</w:t>
            </w:r>
            <w:r w:rsidRPr="00FE27DA">
              <w:rPr>
                <w:color w:val="000000"/>
                <w:spacing w:val="0"/>
                <w:w w:val="100"/>
                <w:kern w:val="0"/>
                <w:sz w:val="18"/>
                <w:szCs w:val="18"/>
                <w:lang w:val="en-US"/>
              </w:rPr>
              <w:t>illions</w:t>
            </w:r>
            <w:r>
              <w:rPr>
                <w:color w:val="000000"/>
                <w:spacing w:val="0"/>
                <w:w w:val="100"/>
                <w:kern w:val="0"/>
                <w:sz w:val="18"/>
                <w:szCs w:val="18"/>
                <w:lang w:val="en-US"/>
              </w:rPr>
              <w:t xml:space="preserve"> of United States dollars</w:t>
            </w:r>
            <w:r w:rsidRPr="00FE27DA">
              <w:rPr>
                <w:color w:val="000000"/>
                <w:spacing w:val="0"/>
                <w:w w:val="100"/>
                <w:kern w:val="0"/>
                <w:sz w:val="18"/>
                <w:szCs w:val="18"/>
                <w:lang w:val="en-US"/>
              </w:rPr>
              <w:t>)</w:t>
            </w:r>
            <w:bookmarkStart w:id="24" w:name="_Toc40281076"/>
            <w:bookmarkStart w:id="25" w:name="_Toc40281235"/>
            <w:bookmarkEnd w:id="24"/>
            <w:bookmarkEnd w:id="25"/>
          </w:p>
        </w:tc>
        <w:tc>
          <w:tcPr>
            <w:tcW w:w="1433" w:type="dxa"/>
            <w:tcBorders>
              <w:top w:val="nil"/>
              <w:left w:val="nil"/>
              <w:bottom w:val="single" w:sz="4" w:space="0" w:color="auto"/>
              <w:right w:val="nil"/>
            </w:tcBorders>
            <w:vAlign w:val="center"/>
            <w:hideMark/>
          </w:tcPr>
          <w:p w14:paraId="3356B975" w14:textId="248E8B0C" w:rsidR="001A228F" w:rsidRPr="00FE27DA" w:rsidRDefault="001A228F" w:rsidP="009741B1">
            <w:pPr>
              <w:keepNext/>
              <w:suppressAutoHyphens w:val="0"/>
              <w:spacing w:line="240" w:lineRule="auto"/>
              <w:jc w:val="center"/>
              <w:rPr>
                <w:b/>
                <w:bCs/>
                <w:i/>
                <w:iCs/>
                <w:color w:val="000000"/>
                <w:spacing w:val="0"/>
                <w:w w:val="100"/>
                <w:kern w:val="0"/>
                <w:sz w:val="18"/>
                <w:szCs w:val="18"/>
                <w:lang w:val="en-US"/>
              </w:rPr>
            </w:pPr>
            <w:bookmarkStart w:id="26" w:name="_Toc40281077"/>
            <w:bookmarkStart w:id="27" w:name="_Toc40281236"/>
            <w:bookmarkEnd w:id="26"/>
            <w:bookmarkEnd w:id="27"/>
            <w:r w:rsidRPr="00FE27DA">
              <w:rPr>
                <w:b/>
                <w:bCs/>
                <w:i/>
                <w:iCs/>
                <w:color w:val="000000"/>
                <w:spacing w:val="0"/>
                <w:w w:val="100"/>
                <w:kern w:val="0"/>
                <w:sz w:val="18"/>
                <w:szCs w:val="18"/>
                <w:lang w:val="en-US"/>
              </w:rPr>
              <w:t>201</w:t>
            </w:r>
            <w:r w:rsidR="00A87E6F">
              <w:rPr>
                <w:b/>
                <w:bCs/>
                <w:i/>
                <w:iCs/>
                <w:color w:val="000000"/>
                <w:spacing w:val="0"/>
                <w:w w:val="100"/>
                <w:kern w:val="0"/>
                <w:sz w:val="18"/>
                <w:szCs w:val="18"/>
                <w:lang w:val="en-US"/>
              </w:rPr>
              <w:t>9</w:t>
            </w:r>
            <w:bookmarkStart w:id="28" w:name="_Toc40281078"/>
            <w:bookmarkStart w:id="29" w:name="_Toc40281237"/>
            <w:bookmarkEnd w:id="28"/>
            <w:bookmarkEnd w:id="29"/>
          </w:p>
        </w:tc>
        <w:tc>
          <w:tcPr>
            <w:tcW w:w="1434" w:type="dxa"/>
            <w:tcBorders>
              <w:top w:val="nil"/>
              <w:left w:val="nil"/>
              <w:bottom w:val="single" w:sz="4" w:space="0" w:color="auto"/>
              <w:right w:val="nil"/>
            </w:tcBorders>
            <w:vAlign w:val="center"/>
          </w:tcPr>
          <w:p w14:paraId="0A39FCBD" w14:textId="0B792367" w:rsidR="00A87E6F" w:rsidRDefault="001A228F" w:rsidP="009741B1">
            <w:pPr>
              <w:keepNext/>
              <w:suppressAutoHyphens w:val="0"/>
              <w:spacing w:line="240" w:lineRule="auto"/>
              <w:jc w:val="center"/>
              <w:rPr>
                <w:b/>
                <w:bCs/>
                <w:i/>
                <w:iCs/>
                <w:color w:val="000000"/>
                <w:spacing w:val="0"/>
                <w:w w:val="100"/>
                <w:kern w:val="0"/>
                <w:sz w:val="18"/>
                <w:szCs w:val="18"/>
                <w:lang w:val="en-US"/>
              </w:rPr>
            </w:pPr>
            <w:bookmarkStart w:id="30" w:name="_Toc40281079"/>
            <w:bookmarkStart w:id="31" w:name="_Toc40281238"/>
            <w:bookmarkEnd w:id="30"/>
            <w:bookmarkEnd w:id="31"/>
            <w:r w:rsidRPr="00FE27DA">
              <w:rPr>
                <w:b/>
                <w:bCs/>
                <w:i/>
                <w:iCs/>
                <w:color w:val="000000"/>
                <w:spacing w:val="0"/>
                <w:w w:val="100"/>
                <w:kern w:val="0"/>
                <w:sz w:val="18"/>
                <w:szCs w:val="18"/>
                <w:lang w:val="en-US"/>
              </w:rPr>
              <w:t>201</w:t>
            </w:r>
            <w:bookmarkStart w:id="32" w:name="_Toc40281080"/>
            <w:bookmarkStart w:id="33" w:name="_Toc40281239"/>
            <w:bookmarkEnd w:id="32"/>
            <w:bookmarkEnd w:id="33"/>
            <w:r w:rsidR="00A87E6F">
              <w:rPr>
                <w:b/>
                <w:bCs/>
                <w:i/>
                <w:iCs/>
                <w:color w:val="000000"/>
                <w:spacing w:val="0"/>
                <w:w w:val="100"/>
                <w:kern w:val="0"/>
                <w:sz w:val="18"/>
                <w:szCs w:val="18"/>
                <w:lang w:val="en-US"/>
              </w:rPr>
              <w:t>8</w:t>
            </w:r>
          </w:p>
          <w:p w14:paraId="21159D1D" w14:textId="506BE0D3" w:rsidR="00A87E6F" w:rsidRPr="00FE27DA" w:rsidRDefault="00A87E6F" w:rsidP="009741B1">
            <w:pPr>
              <w:keepNext/>
              <w:suppressAutoHyphens w:val="0"/>
              <w:spacing w:line="240" w:lineRule="auto"/>
              <w:jc w:val="center"/>
              <w:rPr>
                <w:b/>
                <w:bCs/>
                <w:i/>
                <w:iCs/>
                <w:color w:val="000000"/>
                <w:spacing w:val="0"/>
                <w:w w:val="100"/>
                <w:kern w:val="0"/>
                <w:sz w:val="18"/>
                <w:szCs w:val="18"/>
                <w:lang w:val="en-US"/>
              </w:rPr>
            </w:pPr>
            <w:r>
              <w:rPr>
                <w:b/>
                <w:bCs/>
                <w:i/>
                <w:iCs/>
                <w:color w:val="000000"/>
                <w:spacing w:val="0"/>
                <w:w w:val="100"/>
                <w:kern w:val="0"/>
                <w:sz w:val="18"/>
                <w:szCs w:val="18"/>
                <w:lang w:val="en-US"/>
              </w:rPr>
              <w:t>(restated)</w:t>
            </w:r>
          </w:p>
        </w:tc>
        <w:tc>
          <w:tcPr>
            <w:tcW w:w="1434" w:type="dxa"/>
            <w:tcBorders>
              <w:top w:val="nil"/>
              <w:left w:val="nil"/>
              <w:bottom w:val="single" w:sz="4" w:space="0" w:color="auto"/>
              <w:right w:val="nil"/>
            </w:tcBorders>
            <w:vAlign w:val="center"/>
            <w:hideMark/>
          </w:tcPr>
          <w:p w14:paraId="553932AE" w14:textId="75456EB5" w:rsidR="001A228F" w:rsidRPr="00FE27DA" w:rsidRDefault="001A228F" w:rsidP="009741B1">
            <w:pPr>
              <w:keepNext/>
              <w:suppressAutoHyphens w:val="0"/>
              <w:spacing w:line="240" w:lineRule="auto"/>
              <w:jc w:val="center"/>
              <w:rPr>
                <w:color w:val="000000"/>
                <w:spacing w:val="0"/>
                <w:w w:val="100"/>
                <w:kern w:val="0"/>
                <w:sz w:val="18"/>
                <w:szCs w:val="18"/>
                <w:lang w:val="en-US"/>
              </w:rPr>
            </w:pPr>
            <w:r w:rsidRPr="00FE27DA">
              <w:rPr>
                <w:color w:val="000000"/>
                <w:spacing w:val="0"/>
                <w:w w:val="100"/>
                <w:kern w:val="0"/>
                <w:sz w:val="18"/>
                <w:szCs w:val="18"/>
                <w:lang w:val="en-US"/>
              </w:rPr>
              <w:t>Increase/</w:t>
            </w:r>
            <w:r w:rsidRPr="00FE27DA">
              <w:rPr>
                <w:color w:val="000000"/>
                <w:spacing w:val="0"/>
                <w:w w:val="100"/>
                <w:kern w:val="0"/>
                <w:sz w:val="18"/>
                <w:szCs w:val="18"/>
                <w:lang w:val="en-US"/>
              </w:rPr>
              <w:br/>
              <w:t>(decrease)</w:t>
            </w:r>
            <w:bookmarkStart w:id="34" w:name="_Toc40281081"/>
            <w:bookmarkStart w:id="35" w:name="_Toc40281240"/>
            <w:bookmarkEnd w:id="34"/>
            <w:bookmarkEnd w:id="35"/>
          </w:p>
        </w:tc>
        <w:tc>
          <w:tcPr>
            <w:tcW w:w="1435" w:type="dxa"/>
            <w:tcBorders>
              <w:top w:val="nil"/>
              <w:left w:val="nil"/>
              <w:bottom w:val="single" w:sz="4" w:space="0" w:color="auto"/>
              <w:right w:val="nil"/>
            </w:tcBorders>
            <w:vAlign w:val="center"/>
            <w:hideMark/>
          </w:tcPr>
          <w:p w14:paraId="0E5A328D" w14:textId="5119B11A" w:rsidR="001A228F" w:rsidRPr="00FE27DA" w:rsidRDefault="001A228F" w:rsidP="009741B1">
            <w:pPr>
              <w:keepNext/>
              <w:suppressAutoHyphens w:val="0"/>
              <w:spacing w:line="240" w:lineRule="auto"/>
              <w:jc w:val="center"/>
              <w:rPr>
                <w:color w:val="000000"/>
                <w:spacing w:val="0"/>
                <w:w w:val="100"/>
                <w:kern w:val="0"/>
                <w:sz w:val="18"/>
                <w:szCs w:val="18"/>
                <w:lang w:val="en-US"/>
              </w:rPr>
            </w:pPr>
            <w:r>
              <w:rPr>
                <w:color w:val="000000"/>
                <w:spacing w:val="0"/>
                <w:w w:val="100"/>
                <w:kern w:val="0"/>
                <w:sz w:val="18"/>
                <w:szCs w:val="18"/>
                <w:lang w:val="en-US"/>
              </w:rPr>
              <w:t>Percentage</w:t>
            </w:r>
            <w:r w:rsidRPr="00FE27DA">
              <w:rPr>
                <w:color w:val="000000"/>
                <w:spacing w:val="0"/>
                <w:w w:val="100"/>
                <w:kern w:val="0"/>
                <w:sz w:val="18"/>
                <w:szCs w:val="18"/>
                <w:lang w:val="en-US"/>
              </w:rPr>
              <w:t xml:space="preserve"> change</w:t>
            </w:r>
            <w:bookmarkStart w:id="36" w:name="_Toc40281082"/>
            <w:bookmarkStart w:id="37" w:name="_Toc40281241"/>
            <w:bookmarkEnd w:id="36"/>
            <w:bookmarkEnd w:id="37"/>
          </w:p>
        </w:tc>
        <w:bookmarkStart w:id="38" w:name="_Toc40281083"/>
        <w:bookmarkStart w:id="39" w:name="_Toc40281242"/>
        <w:bookmarkEnd w:id="38"/>
        <w:bookmarkEnd w:id="39"/>
      </w:tr>
      <w:tr w:rsidR="00E3251C" w:rsidRPr="00FE27DA" w14:paraId="0B69FB41" w14:textId="6D19D131" w:rsidTr="00955997">
        <w:trPr>
          <w:gridAfter w:val="1"/>
          <w:wAfter w:w="9" w:type="dxa"/>
          <w:trHeight w:val="206"/>
        </w:trPr>
        <w:tc>
          <w:tcPr>
            <w:tcW w:w="2963" w:type="dxa"/>
            <w:tcBorders>
              <w:top w:val="single" w:sz="4" w:space="0" w:color="auto"/>
              <w:left w:val="nil"/>
              <w:bottom w:val="nil"/>
              <w:right w:val="nil"/>
            </w:tcBorders>
            <w:hideMark/>
          </w:tcPr>
          <w:p w14:paraId="283A0CF5" w14:textId="756CE5EC" w:rsidR="00E3251C" w:rsidRPr="0038188B" w:rsidRDefault="00E3251C" w:rsidP="009741B1">
            <w:pPr>
              <w:keepNext/>
              <w:suppressAutoHyphens w:val="0"/>
              <w:spacing w:line="240" w:lineRule="auto"/>
              <w:rPr>
                <w:b/>
                <w:bCs/>
                <w:color w:val="000000"/>
                <w:spacing w:val="0"/>
                <w:w w:val="100"/>
                <w:kern w:val="0"/>
                <w:sz w:val="18"/>
                <w:szCs w:val="18"/>
                <w:lang w:val="en-US"/>
              </w:rPr>
            </w:pPr>
            <w:r w:rsidRPr="0038188B">
              <w:rPr>
                <w:b/>
                <w:bCs/>
                <w:color w:val="000000"/>
                <w:spacing w:val="0"/>
                <w:w w:val="100"/>
                <w:kern w:val="0"/>
                <w:sz w:val="18"/>
                <w:szCs w:val="18"/>
                <w:lang w:val="en-US"/>
              </w:rPr>
              <w:t>Revenue</w:t>
            </w:r>
            <w:r w:rsidRPr="0038188B">
              <w:rPr>
                <w:b/>
                <w:bCs/>
                <w:color w:val="000000"/>
                <w:spacing w:val="0"/>
                <w:w w:val="100"/>
                <w:kern w:val="0"/>
                <w:sz w:val="18"/>
                <w:szCs w:val="18"/>
                <w:vertAlign w:val="superscript"/>
                <w:lang w:val="en-US"/>
              </w:rPr>
              <w:t xml:space="preserve"> </w:t>
            </w:r>
            <w:r w:rsidRPr="0038188B">
              <w:rPr>
                <w:b/>
                <w:bCs/>
                <w:color w:val="000000"/>
                <w:spacing w:val="0"/>
                <w:w w:val="100"/>
                <w:kern w:val="0"/>
                <w:vertAlign w:val="superscript"/>
                <w:lang w:val="en-US"/>
              </w:rPr>
              <w:t>a</w:t>
            </w:r>
            <w:bookmarkStart w:id="40" w:name="_Toc40281084"/>
            <w:bookmarkStart w:id="41" w:name="_Toc40281243"/>
            <w:bookmarkEnd w:id="40"/>
            <w:bookmarkEnd w:id="41"/>
          </w:p>
        </w:tc>
        <w:tc>
          <w:tcPr>
            <w:tcW w:w="1433" w:type="dxa"/>
            <w:tcBorders>
              <w:top w:val="single" w:sz="4" w:space="0" w:color="auto"/>
              <w:left w:val="nil"/>
              <w:bottom w:val="nil"/>
              <w:right w:val="nil"/>
            </w:tcBorders>
          </w:tcPr>
          <w:p w14:paraId="560FD145" w14:textId="414FEA4E" w:rsidR="00E3251C" w:rsidRPr="00FE27DA" w:rsidRDefault="00AF257E" w:rsidP="009741B1">
            <w:pPr>
              <w:keepNext/>
              <w:suppressAutoHyphens w:val="0"/>
              <w:spacing w:line="240" w:lineRule="auto"/>
              <w:jc w:val="right"/>
              <w:rPr>
                <w:color w:val="000000"/>
                <w:spacing w:val="0"/>
                <w:w w:val="100"/>
                <w:kern w:val="0"/>
                <w:sz w:val="18"/>
                <w:szCs w:val="18"/>
                <w:lang w:val="en-US"/>
              </w:rPr>
            </w:pPr>
            <w:bookmarkStart w:id="42" w:name="_Toc40281085"/>
            <w:bookmarkStart w:id="43" w:name="_Toc40281244"/>
            <w:bookmarkEnd w:id="42"/>
            <w:bookmarkEnd w:id="43"/>
            <w:r>
              <w:rPr>
                <w:color w:val="000000"/>
                <w:spacing w:val="0"/>
                <w:w w:val="100"/>
                <w:kern w:val="0"/>
                <w:sz w:val="18"/>
                <w:szCs w:val="18"/>
                <w:lang w:val="en-US"/>
              </w:rPr>
              <w:t>4,</w:t>
            </w:r>
            <w:r w:rsidR="0022533F">
              <w:rPr>
                <w:color w:val="000000"/>
                <w:spacing w:val="0"/>
                <w:w w:val="100"/>
                <w:kern w:val="0"/>
                <w:sz w:val="18"/>
                <w:szCs w:val="18"/>
                <w:lang w:val="en-US"/>
              </w:rPr>
              <w:t>829</w:t>
            </w:r>
            <w:bookmarkStart w:id="44" w:name="_Toc40281086"/>
            <w:bookmarkStart w:id="45" w:name="_Toc40281245"/>
            <w:bookmarkEnd w:id="44"/>
            <w:bookmarkEnd w:id="45"/>
          </w:p>
        </w:tc>
        <w:tc>
          <w:tcPr>
            <w:tcW w:w="1434" w:type="dxa"/>
            <w:tcBorders>
              <w:top w:val="single" w:sz="4" w:space="0" w:color="auto"/>
              <w:left w:val="nil"/>
              <w:bottom w:val="nil"/>
              <w:right w:val="nil"/>
            </w:tcBorders>
          </w:tcPr>
          <w:p w14:paraId="37DC1BBC" w14:textId="31DC7B8B" w:rsidR="00E3251C" w:rsidRPr="00FE27DA" w:rsidRDefault="00E3251C" w:rsidP="009741B1">
            <w:pPr>
              <w:keepNext/>
              <w:suppressAutoHyphens w:val="0"/>
              <w:spacing w:line="240" w:lineRule="auto"/>
              <w:jc w:val="right"/>
              <w:rPr>
                <w:color w:val="000000"/>
                <w:spacing w:val="0"/>
                <w:w w:val="100"/>
                <w:kern w:val="0"/>
                <w:sz w:val="18"/>
                <w:szCs w:val="18"/>
                <w:lang w:val="en-US"/>
              </w:rPr>
            </w:pPr>
            <w:bookmarkStart w:id="46" w:name="_Toc40281087"/>
            <w:bookmarkStart w:id="47" w:name="_Toc40281246"/>
            <w:bookmarkEnd w:id="46"/>
            <w:bookmarkEnd w:id="47"/>
            <w:r w:rsidRPr="00FE27DA">
              <w:rPr>
                <w:color w:val="000000"/>
                <w:spacing w:val="0"/>
                <w:w w:val="100"/>
                <w:kern w:val="0"/>
                <w:sz w:val="18"/>
                <w:szCs w:val="18"/>
                <w:lang w:val="en-US"/>
              </w:rPr>
              <w:t>5,</w:t>
            </w:r>
            <w:r w:rsidR="0022533F">
              <w:rPr>
                <w:color w:val="000000"/>
                <w:spacing w:val="0"/>
                <w:w w:val="100"/>
                <w:kern w:val="0"/>
                <w:sz w:val="18"/>
                <w:szCs w:val="18"/>
                <w:lang w:val="en-US"/>
              </w:rPr>
              <w:t>692</w:t>
            </w:r>
            <w:r w:rsidRPr="00FE27DA">
              <w:rPr>
                <w:color w:val="000000"/>
                <w:spacing w:val="0"/>
                <w:w w:val="100"/>
                <w:kern w:val="0"/>
                <w:sz w:val="18"/>
                <w:szCs w:val="18"/>
                <w:lang w:val="en-US"/>
              </w:rPr>
              <w:t xml:space="preserve"> </w:t>
            </w:r>
            <w:bookmarkStart w:id="48" w:name="_Toc40281088"/>
            <w:bookmarkStart w:id="49" w:name="_Toc40281247"/>
            <w:bookmarkEnd w:id="48"/>
            <w:bookmarkEnd w:id="49"/>
          </w:p>
        </w:tc>
        <w:tc>
          <w:tcPr>
            <w:tcW w:w="1434" w:type="dxa"/>
            <w:tcBorders>
              <w:top w:val="single" w:sz="4" w:space="0" w:color="auto"/>
              <w:left w:val="nil"/>
              <w:bottom w:val="nil"/>
              <w:right w:val="nil"/>
            </w:tcBorders>
            <w:noWrap/>
          </w:tcPr>
          <w:p w14:paraId="1220C2B5" w14:textId="727C48BA" w:rsidR="00E3251C" w:rsidRPr="00FE27DA" w:rsidRDefault="00955997" w:rsidP="009741B1">
            <w:pPr>
              <w:keepNext/>
              <w:suppressAutoHyphens w:val="0"/>
              <w:spacing w:line="240" w:lineRule="auto"/>
              <w:jc w:val="right"/>
              <w:rPr>
                <w:color w:val="000000"/>
                <w:spacing w:val="0"/>
                <w:w w:val="100"/>
                <w:kern w:val="0"/>
                <w:sz w:val="18"/>
                <w:szCs w:val="18"/>
                <w:lang w:val="en-US"/>
              </w:rPr>
            </w:pPr>
            <w:r>
              <w:rPr>
                <w:color w:val="000000"/>
                <w:spacing w:val="0"/>
                <w:w w:val="100"/>
                <w:kern w:val="0"/>
                <w:sz w:val="18"/>
                <w:szCs w:val="18"/>
                <w:lang w:val="en-US"/>
              </w:rPr>
              <w:t>(863)</w:t>
            </w:r>
            <w:bookmarkStart w:id="50" w:name="_Toc40281089"/>
            <w:bookmarkStart w:id="51" w:name="_Toc40281248"/>
            <w:bookmarkEnd w:id="50"/>
            <w:bookmarkEnd w:id="51"/>
          </w:p>
        </w:tc>
        <w:tc>
          <w:tcPr>
            <w:tcW w:w="1435" w:type="dxa"/>
            <w:tcBorders>
              <w:top w:val="single" w:sz="4" w:space="0" w:color="auto"/>
              <w:left w:val="nil"/>
              <w:bottom w:val="nil"/>
              <w:right w:val="nil"/>
            </w:tcBorders>
            <w:noWrap/>
          </w:tcPr>
          <w:p w14:paraId="0DDA5134" w14:textId="1B3FB4E7" w:rsidR="00E3251C" w:rsidRPr="00FE27DA" w:rsidRDefault="002F46D7" w:rsidP="009741B1">
            <w:pPr>
              <w:keepNext/>
              <w:suppressAutoHyphens w:val="0"/>
              <w:spacing w:line="240" w:lineRule="auto"/>
              <w:jc w:val="center"/>
              <w:rPr>
                <w:color w:val="000000"/>
                <w:spacing w:val="0"/>
                <w:w w:val="100"/>
                <w:kern w:val="0"/>
                <w:sz w:val="18"/>
                <w:szCs w:val="18"/>
                <w:lang w:val="en-US"/>
              </w:rPr>
            </w:pPr>
            <w:r>
              <w:rPr>
                <w:color w:val="000000"/>
                <w:spacing w:val="0"/>
                <w:w w:val="100"/>
                <w:kern w:val="0"/>
                <w:sz w:val="18"/>
                <w:szCs w:val="18"/>
                <w:lang w:val="en-US"/>
              </w:rPr>
              <w:t>(</w:t>
            </w:r>
            <w:r w:rsidR="00A15FAC">
              <w:rPr>
                <w:color w:val="000000"/>
                <w:spacing w:val="0"/>
                <w:w w:val="100"/>
                <w:kern w:val="0"/>
                <w:sz w:val="18"/>
                <w:szCs w:val="18"/>
                <w:lang w:val="en-US"/>
              </w:rPr>
              <w:t>15%</w:t>
            </w:r>
            <w:bookmarkStart w:id="52" w:name="_Toc40281090"/>
            <w:bookmarkStart w:id="53" w:name="_Toc40281249"/>
            <w:bookmarkEnd w:id="52"/>
            <w:bookmarkEnd w:id="53"/>
            <w:r>
              <w:rPr>
                <w:color w:val="000000"/>
                <w:spacing w:val="0"/>
                <w:w w:val="100"/>
                <w:kern w:val="0"/>
                <w:sz w:val="18"/>
                <w:szCs w:val="18"/>
                <w:lang w:val="en-US"/>
              </w:rPr>
              <w:t>)</w:t>
            </w:r>
          </w:p>
        </w:tc>
        <w:bookmarkStart w:id="54" w:name="_Toc40281091"/>
        <w:bookmarkStart w:id="55" w:name="_Toc40281250"/>
        <w:bookmarkEnd w:id="54"/>
        <w:bookmarkEnd w:id="55"/>
      </w:tr>
      <w:tr w:rsidR="00E3251C" w:rsidRPr="00FE27DA" w14:paraId="78B8D572" w14:textId="78D5A97B" w:rsidTr="00955997">
        <w:trPr>
          <w:gridAfter w:val="1"/>
          <w:wAfter w:w="9" w:type="dxa"/>
          <w:trHeight w:val="206"/>
        </w:trPr>
        <w:tc>
          <w:tcPr>
            <w:tcW w:w="2963" w:type="dxa"/>
            <w:tcBorders>
              <w:top w:val="nil"/>
              <w:left w:val="nil"/>
              <w:bottom w:val="single" w:sz="4" w:space="0" w:color="auto"/>
              <w:right w:val="nil"/>
            </w:tcBorders>
            <w:hideMark/>
          </w:tcPr>
          <w:p w14:paraId="7BD8AB66" w14:textId="38C250F7" w:rsidR="00E3251C" w:rsidRPr="0038188B" w:rsidRDefault="00E3251C" w:rsidP="009741B1">
            <w:pPr>
              <w:keepNext/>
              <w:suppressAutoHyphens w:val="0"/>
              <w:spacing w:line="240" w:lineRule="auto"/>
              <w:rPr>
                <w:b/>
                <w:bCs/>
                <w:color w:val="000000"/>
                <w:spacing w:val="0"/>
                <w:w w:val="100"/>
                <w:kern w:val="0"/>
                <w:sz w:val="18"/>
                <w:szCs w:val="18"/>
                <w:lang w:val="en-US"/>
              </w:rPr>
            </w:pPr>
            <w:r w:rsidRPr="0038188B">
              <w:rPr>
                <w:b/>
                <w:bCs/>
                <w:color w:val="000000"/>
                <w:spacing w:val="0"/>
                <w:w w:val="100"/>
                <w:kern w:val="0"/>
                <w:sz w:val="18"/>
                <w:szCs w:val="18"/>
                <w:lang w:val="en-US"/>
              </w:rPr>
              <w:t xml:space="preserve">Expenses </w:t>
            </w:r>
            <w:r w:rsidRPr="0038188B">
              <w:rPr>
                <w:b/>
                <w:bCs/>
                <w:color w:val="000000"/>
                <w:spacing w:val="0"/>
                <w:w w:val="100"/>
                <w:kern w:val="0"/>
                <w:vertAlign w:val="superscript"/>
                <w:lang w:val="en-US"/>
              </w:rPr>
              <w:t>a</w:t>
            </w:r>
            <w:bookmarkStart w:id="56" w:name="_Toc40281092"/>
            <w:bookmarkStart w:id="57" w:name="_Toc40281251"/>
            <w:bookmarkEnd w:id="56"/>
            <w:bookmarkEnd w:id="57"/>
          </w:p>
        </w:tc>
        <w:tc>
          <w:tcPr>
            <w:tcW w:w="1433" w:type="dxa"/>
            <w:tcBorders>
              <w:top w:val="nil"/>
              <w:left w:val="nil"/>
              <w:bottom w:val="single" w:sz="4" w:space="0" w:color="auto"/>
              <w:right w:val="nil"/>
            </w:tcBorders>
          </w:tcPr>
          <w:p w14:paraId="42347080" w14:textId="2670F664" w:rsidR="00E3251C" w:rsidRPr="00FE27DA" w:rsidRDefault="0022533F" w:rsidP="009741B1">
            <w:pPr>
              <w:keepNext/>
              <w:suppressAutoHyphens w:val="0"/>
              <w:spacing w:line="240" w:lineRule="auto"/>
              <w:jc w:val="right"/>
              <w:rPr>
                <w:color w:val="000000"/>
                <w:spacing w:val="0"/>
                <w:w w:val="100"/>
                <w:kern w:val="0"/>
                <w:sz w:val="18"/>
                <w:szCs w:val="18"/>
                <w:lang w:val="en-US"/>
              </w:rPr>
            </w:pPr>
            <w:bookmarkStart w:id="58" w:name="_Toc40281093"/>
            <w:bookmarkStart w:id="59" w:name="_Toc40281252"/>
            <w:bookmarkEnd w:id="58"/>
            <w:bookmarkEnd w:id="59"/>
            <w:r>
              <w:rPr>
                <w:color w:val="000000"/>
                <w:spacing w:val="0"/>
                <w:w w:val="100"/>
                <w:kern w:val="0"/>
                <w:sz w:val="18"/>
                <w:szCs w:val="18"/>
                <w:lang w:val="en-US"/>
              </w:rPr>
              <w:t>4,924</w:t>
            </w:r>
            <w:bookmarkStart w:id="60" w:name="_Toc40281094"/>
            <w:bookmarkStart w:id="61" w:name="_Toc40281253"/>
            <w:bookmarkEnd w:id="60"/>
            <w:bookmarkEnd w:id="61"/>
          </w:p>
        </w:tc>
        <w:tc>
          <w:tcPr>
            <w:tcW w:w="1434" w:type="dxa"/>
            <w:tcBorders>
              <w:top w:val="nil"/>
              <w:left w:val="nil"/>
              <w:bottom w:val="single" w:sz="4" w:space="0" w:color="auto"/>
              <w:right w:val="nil"/>
            </w:tcBorders>
          </w:tcPr>
          <w:p w14:paraId="70CCAF7F" w14:textId="56A92B53" w:rsidR="00E3251C" w:rsidRPr="00FE27DA" w:rsidRDefault="00E3251C" w:rsidP="009741B1">
            <w:pPr>
              <w:keepNext/>
              <w:suppressAutoHyphens w:val="0"/>
              <w:spacing w:line="240" w:lineRule="auto"/>
              <w:jc w:val="right"/>
              <w:rPr>
                <w:color w:val="000000"/>
                <w:spacing w:val="0"/>
                <w:w w:val="100"/>
                <w:kern w:val="0"/>
                <w:sz w:val="18"/>
                <w:szCs w:val="18"/>
                <w:lang w:val="en-US"/>
              </w:rPr>
            </w:pPr>
            <w:bookmarkStart w:id="62" w:name="_Toc40281095"/>
            <w:bookmarkStart w:id="63" w:name="_Toc40281254"/>
            <w:bookmarkEnd w:id="62"/>
            <w:bookmarkEnd w:id="63"/>
            <w:r w:rsidRPr="00FE27DA">
              <w:rPr>
                <w:color w:val="000000"/>
                <w:spacing w:val="0"/>
                <w:w w:val="100"/>
                <w:kern w:val="0"/>
                <w:sz w:val="18"/>
                <w:szCs w:val="18"/>
                <w:lang w:val="en-US"/>
              </w:rPr>
              <w:t xml:space="preserve">5,097 </w:t>
            </w:r>
            <w:bookmarkStart w:id="64" w:name="_Toc40281096"/>
            <w:bookmarkStart w:id="65" w:name="_Toc40281255"/>
            <w:bookmarkEnd w:id="64"/>
            <w:bookmarkEnd w:id="65"/>
          </w:p>
        </w:tc>
        <w:tc>
          <w:tcPr>
            <w:tcW w:w="1434" w:type="dxa"/>
            <w:tcBorders>
              <w:top w:val="nil"/>
              <w:left w:val="nil"/>
              <w:bottom w:val="single" w:sz="4" w:space="0" w:color="auto"/>
              <w:right w:val="nil"/>
            </w:tcBorders>
            <w:noWrap/>
          </w:tcPr>
          <w:p w14:paraId="77758289" w14:textId="32EFF68E" w:rsidR="00E3251C" w:rsidRPr="00FE27DA" w:rsidRDefault="00955997" w:rsidP="009741B1">
            <w:pPr>
              <w:keepNext/>
              <w:suppressAutoHyphens w:val="0"/>
              <w:spacing w:line="240" w:lineRule="auto"/>
              <w:jc w:val="right"/>
              <w:rPr>
                <w:color w:val="000000"/>
                <w:spacing w:val="0"/>
                <w:w w:val="100"/>
                <w:kern w:val="0"/>
                <w:sz w:val="18"/>
                <w:szCs w:val="18"/>
                <w:lang w:val="en-US"/>
              </w:rPr>
            </w:pPr>
            <w:r>
              <w:rPr>
                <w:color w:val="000000"/>
                <w:spacing w:val="0"/>
                <w:w w:val="100"/>
                <w:kern w:val="0"/>
                <w:sz w:val="18"/>
                <w:szCs w:val="18"/>
                <w:lang w:val="en-US"/>
              </w:rPr>
              <w:t>(173)</w:t>
            </w:r>
            <w:bookmarkStart w:id="66" w:name="_Toc40281097"/>
            <w:bookmarkStart w:id="67" w:name="_Toc40281256"/>
            <w:bookmarkEnd w:id="66"/>
            <w:bookmarkEnd w:id="67"/>
          </w:p>
        </w:tc>
        <w:tc>
          <w:tcPr>
            <w:tcW w:w="1435" w:type="dxa"/>
            <w:tcBorders>
              <w:top w:val="nil"/>
              <w:left w:val="nil"/>
              <w:bottom w:val="single" w:sz="4" w:space="0" w:color="auto"/>
              <w:right w:val="nil"/>
            </w:tcBorders>
            <w:noWrap/>
          </w:tcPr>
          <w:p w14:paraId="721DB515" w14:textId="5457739B" w:rsidR="00E3251C" w:rsidRPr="00FE27DA" w:rsidRDefault="002F46D7" w:rsidP="009741B1">
            <w:pPr>
              <w:keepNext/>
              <w:suppressAutoHyphens w:val="0"/>
              <w:spacing w:line="240" w:lineRule="auto"/>
              <w:jc w:val="center"/>
              <w:rPr>
                <w:color w:val="000000"/>
                <w:spacing w:val="0"/>
                <w:w w:val="100"/>
                <w:kern w:val="0"/>
                <w:sz w:val="18"/>
                <w:szCs w:val="18"/>
                <w:lang w:val="en-US"/>
              </w:rPr>
            </w:pPr>
            <w:r>
              <w:rPr>
                <w:color w:val="000000"/>
                <w:spacing w:val="0"/>
                <w:w w:val="100"/>
                <w:kern w:val="0"/>
                <w:sz w:val="18"/>
                <w:szCs w:val="18"/>
                <w:lang w:val="en-US"/>
              </w:rPr>
              <w:t>(</w:t>
            </w:r>
            <w:r w:rsidR="00A80EFC">
              <w:rPr>
                <w:color w:val="000000"/>
                <w:spacing w:val="0"/>
                <w:w w:val="100"/>
                <w:kern w:val="0"/>
                <w:sz w:val="18"/>
                <w:szCs w:val="18"/>
                <w:lang w:val="en-US"/>
              </w:rPr>
              <w:t>3%</w:t>
            </w:r>
            <w:bookmarkStart w:id="68" w:name="_Toc40281098"/>
            <w:bookmarkStart w:id="69" w:name="_Toc40281257"/>
            <w:bookmarkEnd w:id="68"/>
            <w:bookmarkEnd w:id="69"/>
            <w:r>
              <w:rPr>
                <w:color w:val="000000"/>
                <w:spacing w:val="0"/>
                <w:w w:val="100"/>
                <w:kern w:val="0"/>
                <w:sz w:val="18"/>
                <w:szCs w:val="18"/>
                <w:lang w:val="en-US"/>
              </w:rPr>
              <w:t>)</w:t>
            </w:r>
          </w:p>
        </w:tc>
        <w:bookmarkStart w:id="70" w:name="_Toc40281099"/>
        <w:bookmarkStart w:id="71" w:name="_Toc40281258"/>
        <w:bookmarkEnd w:id="70"/>
        <w:bookmarkEnd w:id="71"/>
      </w:tr>
      <w:tr w:rsidR="00E3251C" w:rsidRPr="00FE27DA" w14:paraId="1E50997D" w14:textId="3B94D94E" w:rsidTr="00955997">
        <w:trPr>
          <w:gridAfter w:val="1"/>
          <w:wAfter w:w="9" w:type="dxa"/>
          <w:trHeight w:val="206"/>
        </w:trPr>
        <w:tc>
          <w:tcPr>
            <w:tcW w:w="2963" w:type="dxa"/>
            <w:tcBorders>
              <w:top w:val="single" w:sz="4" w:space="0" w:color="auto"/>
              <w:left w:val="nil"/>
              <w:bottom w:val="single" w:sz="4" w:space="0" w:color="auto"/>
              <w:right w:val="nil"/>
            </w:tcBorders>
            <w:hideMark/>
          </w:tcPr>
          <w:p w14:paraId="65E16921" w14:textId="53A58686" w:rsidR="00E3251C" w:rsidRPr="0038188B" w:rsidRDefault="00E3251C" w:rsidP="009741B1">
            <w:pPr>
              <w:keepNext/>
              <w:suppressAutoHyphens w:val="0"/>
              <w:spacing w:line="240" w:lineRule="auto"/>
              <w:rPr>
                <w:b/>
                <w:bCs/>
                <w:color w:val="000000"/>
                <w:spacing w:val="0"/>
                <w:w w:val="100"/>
                <w:kern w:val="0"/>
                <w:sz w:val="18"/>
                <w:szCs w:val="18"/>
                <w:lang w:val="en-US"/>
              </w:rPr>
            </w:pPr>
            <w:r w:rsidRPr="0038188B">
              <w:rPr>
                <w:b/>
                <w:bCs/>
                <w:color w:val="000000"/>
                <w:spacing w:val="0"/>
                <w:w w:val="100"/>
                <w:kern w:val="0"/>
                <w:sz w:val="18"/>
                <w:szCs w:val="18"/>
                <w:lang w:val="en-US"/>
              </w:rPr>
              <w:t>Net revenue</w:t>
            </w:r>
            <w:bookmarkStart w:id="72" w:name="_Toc40281100"/>
            <w:bookmarkStart w:id="73" w:name="_Toc40281259"/>
            <w:bookmarkEnd w:id="72"/>
            <w:bookmarkEnd w:id="73"/>
          </w:p>
        </w:tc>
        <w:tc>
          <w:tcPr>
            <w:tcW w:w="1433" w:type="dxa"/>
            <w:tcBorders>
              <w:top w:val="single" w:sz="4" w:space="0" w:color="auto"/>
              <w:left w:val="nil"/>
              <w:bottom w:val="single" w:sz="4" w:space="0" w:color="auto"/>
              <w:right w:val="nil"/>
            </w:tcBorders>
          </w:tcPr>
          <w:p w14:paraId="138AF46D" w14:textId="3680E084" w:rsidR="00E3251C" w:rsidRPr="00FE27DA" w:rsidRDefault="0022533F" w:rsidP="009741B1">
            <w:pPr>
              <w:keepNext/>
              <w:suppressAutoHyphens w:val="0"/>
              <w:spacing w:line="240" w:lineRule="auto"/>
              <w:jc w:val="right"/>
              <w:rPr>
                <w:color w:val="000000"/>
                <w:spacing w:val="0"/>
                <w:w w:val="100"/>
                <w:kern w:val="0"/>
                <w:sz w:val="18"/>
                <w:szCs w:val="18"/>
                <w:lang w:val="en-US"/>
              </w:rPr>
            </w:pPr>
            <w:bookmarkStart w:id="74" w:name="_Toc40281101"/>
            <w:bookmarkStart w:id="75" w:name="_Toc40281260"/>
            <w:bookmarkEnd w:id="74"/>
            <w:bookmarkEnd w:id="75"/>
            <w:r>
              <w:rPr>
                <w:color w:val="000000"/>
                <w:spacing w:val="0"/>
                <w:w w:val="100"/>
                <w:kern w:val="0"/>
                <w:sz w:val="18"/>
                <w:szCs w:val="18"/>
                <w:lang w:val="en-US"/>
              </w:rPr>
              <w:t>(95)</w:t>
            </w:r>
            <w:bookmarkStart w:id="76" w:name="_Toc40281102"/>
            <w:bookmarkStart w:id="77" w:name="_Toc40281261"/>
            <w:bookmarkEnd w:id="76"/>
            <w:bookmarkEnd w:id="77"/>
          </w:p>
        </w:tc>
        <w:tc>
          <w:tcPr>
            <w:tcW w:w="1434" w:type="dxa"/>
            <w:tcBorders>
              <w:top w:val="single" w:sz="4" w:space="0" w:color="auto"/>
              <w:left w:val="nil"/>
              <w:bottom w:val="single" w:sz="4" w:space="0" w:color="auto"/>
              <w:right w:val="nil"/>
            </w:tcBorders>
          </w:tcPr>
          <w:p w14:paraId="54CFC07B" w14:textId="0931ED44" w:rsidR="00E3251C" w:rsidRPr="00FE27DA" w:rsidRDefault="0022533F" w:rsidP="009741B1">
            <w:pPr>
              <w:keepNext/>
              <w:suppressAutoHyphens w:val="0"/>
              <w:spacing w:line="240" w:lineRule="auto"/>
              <w:jc w:val="right"/>
              <w:rPr>
                <w:color w:val="000000"/>
                <w:spacing w:val="0"/>
                <w:w w:val="100"/>
                <w:kern w:val="0"/>
                <w:sz w:val="18"/>
                <w:szCs w:val="18"/>
                <w:lang w:val="en-US"/>
              </w:rPr>
            </w:pPr>
            <w:bookmarkStart w:id="78" w:name="_Toc40281103"/>
            <w:bookmarkStart w:id="79" w:name="_Toc40281262"/>
            <w:bookmarkEnd w:id="78"/>
            <w:bookmarkEnd w:id="79"/>
            <w:r>
              <w:rPr>
                <w:color w:val="000000"/>
                <w:spacing w:val="0"/>
                <w:w w:val="100"/>
                <w:kern w:val="0"/>
                <w:sz w:val="18"/>
                <w:szCs w:val="18"/>
                <w:lang w:val="en-US"/>
              </w:rPr>
              <w:t>595</w:t>
            </w:r>
            <w:r w:rsidR="00E3251C" w:rsidRPr="00FE27DA">
              <w:rPr>
                <w:color w:val="000000"/>
                <w:spacing w:val="0"/>
                <w:w w:val="100"/>
                <w:kern w:val="0"/>
                <w:sz w:val="18"/>
                <w:szCs w:val="18"/>
                <w:lang w:val="en-US"/>
              </w:rPr>
              <w:t xml:space="preserve"> </w:t>
            </w:r>
            <w:bookmarkStart w:id="80" w:name="_Toc40281104"/>
            <w:bookmarkStart w:id="81" w:name="_Toc40281263"/>
            <w:bookmarkEnd w:id="80"/>
            <w:bookmarkEnd w:id="81"/>
          </w:p>
        </w:tc>
        <w:tc>
          <w:tcPr>
            <w:tcW w:w="1434" w:type="dxa"/>
            <w:tcBorders>
              <w:top w:val="single" w:sz="4" w:space="0" w:color="auto"/>
              <w:left w:val="nil"/>
              <w:bottom w:val="single" w:sz="4" w:space="0" w:color="auto"/>
              <w:right w:val="nil"/>
            </w:tcBorders>
            <w:noWrap/>
          </w:tcPr>
          <w:p w14:paraId="41180214" w14:textId="5B67FDDA" w:rsidR="00E3251C" w:rsidRPr="00FE27DA" w:rsidRDefault="00955997" w:rsidP="009741B1">
            <w:pPr>
              <w:keepNext/>
              <w:suppressAutoHyphens w:val="0"/>
              <w:spacing w:line="240" w:lineRule="auto"/>
              <w:jc w:val="right"/>
              <w:rPr>
                <w:color w:val="000000"/>
                <w:spacing w:val="0"/>
                <w:w w:val="100"/>
                <w:kern w:val="0"/>
                <w:sz w:val="18"/>
                <w:szCs w:val="18"/>
                <w:lang w:val="en-US"/>
              </w:rPr>
            </w:pPr>
            <w:r>
              <w:rPr>
                <w:color w:val="000000"/>
                <w:spacing w:val="0"/>
                <w:w w:val="100"/>
                <w:kern w:val="0"/>
                <w:sz w:val="18"/>
                <w:szCs w:val="18"/>
                <w:lang w:val="en-US"/>
              </w:rPr>
              <w:t>(690)</w:t>
            </w:r>
            <w:bookmarkStart w:id="82" w:name="_Toc40281105"/>
            <w:bookmarkStart w:id="83" w:name="_Toc40281264"/>
            <w:bookmarkEnd w:id="82"/>
            <w:bookmarkEnd w:id="83"/>
          </w:p>
        </w:tc>
        <w:tc>
          <w:tcPr>
            <w:tcW w:w="1435" w:type="dxa"/>
            <w:tcBorders>
              <w:top w:val="single" w:sz="4" w:space="0" w:color="auto"/>
              <w:left w:val="nil"/>
              <w:bottom w:val="single" w:sz="4" w:space="0" w:color="auto"/>
              <w:right w:val="nil"/>
            </w:tcBorders>
            <w:noWrap/>
          </w:tcPr>
          <w:p w14:paraId="51149979" w14:textId="3C02A784" w:rsidR="00E3251C" w:rsidRPr="00FE27DA" w:rsidRDefault="002F46D7" w:rsidP="009741B1">
            <w:pPr>
              <w:keepNext/>
              <w:suppressAutoHyphens w:val="0"/>
              <w:spacing w:line="240" w:lineRule="auto"/>
              <w:ind w:right="180"/>
              <w:jc w:val="center"/>
              <w:rPr>
                <w:color w:val="000000"/>
                <w:spacing w:val="0"/>
                <w:w w:val="100"/>
                <w:kern w:val="0"/>
                <w:sz w:val="18"/>
                <w:szCs w:val="18"/>
                <w:lang w:val="en-US"/>
              </w:rPr>
            </w:pPr>
            <w:r>
              <w:rPr>
                <w:color w:val="000000"/>
                <w:spacing w:val="0"/>
                <w:w w:val="100"/>
                <w:kern w:val="0"/>
                <w:sz w:val="18"/>
                <w:szCs w:val="18"/>
                <w:lang w:val="en-US"/>
              </w:rPr>
              <w:t>(</w:t>
            </w:r>
            <w:r w:rsidR="00A15FAC">
              <w:rPr>
                <w:color w:val="000000"/>
                <w:spacing w:val="0"/>
                <w:w w:val="100"/>
                <w:kern w:val="0"/>
                <w:sz w:val="18"/>
                <w:szCs w:val="18"/>
                <w:lang w:val="en-US"/>
              </w:rPr>
              <w:t>116%</w:t>
            </w:r>
            <w:bookmarkStart w:id="84" w:name="_Toc40281106"/>
            <w:bookmarkStart w:id="85" w:name="_Toc40281265"/>
            <w:bookmarkEnd w:id="84"/>
            <w:bookmarkEnd w:id="85"/>
            <w:r>
              <w:rPr>
                <w:color w:val="000000"/>
                <w:spacing w:val="0"/>
                <w:w w:val="100"/>
                <w:kern w:val="0"/>
                <w:sz w:val="18"/>
                <w:szCs w:val="18"/>
                <w:lang w:val="en-US"/>
              </w:rPr>
              <w:t>)</w:t>
            </w:r>
          </w:p>
        </w:tc>
        <w:bookmarkStart w:id="86" w:name="_Toc40281107"/>
        <w:bookmarkStart w:id="87" w:name="_Toc40281266"/>
        <w:bookmarkEnd w:id="86"/>
        <w:bookmarkEnd w:id="87"/>
      </w:tr>
      <w:tr w:rsidR="00E3251C" w:rsidRPr="00FE27DA" w14:paraId="26B9FE16" w14:textId="51B01BBE" w:rsidTr="00955997">
        <w:trPr>
          <w:gridAfter w:val="1"/>
          <w:wAfter w:w="9" w:type="dxa"/>
          <w:trHeight w:val="206"/>
        </w:trPr>
        <w:tc>
          <w:tcPr>
            <w:tcW w:w="2963" w:type="dxa"/>
            <w:tcBorders>
              <w:top w:val="single" w:sz="4" w:space="0" w:color="auto"/>
              <w:left w:val="nil"/>
              <w:bottom w:val="nil"/>
              <w:right w:val="nil"/>
            </w:tcBorders>
            <w:hideMark/>
          </w:tcPr>
          <w:p w14:paraId="151D24C8" w14:textId="2AAF9178" w:rsidR="00E3251C" w:rsidRPr="0038188B" w:rsidRDefault="00E3251C" w:rsidP="009741B1">
            <w:pPr>
              <w:keepNext/>
              <w:suppressAutoHyphens w:val="0"/>
              <w:spacing w:line="240" w:lineRule="auto"/>
              <w:rPr>
                <w:b/>
                <w:bCs/>
                <w:color w:val="000000"/>
                <w:spacing w:val="0"/>
                <w:w w:val="100"/>
                <w:kern w:val="0"/>
                <w:sz w:val="18"/>
                <w:szCs w:val="18"/>
                <w:lang w:val="en-US"/>
              </w:rPr>
            </w:pPr>
            <w:r w:rsidRPr="0038188B">
              <w:rPr>
                <w:b/>
                <w:bCs/>
                <w:color w:val="000000"/>
                <w:spacing w:val="0"/>
                <w:w w:val="100"/>
                <w:kern w:val="0"/>
                <w:sz w:val="18"/>
                <w:szCs w:val="18"/>
                <w:lang w:val="en-US"/>
              </w:rPr>
              <w:t>Assets</w:t>
            </w:r>
            <w:bookmarkStart w:id="88" w:name="_Toc40281108"/>
            <w:bookmarkStart w:id="89" w:name="_Toc40281267"/>
            <w:bookmarkEnd w:id="88"/>
            <w:bookmarkEnd w:id="89"/>
          </w:p>
        </w:tc>
        <w:tc>
          <w:tcPr>
            <w:tcW w:w="1433" w:type="dxa"/>
            <w:tcBorders>
              <w:top w:val="single" w:sz="4" w:space="0" w:color="auto"/>
              <w:left w:val="nil"/>
              <w:bottom w:val="nil"/>
              <w:right w:val="nil"/>
            </w:tcBorders>
          </w:tcPr>
          <w:p w14:paraId="1A18D45E" w14:textId="0C310503" w:rsidR="00E3251C" w:rsidRPr="00FE27DA" w:rsidRDefault="00F04DE7" w:rsidP="009741B1">
            <w:pPr>
              <w:keepNext/>
              <w:suppressAutoHyphens w:val="0"/>
              <w:spacing w:line="240" w:lineRule="auto"/>
              <w:jc w:val="right"/>
              <w:rPr>
                <w:color w:val="000000"/>
                <w:spacing w:val="0"/>
                <w:w w:val="100"/>
                <w:kern w:val="0"/>
                <w:sz w:val="18"/>
                <w:szCs w:val="18"/>
                <w:lang w:val="en-US"/>
              </w:rPr>
            </w:pPr>
            <w:bookmarkStart w:id="90" w:name="_Toc40281109"/>
            <w:bookmarkStart w:id="91" w:name="_Toc40281268"/>
            <w:bookmarkEnd w:id="90"/>
            <w:bookmarkEnd w:id="91"/>
            <w:r>
              <w:rPr>
                <w:color w:val="000000"/>
                <w:spacing w:val="0"/>
                <w:w w:val="100"/>
                <w:kern w:val="0"/>
                <w:sz w:val="18"/>
                <w:szCs w:val="18"/>
                <w:lang w:val="en-US"/>
              </w:rPr>
              <w:t>12,485</w:t>
            </w:r>
            <w:bookmarkStart w:id="92" w:name="_Toc40281110"/>
            <w:bookmarkStart w:id="93" w:name="_Toc40281269"/>
            <w:bookmarkEnd w:id="92"/>
            <w:bookmarkEnd w:id="93"/>
          </w:p>
        </w:tc>
        <w:tc>
          <w:tcPr>
            <w:tcW w:w="1434" w:type="dxa"/>
            <w:tcBorders>
              <w:top w:val="single" w:sz="4" w:space="0" w:color="auto"/>
              <w:left w:val="nil"/>
              <w:bottom w:val="nil"/>
              <w:right w:val="nil"/>
            </w:tcBorders>
          </w:tcPr>
          <w:p w14:paraId="4597C71B" w14:textId="4F99EF53" w:rsidR="00E3251C" w:rsidRPr="00FE27DA" w:rsidRDefault="00702E92" w:rsidP="009741B1">
            <w:pPr>
              <w:keepNext/>
              <w:suppressAutoHyphens w:val="0"/>
              <w:spacing w:line="240" w:lineRule="auto"/>
              <w:jc w:val="right"/>
              <w:rPr>
                <w:color w:val="000000"/>
                <w:spacing w:val="0"/>
                <w:w w:val="100"/>
                <w:kern w:val="0"/>
                <w:sz w:val="18"/>
                <w:szCs w:val="18"/>
                <w:lang w:val="en-US"/>
              </w:rPr>
            </w:pPr>
            <w:bookmarkStart w:id="94" w:name="_Toc40281111"/>
            <w:bookmarkStart w:id="95" w:name="_Toc40281270"/>
            <w:bookmarkEnd w:id="94"/>
            <w:bookmarkEnd w:id="95"/>
            <w:r>
              <w:rPr>
                <w:color w:val="000000"/>
                <w:spacing w:val="0"/>
                <w:w w:val="100"/>
                <w:kern w:val="0"/>
                <w:sz w:val="18"/>
                <w:szCs w:val="18"/>
                <w:lang w:val="en-US"/>
              </w:rPr>
              <w:t>12,204</w:t>
            </w:r>
            <w:bookmarkStart w:id="96" w:name="_Toc40281112"/>
            <w:bookmarkStart w:id="97" w:name="_Toc40281271"/>
            <w:bookmarkEnd w:id="96"/>
            <w:bookmarkEnd w:id="97"/>
          </w:p>
        </w:tc>
        <w:tc>
          <w:tcPr>
            <w:tcW w:w="1434" w:type="dxa"/>
            <w:tcBorders>
              <w:top w:val="single" w:sz="4" w:space="0" w:color="auto"/>
              <w:left w:val="nil"/>
              <w:bottom w:val="nil"/>
              <w:right w:val="nil"/>
            </w:tcBorders>
            <w:noWrap/>
          </w:tcPr>
          <w:p w14:paraId="6ABE300C" w14:textId="5F7F1592" w:rsidR="00E3251C" w:rsidRPr="00FE27DA" w:rsidRDefault="00CC7112" w:rsidP="009741B1">
            <w:pPr>
              <w:keepNext/>
              <w:suppressAutoHyphens w:val="0"/>
              <w:spacing w:line="240" w:lineRule="auto"/>
              <w:jc w:val="right"/>
              <w:rPr>
                <w:color w:val="000000"/>
                <w:spacing w:val="0"/>
                <w:w w:val="100"/>
                <w:kern w:val="0"/>
                <w:sz w:val="18"/>
                <w:szCs w:val="18"/>
                <w:lang w:val="en-US"/>
              </w:rPr>
            </w:pPr>
            <w:r>
              <w:rPr>
                <w:color w:val="000000"/>
                <w:spacing w:val="0"/>
                <w:w w:val="100"/>
                <w:kern w:val="0"/>
                <w:sz w:val="18"/>
                <w:szCs w:val="18"/>
                <w:lang w:val="en-US"/>
              </w:rPr>
              <w:t>281</w:t>
            </w:r>
            <w:bookmarkStart w:id="98" w:name="_Toc40281113"/>
            <w:bookmarkStart w:id="99" w:name="_Toc40281272"/>
            <w:bookmarkEnd w:id="98"/>
            <w:bookmarkEnd w:id="99"/>
          </w:p>
        </w:tc>
        <w:tc>
          <w:tcPr>
            <w:tcW w:w="1435" w:type="dxa"/>
            <w:tcBorders>
              <w:top w:val="single" w:sz="4" w:space="0" w:color="auto"/>
              <w:left w:val="nil"/>
              <w:bottom w:val="nil"/>
              <w:right w:val="nil"/>
            </w:tcBorders>
            <w:noWrap/>
          </w:tcPr>
          <w:p w14:paraId="1D462303" w14:textId="296B7AC0" w:rsidR="00E3251C" w:rsidRPr="00FE27DA" w:rsidRDefault="00C42FEB" w:rsidP="009741B1">
            <w:pPr>
              <w:keepNext/>
              <w:suppressAutoHyphens w:val="0"/>
              <w:spacing w:line="240" w:lineRule="auto"/>
              <w:jc w:val="center"/>
              <w:rPr>
                <w:color w:val="000000"/>
                <w:spacing w:val="0"/>
                <w:w w:val="100"/>
                <w:kern w:val="0"/>
                <w:sz w:val="18"/>
                <w:szCs w:val="18"/>
                <w:lang w:val="en-US"/>
              </w:rPr>
            </w:pPr>
            <w:r>
              <w:rPr>
                <w:color w:val="000000"/>
                <w:spacing w:val="0"/>
                <w:w w:val="100"/>
                <w:kern w:val="0"/>
                <w:sz w:val="18"/>
                <w:szCs w:val="18"/>
                <w:lang w:val="en-US"/>
              </w:rPr>
              <w:t>2%</w:t>
            </w:r>
            <w:bookmarkStart w:id="100" w:name="_Toc40281114"/>
            <w:bookmarkStart w:id="101" w:name="_Toc40281273"/>
            <w:bookmarkEnd w:id="100"/>
            <w:bookmarkEnd w:id="101"/>
          </w:p>
        </w:tc>
        <w:bookmarkStart w:id="102" w:name="_Toc40281115"/>
        <w:bookmarkStart w:id="103" w:name="_Toc40281274"/>
        <w:bookmarkEnd w:id="102"/>
        <w:bookmarkEnd w:id="103"/>
      </w:tr>
      <w:tr w:rsidR="00E3251C" w:rsidRPr="00FE27DA" w14:paraId="49823E71" w14:textId="10B5EEC9" w:rsidTr="00955997">
        <w:trPr>
          <w:gridAfter w:val="1"/>
          <w:wAfter w:w="9" w:type="dxa"/>
          <w:trHeight w:val="206"/>
        </w:trPr>
        <w:tc>
          <w:tcPr>
            <w:tcW w:w="2963" w:type="dxa"/>
            <w:tcBorders>
              <w:top w:val="nil"/>
              <w:left w:val="nil"/>
              <w:bottom w:val="single" w:sz="4" w:space="0" w:color="auto"/>
              <w:right w:val="nil"/>
            </w:tcBorders>
            <w:hideMark/>
          </w:tcPr>
          <w:p w14:paraId="48555D38" w14:textId="68404511" w:rsidR="00E3251C" w:rsidRPr="0038188B" w:rsidRDefault="00E3251C" w:rsidP="009741B1">
            <w:pPr>
              <w:keepNext/>
              <w:suppressAutoHyphens w:val="0"/>
              <w:spacing w:line="240" w:lineRule="auto"/>
              <w:rPr>
                <w:b/>
                <w:bCs/>
                <w:color w:val="000000"/>
                <w:spacing w:val="0"/>
                <w:w w:val="100"/>
                <w:kern w:val="0"/>
                <w:sz w:val="18"/>
                <w:szCs w:val="18"/>
                <w:lang w:val="en-US"/>
              </w:rPr>
            </w:pPr>
            <w:r w:rsidRPr="0038188B">
              <w:rPr>
                <w:b/>
                <w:bCs/>
                <w:color w:val="000000"/>
                <w:spacing w:val="0"/>
                <w:w w:val="100"/>
                <w:kern w:val="0"/>
                <w:sz w:val="18"/>
                <w:szCs w:val="18"/>
                <w:lang w:val="en-US"/>
              </w:rPr>
              <w:t>Liabilities</w:t>
            </w:r>
            <w:bookmarkStart w:id="104" w:name="_Toc40281116"/>
            <w:bookmarkStart w:id="105" w:name="_Toc40281275"/>
            <w:bookmarkEnd w:id="104"/>
            <w:bookmarkEnd w:id="105"/>
          </w:p>
        </w:tc>
        <w:tc>
          <w:tcPr>
            <w:tcW w:w="1433" w:type="dxa"/>
            <w:tcBorders>
              <w:top w:val="nil"/>
              <w:left w:val="nil"/>
              <w:bottom w:val="single" w:sz="4" w:space="0" w:color="auto"/>
              <w:right w:val="nil"/>
            </w:tcBorders>
          </w:tcPr>
          <w:p w14:paraId="0DE61546" w14:textId="1B50E321" w:rsidR="00E3251C" w:rsidRPr="00FE27DA" w:rsidRDefault="00702E92" w:rsidP="009741B1">
            <w:pPr>
              <w:keepNext/>
              <w:suppressAutoHyphens w:val="0"/>
              <w:spacing w:line="240" w:lineRule="auto"/>
              <w:jc w:val="right"/>
              <w:rPr>
                <w:color w:val="000000"/>
                <w:spacing w:val="0"/>
                <w:w w:val="100"/>
                <w:kern w:val="0"/>
                <w:sz w:val="18"/>
                <w:szCs w:val="18"/>
                <w:lang w:val="en-US"/>
              </w:rPr>
            </w:pPr>
            <w:bookmarkStart w:id="106" w:name="_Toc40281117"/>
            <w:bookmarkStart w:id="107" w:name="_Toc40281276"/>
            <w:bookmarkEnd w:id="106"/>
            <w:bookmarkEnd w:id="107"/>
            <w:r>
              <w:rPr>
                <w:color w:val="000000"/>
                <w:spacing w:val="0"/>
                <w:w w:val="100"/>
                <w:kern w:val="0"/>
                <w:sz w:val="18"/>
                <w:szCs w:val="18"/>
                <w:lang w:val="en-US"/>
              </w:rPr>
              <w:t>2,790</w:t>
            </w:r>
            <w:bookmarkStart w:id="108" w:name="_Toc40281118"/>
            <w:bookmarkStart w:id="109" w:name="_Toc40281277"/>
            <w:bookmarkEnd w:id="108"/>
            <w:bookmarkEnd w:id="109"/>
          </w:p>
        </w:tc>
        <w:tc>
          <w:tcPr>
            <w:tcW w:w="1434" w:type="dxa"/>
            <w:tcBorders>
              <w:top w:val="nil"/>
              <w:left w:val="nil"/>
              <w:bottom w:val="single" w:sz="4" w:space="0" w:color="auto"/>
              <w:right w:val="nil"/>
            </w:tcBorders>
          </w:tcPr>
          <w:p w14:paraId="4ECACF6F" w14:textId="0926387E" w:rsidR="00E3251C" w:rsidRPr="00FE27DA" w:rsidRDefault="00702E92" w:rsidP="009741B1">
            <w:pPr>
              <w:keepNext/>
              <w:suppressAutoHyphens w:val="0"/>
              <w:spacing w:line="240" w:lineRule="auto"/>
              <w:jc w:val="right"/>
              <w:rPr>
                <w:color w:val="000000"/>
                <w:spacing w:val="0"/>
                <w:w w:val="100"/>
                <w:kern w:val="0"/>
                <w:sz w:val="18"/>
                <w:szCs w:val="18"/>
                <w:lang w:val="en-US"/>
              </w:rPr>
            </w:pPr>
            <w:bookmarkStart w:id="110" w:name="_Toc40281119"/>
            <w:bookmarkStart w:id="111" w:name="_Toc40281278"/>
            <w:bookmarkEnd w:id="110"/>
            <w:bookmarkEnd w:id="111"/>
            <w:r>
              <w:rPr>
                <w:color w:val="000000"/>
                <w:spacing w:val="0"/>
                <w:w w:val="100"/>
                <w:kern w:val="0"/>
                <w:sz w:val="18"/>
                <w:szCs w:val="18"/>
                <w:lang w:val="en-US"/>
              </w:rPr>
              <w:t>2,575</w:t>
            </w:r>
            <w:bookmarkStart w:id="112" w:name="_Toc40281120"/>
            <w:bookmarkStart w:id="113" w:name="_Toc40281279"/>
            <w:bookmarkEnd w:id="112"/>
            <w:bookmarkEnd w:id="113"/>
          </w:p>
        </w:tc>
        <w:tc>
          <w:tcPr>
            <w:tcW w:w="1434" w:type="dxa"/>
            <w:tcBorders>
              <w:top w:val="nil"/>
              <w:left w:val="nil"/>
              <w:bottom w:val="single" w:sz="4" w:space="0" w:color="auto"/>
              <w:right w:val="nil"/>
            </w:tcBorders>
            <w:noWrap/>
          </w:tcPr>
          <w:p w14:paraId="5584A738" w14:textId="1A51E289" w:rsidR="00E3251C" w:rsidRPr="00FE27DA" w:rsidRDefault="00CC7112" w:rsidP="009741B1">
            <w:pPr>
              <w:keepNext/>
              <w:suppressAutoHyphens w:val="0"/>
              <w:spacing w:line="240" w:lineRule="auto"/>
              <w:jc w:val="right"/>
              <w:rPr>
                <w:color w:val="000000"/>
                <w:spacing w:val="0"/>
                <w:w w:val="100"/>
                <w:kern w:val="0"/>
                <w:sz w:val="18"/>
                <w:szCs w:val="18"/>
                <w:lang w:val="en-US"/>
              </w:rPr>
            </w:pPr>
            <w:r>
              <w:rPr>
                <w:color w:val="000000"/>
                <w:spacing w:val="0"/>
                <w:w w:val="100"/>
                <w:kern w:val="0"/>
                <w:sz w:val="18"/>
                <w:szCs w:val="18"/>
                <w:lang w:val="en-US"/>
              </w:rPr>
              <w:t>215</w:t>
            </w:r>
            <w:bookmarkStart w:id="114" w:name="_Toc40281121"/>
            <w:bookmarkStart w:id="115" w:name="_Toc40281280"/>
            <w:bookmarkEnd w:id="114"/>
            <w:bookmarkEnd w:id="115"/>
          </w:p>
        </w:tc>
        <w:tc>
          <w:tcPr>
            <w:tcW w:w="1435" w:type="dxa"/>
            <w:tcBorders>
              <w:top w:val="nil"/>
              <w:left w:val="nil"/>
              <w:bottom w:val="single" w:sz="4" w:space="0" w:color="auto"/>
              <w:right w:val="nil"/>
            </w:tcBorders>
            <w:noWrap/>
          </w:tcPr>
          <w:p w14:paraId="5D0FFDA3" w14:textId="526C746A" w:rsidR="00E3251C" w:rsidRPr="00FE27DA" w:rsidRDefault="00C42FEB" w:rsidP="009741B1">
            <w:pPr>
              <w:keepNext/>
              <w:suppressAutoHyphens w:val="0"/>
              <w:spacing w:line="240" w:lineRule="auto"/>
              <w:jc w:val="center"/>
              <w:rPr>
                <w:color w:val="000000"/>
                <w:spacing w:val="0"/>
                <w:w w:val="100"/>
                <w:kern w:val="0"/>
                <w:sz w:val="18"/>
                <w:szCs w:val="18"/>
                <w:lang w:val="en-US"/>
              </w:rPr>
            </w:pPr>
            <w:r>
              <w:rPr>
                <w:color w:val="000000"/>
                <w:spacing w:val="0"/>
                <w:w w:val="100"/>
                <w:kern w:val="0"/>
                <w:sz w:val="18"/>
                <w:szCs w:val="18"/>
                <w:lang w:val="en-US"/>
              </w:rPr>
              <w:t>8%</w:t>
            </w:r>
            <w:bookmarkStart w:id="116" w:name="_Toc40281122"/>
            <w:bookmarkStart w:id="117" w:name="_Toc40281281"/>
            <w:bookmarkEnd w:id="116"/>
            <w:bookmarkEnd w:id="117"/>
          </w:p>
        </w:tc>
        <w:bookmarkStart w:id="118" w:name="_Toc40281123"/>
        <w:bookmarkStart w:id="119" w:name="_Toc40281282"/>
        <w:bookmarkEnd w:id="118"/>
        <w:bookmarkEnd w:id="119"/>
      </w:tr>
      <w:tr w:rsidR="00E3251C" w:rsidRPr="00FE27DA" w14:paraId="0F6B3746" w14:textId="71C73DFC" w:rsidTr="00955997">
        <w:trPr>
          <w:gridAfter w:val="1"/>
          <w:wAfter w:w="9" w:type="dxa"/>
          <w:trHeight w:val="206"/>
        </w:trPr>
        <w:tc>
          <w:tcPr>
            <w:tcW w:w="2963" w:type="dxa"/>
            <w:tcBorders>
              <w:top w:val="single" w:sz="4" w:space="0" w:color="auto"/>
              <w:left w:val="nil"/>
              <w:bottom w:val="single" w:sz="4" w:space="0" w:color="auto"/>
              <w:right w:val="nil"/>
            </w:tcBorders>
            <w:hideMark/>
          </w:tcPr>
          <w:p w14:paraId="24A241EE" w14:textId="45CBABE8" w:rsidR="00E3251C" w:rsidRPr="0038188B" w:rsidRDefault="00E3251C" w:rsidP="009741B1">
            <w:pPr>
              <w:keepNext/>
              <w:suppressAutoHyphens w:val="0"/>
              <w:spacing w:line="240" w:lineRule="auto"/>
              <w:rPr>
                <w:b/>
                <w:bCs/>
                <w:color w:val="000000"/>
                <w:spacing w:val="0"/>
                <w:w w:val="100"/>
                <w:kern w:val="0"/>
                <w:sz w:val="18"/>
                <w:szCs w:val="18"/>
                <w:lang w:val="en-US"/>
              </w:rPr>
            </w:pPr>
            <w:r w:rsidRPr="0038188B">
              <w:rPr>
                <w:b/>
                <w:bCs/>
                <w:color w:val="000000"/>
                <w:spacing w:val="0"/>
                <w:w w:val="100"/>
                <w:kern w:val="0"/>
                <w:sz w:val="18"/>
                <w:szCs w:val="18"/>
                <w:lang w:val="en-US"/>
              </w:rPr>
              <w:t>Net assets</w:t>
            </w:r>
            <w:bookmarkStart w:id="120" w:name="_Toc40281124"/>
            <w:bookmarkStart w:id="121" w:name="_Toc40281283"/>
            <w:bookmarkEnd w:id="120"/>
            <w:bookmarkEnd w:id="121"/>
          </w:p>
        </w:tc>
        <w:tc>
          <w:tcPr>
            <w:tcW w:w="1433" w:type="dxa"/>
            <w:tcBorders>
              <w:top w:val="single" w:sz="4" w:space="0" w:color="auto"/>
              <w:left w:val="nil"/>
              <w:bottom w:val="single" w:sz="4" w:space="0" w:color="auto"/>
              <w:right w:val="nil"/>
            </w:tcBorders>
          </w:tcPr>
          <w:p w14:paraId="7FC808DF" w14:textId="25BAEDC3" w:rsidR="00E3251C" w:rsidRPr="00FE27DA" w:rsidRDefault="00702E92" w:rsidP="009741B1">
            <w:pPr>
              <w:keepNext/>
              <w:suppressAutoHyphens w:val="0"/>
              <w:spacing w:line="240" w:lineRule="auto"/>
              <w:jc w:val="right"/>
              <w:rPr>
                <w:color w:val="000000"/>
                <w:spacing w:val="0"/>
                <w:w w:val="100"/>
                <w:kern w:val="0"/>
                <w:sz w:val="18"/>
                <w:szCs w:val="18"/>
                <w:lang w:val="en-US"/>
              </w:rPr>
            </w:pPr>
            <w:bookmarkStart w:id="122" w:name="_Toc40281125"/>
            <w:bookmarkStart w:id="123" w:name="_Toc40281284"/>
            <w:bookmarkEnd w:id="122"/>
            <w:bookmarkEnd w:id="123"/>
            <w:r>
              <w:rPr>
                <w:color w:val="000000"/>
                <w:spacing w:val="0"/>
                <w:w w:val="100"/>
                <w:kern w:val="0"/>
                <w:sz w:val="18"/>
                <w:szCs w:val="18"/>
                <w:lang w:val="en-US"/>
              </w:rPr>
              <w:t>9,695</w:t>
            </w:r>
            <w:bookmarkStart w:id="124" w:name="_Toc40281126"/>
            <w:bookmarkStart w:id="125" w:name="_Toc40281285"/>
            <w:bookmarkEnd w:id="124"/>
            <w:bookmarkEnd w:id="125"/>
          </w:p>
        </w:tc>
        <w:tc>
          <w:tcPr>
            <w:tcW w:w="1434" w:type="dxa"/>
            <w:tcBorders>
              <w:top w:val="single" w:sz="4" w:space="0" w:color="auto"/>
              <w:left w:val="nil"/>
              <w:bottom w:val="single" w:sz="4" w:space="0" w:color="auto"/>
              <w:right w:val="nil"/>
            </w:tcBorders>
          </w:tcPr>
          <w:p w14:paraId="380942CE" w14:textId="0F4010DC" w:rsidR="00E3251C" w:rsidRPr="00FE27DA" w:rsidRDefault="00702E92" w:rsidP="009741B1">
            <w:pPr>
              <w:keepNext/>
              <w:suppressAutoHyphens w:val="0"/>
              <w:spacing w:line="240" w:lineRule="auto"/>
              <w:jc w:val="right"/>
              <w:rPr>
                <w:color w:val="000000"/>
                <w:spacing w:val="0"/>
                <w:w w:val="100"/>
                <w:kern w:val="0"/>
                <w:sz w:val="18"/>
                <w:szCs w:val="18"/>
                <w:lang w:val="en-US"/>
              </w:rPr>
            </w:pPr>
            <w:bookmarkStart w:id="126" w:name="_Toc40281127"/>
            <w:bookmarkStart w:id="127" w:name="_Toc40281286"/>
            <w:bookmarkEnd w:id="126"/>
            <w:bookmarkEnd w:id="127"/>
            <w:r>
              <w:rPr>
                <w:color w:val="000000"/>
                <w:spacing w:val="0"/>
                <w:w w:val="100"/>
                <w:kern w:val="0"/>
                <w:sz w:val="18"/>
                <w:szCs w:val="18"/>
                <w:lang w:val="en-US"/>
              </w:rPr>
              <w:t>9,629</w:t>
            </w:r>
            <w:bookmarkStart w:id="128" w:name="_Toc40281128"/>
            <w:bookmarkStart w:id="129" w:name="_Toc40281287"/>
            <w:bookmarkEnd w:id="128"/>
            <w:bookmarkEnd w:id="129"/>
          </w:p>
        </w:tc>
        <w:tc>
          <w:tcPr>
            <w:tcW w:w="1434" w:type="dxa"/>
            <w:tcBorders>
              <w:top w:val="single" w:sz="4" w:space="0" w:color="auto"/>
              <w:left w:val="nil"/>
              <w:bottom w:val="single" w:sz="4" w:space="0" w:color="auto"/>
              <w:right w:val="nil"/>
            </w:tcBorders>
            <w:noWrap/>
          </w:tcPr>
          <w:p w14:paraId="5654B2F9" w14:textId="27D3722F" w:rsidR="00E3251C" w:rsidRPr="00FE27DA" w:rsidRDefault="00CC7112" w:rsidP="009741B1">
            <w:pPr>
              <w:keepNext/>
              <w:suppressAutoHyphens w:val="0"/>
              <w:spacing w:line="240" w:lineRule="auto"/>
              <w:jc w:val="right"/>
              <w:rPr>
                <w:color w:val="000000"/>
                <w:spacing w:val="0"/>
                <w:w w:val="100"/>
                <w:kern w:val="0"/>
                <w:sz w:val="18"/>
                <w:szCs w:val="18"/>
                <w:lang w:val="en-US"/>
              </w:rPr>
            </w:pPr>
            <w:r>
              <w:rPr>
                <w:color w:val="000000"/>
                <w:spacing w:val="0"/>
                <w:w w:val="100"/>
                <w:kern w:val="0"/>
                <w:sz w:val="18"/>
                <w:szCs w:val="18"/>
                <w:lang w:val="en-US"/>
              </w:rPr>
              <w:t>66</w:t>
            </w:r>
            <w:bookmarkStart w:id="130" w:name="_Toc40281129"/>
            <w:bookmarkStart w:id="131" w:name="_Toc40281288"/>
            <w:bookmarkEnd w:id="130"/>
            <w:bookmarkEnd w:id="131"/>
          </w:p>
        </w:tc>
        <w:tc>
          <w:tcPr>
            <w:tcW w:w="1435" w:type="dxa"/>
            <w:tcBorders>
              <w:top w:val="single" w:sz="4" w:space="0" w:color="auto"/>
              <w:left w:val="nil"/>
              <w:bottom w:val="single" w:sz="4" w:space="0" w:color="auto"/>
              <w:right w:val="nil"/>
            </w:tcBorders>
            <w:noWrap/>
          </w:tcPr>
          <w:p w14:paraId="0A62E801" w14:textId="75D039A1" w:rsidR="00E3251C" w:rsidRPr="00FE27DA" w:rsidRDefault="00C42FEB" w:rsidP="009741B1">
            <w:pPr>
              <w:keepNext/>
              <w:suppressAutoHyphens w:val="0"/>
              <w:spacing w:line="240" w:lineRule="auto"/>
              <w:jc w:val="center"/>
              <w:rPr>
                <w:color w:val="000000"/>
                <w:spacing w:val="0"/>
                <w:w w:val="100"/>
                <w:kern w:val="0"/>
                <w:sz w:val="18"/>
                <w:szCs w:val="18"/>
                <w:lang w:val="en-US"/>
              </w:rPr>
            </w:pPr>
            <w:r>
              <w:rPr>
                <w:color w:val="000000"/>
                <w:spacing w:val="0"/>
                <w:w w:val="100"/>
                <w:kern w:val="0"/>
                <w:sz w:val="18"/>
                <w:szCs w:val="18"/>
                <w:lang w:val="en-US"/>
              </w:rPr>
              <w:t>1%</w:t>
            </w:r>
            <w:bookmarkStart w:id="132" w:name="_Toc40281130"/>
            <w:bookmarkStart w:id="133" w:name="_Toc40281289"/>
            <w:bookmarkEnd w:id="132"/>
            <w:bookmarkEnd w:id="133"/>
          </w:p>
        </w:tc>
        <w:bookmarkStart w:id="134" w:name="_Toc40281131"/>
        <w:bookmarkStart w:id="135" w:name="_Toc40281290"/>
        <w:bookmarkEnd w:id="134"/>
        <w:bookmarkEnd w:id="135"/>
      </w:tr>
      <w:tr w:rsidR="00E3251C" w:rsidRPr="00FE27DA" w14:paraId="6810EEF9" w14:textId="7FCD916D" w:rsidTr="00955997">
        <w:trPr>
          <w:gridAfter w:val="1"/>
          <w:wAfter w:w="9" w:type="dxa"/>
          <w:trHeight w:val="206"/>
        </w:trPr>
        <w:tc>
          <w:tcPr>
            <w:tcW w:w="2963" w:type="dxa"/>
            <w:tcBorders>
              <w:top w:val="single" w:sz="4" w:space="0" w:color="auto"/>
              <w:left w:val="nil"/>
              <w:bottom w:val="nil"/>
              <w:right w:val="nil"/>
            </w:tcBorders>
            <w:hideMark/>
          </w:tcPr>
          <w:p w14:paraId="5174E6F1" w14:textId="0ABACCDB" w:rsidR="00E3251C" w:rsidRPr="00FE27DA" w:rsidRDefault="00E3251C" w:rsidP="009741B1">
            <w:pPr>
              <w:keepNext/>
              <w:suppressAutoHyphens w:val="0"/>
              <w:spacing w:line="240" w:lineRule="auto"/>
              <w:rPr>
                <w:b/>
                <w:bCs/>
                <w:color w:val="000000"/>
                <w:spacing w:val="0"/>
                <w:w w:val="100"/>
                <w:kern w:val="0"/>
                <w:sz w:val="18"/>
                <w:szCs w:val="18"/>
                <w:u w:val="single"/>
                <w:lang w:val="en-US"/>
              </w:rPr>
            </w:pPr>
            <w:bookmarkStart w:id="136" w:name="_Toc40281132"/>
            <w:bookmarkStart w:id="137" w:name="_Toc40281291"/>
            <w:bookmarkStart w:id="138" w:name="_Toc40281133"/>
            <w:bookmarkStart w:id="139" w:name="_Toc40281292"/>
            <w:bookmarkStart w:id="140" w:name="_Toc40281134"/>
            <w:bookmarkStart w:id="141" w:name="_Toc40281293"/>
            <w:bookmarkStart w:id="142" w:name="_Toc40281135"/>
            <w:bookmarkStart w:id="143" w:name="_Toc40281294"/>
            <w:bookmarkStart w:id="144" w:name="_Toc40281136"/>
            <w:bookmarkStart w:id="145" w:name="_Toc40281295"/>
            <w:bookmarkStart w:id="146" w:name="_Toc40281137"/>
            <w:bookmarkStart w:id="147" w:name="_Toc40281296"/>
            <w:bookmarkStart w:id="148" w:name="_Toc40281138"/>
            <w:bookmarkStart w:id="149" w:name="_Toc4028129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FE27DA">
              <w:rPr>
                <w:b/>
                <w:bCs/>
                <w:color w:val="000000"/>
                <w:spacing w:val="0"/>
                <w:w w:val="100"/>
                <w:kern w:val="0"/>
                <w:sz w:val="18"/>
                <w:szCs w:val="18"/>
                <w:u w:val="single"/>
                <w:lang w:val="en-US"/>
              </w:rPr>
              <w:t>Composed of:</w:t>
            </w:r>
            <w:bookmarkStart w:id="150" w:name="_Toc40281140"/>
            <w:bookmarkStart w:id="151" w:name="_Toc40281299"/>
            <w:bookmarkEnd w:id="150"/>
            <w:bookmarkEnd w:id="151"/>
          </w:p>
        </w:tc>
        <w:tc>
          <w:tcPr>
            <w:tcW w:w="1433" w:type="dxa"/>
            <w:tcBorders>
              <w:top w:val="single" w:sz="4" w:space="0" w:color="auto"/>
              <w:left w:val="nil"/>
              <w:bottom w:val="nil"/>
              <w:right w:val="nil"/>
            </w:tcBorders>
          </w:tcPr>
          <w:p w14:paraId="0CCC7F06" w14:textId="31902B73" w:rsidR="00E3251C" w:rsidRPr="00FE27DA" w:rsidRDefault="00E3251C" w:rsidP="009741B1">
            <w:pPr>
              <w:keepNext/>
              <w:suppressAutoHyphens w:val="0"/>
              <w:spacing w:line="240" w:lineRule="auto"/>
              <w:rPr>
                <w:b/>
                <w:bCs/>
                <w:color w:val="000000"/>
                <w:spacing w:val="0"/>
                <w:w w:val="100"/>
                <w:kern w:val="0"/>
                <w:sz w:val="18"/>
                <w:szCs w:val="18"/>
                <w:u w:val="single"/>
                <w:lang w:val="en-US"/>
              </w:rPr>
            </w:pPr>
            <w:bookmarkStart w:id="152" w:name="_Toc40281141"/>
            <w:bookmarkStart w:id="153" w:name="_Toc40281300"/>
            <w:bookmarkStart w:id="154" w:name="_Toc40281142"/>
            <w:bookmarkStart w:id="155" w:name="_Toc40281301"/>
            <w:bookmarkEnd w:id="152"/>
            <w:bookmarkEnd w:id="153"/>
            <w:bookmarkEnd w:id="154"/>
            <w:bookmarkEnd w:id="155"/>
          </w:p>
        </w:tc>
        <w:tc>
          <w:tcPr>
            <w:tcW w:w="1434" w:type="dxa"/>
            <w:tcBorders>
              <w:top w:val="single" w:sz="4" w:space="0" w:color="auto"/>
              <w:left w:val="nil"/>
              <w:bottom w:val="nil"/>
              <w:right w:val="nil"/>
            </w:tcBorders>
          </w:tcPr>
          <w:p w14:paraId="1C31C9FF" w14:textId="6D39C27C" w:rsidR="00E3251C" w:rsidRPr="00FE27DA" w:rsidRDefault="00E3251C" w:rsidP="009741B1">
            <w:pPr>
              <w:keepNext/>
              <w:suppressAutoHyphens w:val="0"/>
              <w:spacing w:line="240" w:lineRule="auto"/>
              <w:jc w:val="right"/>
              <w:rPr>
                <w:spacing w:val="0"/>
                <w:w w:val="100"/>
                <w:kern w:val="0"/>
                <w:lang w:val="en-US"/>
              </w:rPr>
            </w:pPr>
            <w:bookmarkStart w:id="156" w:name="_Toc40281143"/>
            <w:bookmarkStart w:id="157" w:name="_Toc40281302"/>
            <w:bookmarkStart w:id="158" w:name="_Toc40281144"/>
            <w:bookmarkStart w:id="159" w:name="_Toc40281303"/>
            <w:bookmarkEnd w:id="156"/>
            <w:bookmarkEnd w:id="157"/>
            <w:bookmarkEnd w:id="158"/>
            <w:bookmarkEnd w:id="159"/>
          </w:p>
        </w:tc>
        <w:tc>
          <w:tcPr>
            <w:tcW w:w="1434" w:type="dxa"/>
            <w:tcBorders>
              <w:top w:val="single" w:sz="4" w:space="0" w:color="auto"/>
              <w:left w:val="nil"/>
              <w:bottom w:val="nil"/>
              <w:right w:val="nil"/>
            </w:tcBorders>
            <w:noWrap/>
          </w:tcPr>
          <w:p w14:paraId="3D1EF3AF" w14:textId="781ED688" w:rsidR="00E3251C" w:rsidRPr="00FE27DA" w:rsidRDefault="00E3251C" w:rsidP="009741B1">
            <w:pPr>
              <w:keepNext/>
              <w:suppressAutoHyphens w:val="0"/>
              <w:spacing w:line="240" w:lineRule="auto"/>
              <w:jc w:val="right"/>
              <w:rPr>
                <w:spacing w:val="0"/>
                <w:w w:val="100"/>
                <w:kern w:val="0"/>
                <w:lang w:val="en-US"/>
              </w:rPr>
            </w:pPr>
            <w:bookmarkStart w:id="160" w:name="_Toc40281145"/>
            <w:bookmarkStart w:id="161" w:name="_Toc40281304"/>
            <w:bookmarkEnd w:id="160"/>
            <w:bookmarkEnd w:id="161"/>
          </w:p>
        </w:tc>
        <w:tc>
          <w:tcPr>
            <w:tcW w:w="1435" w:type="dxa"/>
            <w:tcBorders>
              <w:top w:val="single" w:sz="4" w:space="0" w:color="auto"/>
              <w:left w:val="nil"/>
              <w:bottom w:val="nil"/>
              <w:right w:val="nil"/>
            </w:tcBorders>
            <w:noWrap/>
          </w:tcPr>
          <w:p w14:paraId="67775551" w14:textId="7F9E87D2" w:rsidR="00E3251C" w:rsidRPr="00FE27DA" w:rsidRDefault="00E3251C" w:rsidP="009741B1">
            <w:pPr>
              <w:keepNext/>
              <w:suppressAutoHyphens w:val="0"/>
              <w:spacing w:line="240" w:lineRule="auto"/>
              <w:jc w:val="center"/>
              <w:rPr>
                <w:spacing w:val="0"/>
                <w:w w:val="100"/>
                <w:kern w:val="0"/>
                <w:lang w:val="en-US"/>
              </w:rPr>
            </w:pPr>
            <w:bookmarkStart w:id="162" w:name="_Toc40281146"/>
            <w:bookmarkStart w:id="163" w:name="_Toc40281305"/>
            <w:bookmarkEnd w:id="162"/>
            <w:bookmarkEnd w:id="163"/>
          </w:p>
        </w:tc>
        <w:bookmarkStart w:id="164" w:name="_Toc40281147"/>
        <w:bookmarkStart w:id="165" w:name="_Toc40281306"/>
        <w:bookmarkEnd w:id="164"/>
        <w:bookmarkEnd w:id="165"/>
      </w:tr>
      <w:tr w:rsidR="00E3251C" w:rsidRPr="00FE27DA" w14:paraId="6A775F67" w14:textId="1FC28E5F" w:rsidTr="00955997">
        <w:trPr>
          <w:gridAfter w:val="1"/>
          <w:wAfter w:w="9" w:type="dxa"/>
          <w:trHeight w:val="280"/>
        </w:trPr>
        <w:tc>
          <w:tcPr>
            <w:tcW w:w="2963" w:type="dxa"/>
            <w:tcBorders>
              <w:top w:val="nil"/>
              <w:left w:val="nil"/>
              <w:bottom w:val="nil"/>
              <w:right w:val="nil"/>
            </w:tcBorders>
            <w:noWrap/>
            <w:hideMark/>
          </w:tcPr>
          <w:p w14:paraId="6CACAB88" w14:textId="7CF64BB6" w:rsidR="00E3251C" w:rsidRPr="00FE27DA" w:rsidRDefault="00E3251C" w:rsidP="009741B1">
            <w:pPr>
              <w:keepNext/>
              <w:suppressAutoHyphens w:val="0"/>
              <w:spacing w:line="240" w:lineRule="auto"/>
              <w:rPr>
                <w:b/>
                <w:bCs/>
                <w:color w:val="000000"/>
                <w:spacing w:val="0"/>
                <w:w w:val="100"/>
                <w:kern w:val="0"/>
                <w:sz w:val="18"/>
                <w:szCs w:val="18"/>
                <w:lang w:val="en-US"/>
              </w:rPr>
            </w:pPr>
            <w:r w:rsidRPr="00FE27DA">
              <w:rPr>
                <w:b/>
                <w:bCs/>
                <w:color w:val="000000"/>
                <w:spacing w:val="0"/>
                <w:w w:val="100"/>
                <w:kern w:val="0"/>
                <w:sz w:val="18"/>
                <w:szCs w:val="18"/>
                <w:lang w:val="en-US"/>
              </w:rPr>
              <w:t xml:space="preserve">Accumulated </w:t>
            </w:r>
            <w:r>
              <w:rPr>
                <w:b/>
                <w:bCs/>
                <w:color w:val="000000"/>
                <w:spacing w:val="0"/>
                <w:w w:val="100"/>
                <w:kern w:val="0"/>
                <w:sz w:val="18"/>
                <w:szCs w:val="18"/>
                <w:lang w:val="en-US"/>
              </w:rPr>
              <w:t>balance</w:t>
            </w:r>
            <w:bookmarkStart w:id="166" w:name="_Toc40281148"/>
            <w:bookmarkStart w:id="167" w:name="_Toc40281307"/>
            <w:bookmarkEnd w:id="166"/>
            <w:bookmarkEnd w:id="167"/>
          </w:p>
        </w:tc>
        <w:tc>
          <w:tcPr>
            <w:tcW w:w="1433" w:type="dxa"/>
            <w:tcBorders>
              <w:top w:val="nil"/>
              <w:left w:val="nil"/>
              <w:bottom w:val="nil"/>
              <w:right w:val="nil"/>
            </w:tcBorders>
          </w:tcPr>
          <w:p w14:paraId="373D81E2" w14:textId="503FDD68" w:rsidR="00E3251C" w:rsidRPr="00FE27DA" w:rsidRDefault="00702E92" w:rsidP="009741B1">
            <w:pPr>
              <w:keepNext/>
              <w:suppressAutoHyphens w:val="0"/>
              <w:spacing w:line="240" w:lineRule="auto"/>
              <w:jc w:val="right"/>
              <w:rPr>
                <w:color w:val="000000"/>
                <w:spacing w:val="0"/>
                <w:w w:val="100"/>
                <w:kern w:val="0"/>
                <w:sz w:val="18"/>
                <w:szCs w:val="18"/>
                <w:lang w:val="en-US"/>
              </w:rPr>
            </w:pPr>
            <w:bookmarkStart w:id="168" w:name="_Toc40281149"/>
            <w:bookmarkStart w:id="169" w:name="_Toc40281308"/>
            <w:bookmarkEnd w:id="168"/>
            <w:bookmarkEnd w:id="169"/>
            <w:r>
              <w:rPr>
                <w:color w:val="000000"/>
                <w:spacing w:val="0"/>
                <w:w w:val="100"/>
                <w:kern w:val="0"/>
                <w:sz w:val="18"/>
                <w:szCs w:val="18"/>
                <w:lang w:val="en-US"/>
              </w:rPr>
              <w:t>9,409</w:t>
            </w:r>
            <w:bookmarkStart w:id="170" w:name="_Toc40281150"/>
            <w:bookmarkStart w:id="171" w:name="_Toc40281309"/>
            <w:bookmarkEnd w:id="170"/>
            <w:bookmarkEnd w:id="171"/>
          </w:p>
        </w:tc>
        <w:tc>
          <w:tcPr>
            <w:tcW w:w="1434" w:type="dxa"/>
            <w:tcBorders>
              <w:top w:val="nil"/>
              <w:left w:val="nil"/>
              <w:bottom w:val="nil"/>
              <w:right w:val="nil"/>
            </w:tcBorders>
          </w:tcPr>
          <w:p w14:paraId="4DAC9025" w14:textId="3D1DCBCD" w:rsidR="00E3251C" w:rsidRPr="00FE27DA" w:rsidRDefault="00702E92" w:rsidP="009741B1">
            <w:pPr>
              <w:keepNext/>
              <w:suppressAutoHyphens w:val="0"/>
              <w:spacing w:line="240" w:lineRule="auto"/>
              <w:jc w:val="right"/>
              <w:rPr>
                <w:color w:val="000000"/>
                <w:spacing w:val="0"/>
                <w:w w:val="100"/>
                <w:kern w:val="0"/>
                <w:sz w:val="18"/>
                <w:szCs w:val="18"/>
                <w:lang w:val="en-US"/>
              </w:rPr>
            </w:pPr>
            <w:bookmarkStart w:id="172" w:name="_Toc40281151"/>
            <w:bookmarkStart w:id="173" w:name="_Toc40281310"/>
            <w:bookmarkEnd w:id="172"/>
            <w:bookmarkEnd w:id="173"/>
            <w:r>
              <w:rPr>
                <w:color w:val="000000"/>
                <w:spacing w:val="0"/>
                <w:w w:val="100"/>
                <w:kern w:val="0"/>
                <w:sz w:val="18"/>
                <w:szCs w:val="18"/>
                <w:lang w:val="en-US"/>
              </w:rPr>
              <w:t>9,337</w:t>
            </w:r>
            <w:bookmarkStart w:id="174" w:name="_Toc40281152"/>
            <w:bookmarkStart w:id="175" w:name="_Toc40281311"/>
            <w:bookmarkEnd w:id="174"/>
            <w:bookmarkEnd w:id="175"/>
          </w:p>
        </w:tc>
        <w:tc>
          <w:tcPr>
            <w:tcW w:w="1434" w:type="dxa"/>
            <w:tcBorders>
              <w:top w:val="nil"/>
              <w:left w:val="nil"/>
              <w:bottom w:val="nil"/>
              <w:right w:val="nil"/>
            </w:tcBorders>
            <w:noWrap/>
          </w:tcPr>
          <w:p w14:paraId="7022BB7F" w14:textId="3B205C54" w:rsidR="00E3251C" w:rsidRPr="00FE27DA" w:rsidRDefault="00CC7112" w:rsidP="009741B1">
            <w:pPr>
              <w:keepNext/>
              <w:suppressAutoHyphens w:val="0"/>
              <w:spacing w:line="240" w:lineRule="auto"/>
              <w:jc w:val="right"/>
              <w:rPr>
                <w:color w:val="000000"/>
                <w:spacing w:val="0"/>
                <w:w w:val="100"/>
                <w:kern w:val="0"/>
                <w:sz w:val="18"/>
                <w:szCs w:val="18"/>
                <w:lang w:val="en-US"/>
              </w:rPr>
            </w:pPr>
            <w:r>
              <w:rPr>
                <w:color w:val="000000"/>
                <w:spacing w:val="0"/>
                <w:w w:val="100"/>
                <w:kern w:val="0"/>
                <w:sz w:val="18"/>
                <w:szCs w:val="18"/>
                <w:lang w:val="en-US"/>
              </w:rPr>
              <w:t>72</w:t>
            </w:r>
            <w:bookmarkStart w:id="176" w:name="_Toc40281153"/>
            <w:bookmarkStart w:id="177" w:name="_Toc40281312"/>
            <w:bookmarkEnd w:id="176"/>
            <w:bookmarkEnd w:id="177"/>
          </w:p>
        </w:tc>
        <w:tc>
          <w:tcPr>
            <w:tcW w:w="1435" w:type="dxa"/>
            <w:tcBorders>
              <w:top w:val="nil"/>
              <w:left w:val="nil"/>
              <w:bottom w:val="nil"/>
              <w:right w:val="nil"/>
            </w:tcBorders>
            <w:noWrap/>
          </w:tcPr>
          <w:p w14:paraId="7F7FF217" w14:textId="6382C8B9" w:rsidR="00E3251C" w:rsidRPr="00FE27DA" w:rsidRDefault="00C42FEB" w:rsidP="009741B1">
            <w:pPr>
              <w:keepNext/>
              <w:suppressAutoHyphens w:val="0"/>
              <w:spacing w:line="240" w:lineRule="auto"/>
              <w:jc w:val="center"/>
              <w:rPr>
                <w:color w:val="000000"/>
                <w:spacing w:val="0"/>
                <w:w w:val="100"/>
                <w:kern w:val="0"/>
                <w:sz w:val="18"/>
                <w:szCs w:val="18"/>
                <w:lang w:val="en-US"/>
              </w:rPr>
            </w:pPr>
            <w:r>
              <w:rPr>
                <w:color w:val="000000"/>
                <w:spacing w:val="0"/>
                <w:w w:val="100"/>
                <w:kern w:val="0"/>
                <w:sz w:val="18"/>
                <w:szCs w:val="18"/>
                <w:lang w:val="en-US"/>
              </w:rPr>
              <w:t>1%</w:t>
            </w:r>
            <w:bookmarkStart w:id="178" w:name="_Toc40281154"/>
            <w:bookmarkStart w:id="179" w:name="_Toc40281313"/>
            <w:bookmarkEnd w:id="178"/>
            <w:bookmarkEnd w:id="179"/>
          </w:p>
        </w:tc>
        <w:bookmarkStart w:id="180" w:name="_Toc40281155"/>
        <w:bookmarkStart w:id="181" w:name="_Toc40281314"/>
        <w:bookmarkEnd w:id="180"/>
        <w:bookmarkEnd w:id="181"/>
      </w:tr>
      <w:tr w:rsidR="00E3251C" w:rsidRPr="00FE27DA" w14:paraId="0C8A5443" w14:textId="226001B5" w:rsidTr="00955997">
        <w:trPr>
          <w:gridAfter w:val="1"/>
          <w:wAfter w:w="9" w:type="dxa"/>
          <w:trHeight w:val="206"/>
        </w:trPr>
        <w:tc>
          <w:tcPr>
            <w:tcW w:w="2963" w:type="dxa"/>
            <w:tcBorders>
              <w:top w:val="nil"/>
              <w:left w:val="nil"/>
              <w:bottom w:val="single" w:sz="4" w:space="0" w:color="auto"/>
              <w:right w:val="nil"/>
            </w:tcBorders>
            <w:hideMark/>
          </w:tcPr>
          <w:p w14:paraId="0093E6C9" w14:textId="7CE6D4B6" w:rsidR="00E3251C" w:rsidRPr="00FE27DA" w:rsidRDefault="00E3251C" w:rsidP="009741B1">
            <w:pPr>
              <w:keepNext/>
              <w:suppressAutoHyphens w:val="0"/>
              <w:spacing w:line="240" w:lineRule="auto"/>
              <w:rPr>
                <w:b/>
                <w:bCs/>
                <w:color w:val="000000"/>
                <w:spacing w:val="0"/>
                <w:w w:val="100"/>
                <w:kern w:val="0"/>
                <w:sz w:val="18"/>
                <w:szCs w:val="18"/>
                <w:lang w:val="en-US"/>
              </w:rPr>
            </w:pPr>
            <w:r w:rsidRPr="00FE27DA">
              <w:rPr>
                <w:b/>
                <w:bCs/>
                <w:color w:val="000000"/>
                <w:spacing w:val="0"/>
                <w:w w:val="100"/>
                <w:kern w:val="0"/>
                <w:sz w:val="18"/>
                <w:szCs w:val="18"/>
                <w:lang w:val="en-US"/>
              </w:rPr>
              <w:t>Reserves</w:t>
            </w:r>
            <w:bookmarkStart w:id="182" w:name="_Toc40281156"/>
            <w:bookmarkStart w:id="183" w:name="_Toc40281315"/>
            <w:bookmarkEnd w:id="182"/>
            <w:bookmarkEnd w:id="183"/>
          </w:p>
        </w:tc>
        <w:tc>
          <w:tcPr>
            <w:tcW w:w="1433" w:type="dxa"/>
            <w:tcBorders>
              <w:top w:val="nil"/>
              <w:left w:val="nil"/>
              <w:bottom w:val="single" w:sz="4" w:space="0" w:color="auto"/>
              <w:right w:val="nil"/>
            </w:tcBorders>
          </w:tcPr>
          <w:p w14:paraId="450963DE" w14:textId="2B5B429E" w:rsidR="00E3251C" w:rsidRPr="00FE27DA" w:rsidRDefault="00702E92" w:rsidP="009741B1">
            <w:pPr>
              <w:keepNext/>
              <w:suppressAutoHyphens w:val="0"/>
              <w:spacing w:line="240" w:lineRule="auto"/>
              <w:jc w:val="right"/>
              <w:rPr>
                <w:color w:val="000000"/>
                <w:spacing w:val="0"/>
                <w:w w:val="100"/>
                <w:kern w:val="0"/>
                <w:sz w:val="18"/>
                <w:szCs w:val="18"/>
                <w:lang w:val="en-US"/>
              </w:rPr>
            </w:pPr>
            <w:bookmarkStart w:id="184" w:name="_Toc40281157"/>
            <w:bookmarkStart w:id="185" w:name="_Toc40281316"/>
            <w:bookmarkEnd w:id="184"/>
            <w:bookmarkEnd w:id="185"/>
            <w:r>
              <w:rPr>
                <w:color w:val="000000"/>
                <w:spacing w:val="0"/>
                <w:w w:val="100"/>
                <w:kern w:val="0"/>
                <w:sz w:val="18"/>
                <w:szCs w:val="18"/>
                <w:lang w:val="en-US"/>
              </w:rPr>
              <w:t>286</w:t>
            </w:r>
            <w:bookmarkStart w:id="186" w:name="_Toc40281158"/>
            <w:bookmarkStart w:id="187" w:name="_Toc40281317"/>
            <w:bookmarkEnd w:id="186"/>
            <w:bookmarkEnd w:id="187"/>
          </w:p>
        </w:tc>
        <w:tc>
          <w:tcPr>
            <w:tcW w:w="1434" w:type="dxa"/>
            <w:tcBorders>
              <w:top w:val="nil"/>
              <w:left w:val="nil"/>
              <w:bottom w:val="single" w:sz="4" w:space="0" w:color="auto"/>
              <w:right w:val="nil"/>
            </w:tcBorders>
          </w:tcPr>
          <w:p w14:paraId="144913FE" w14:textId="67175FF8" w:rsidR="00E3251C" w:rsidRPr="00FE27DA" w:rsidRDefault="00702E92" w:rsidP="009741B1">
            <w:pPr>
              <w:keepNext/>
              <w:suppressAutoHyphens w:val="0"/>
              <w:spacing w:line="240" w:lineRule="auto"/>
              <w:jc w:val="right"/>
              <w:rPr>
                <w:color w:val="000000"/>
                <w:spacing w:val="0"/>
                <w:w w:val="100"/>
                <w:kern w:val="0"/>
                <w:sz w:val="18"/>
                <w:szCs w:val="18"/>
                <w:lang w:val="en-US"/>
              </w:rPr>
            </w:pPr>
            <w:bookmarkStart w:id="188" w:name="_Toc40281159"/>
            <w:bookmarkStart w:id="189" w:name="_Toc40281318"/>
            <w:bookmarkEnd w:id="188"/>
            <w:bookmarkEnd w:id="189"/>
            <w:r>
              <w:rPr>
                <w:color w:val="000000"/>
                <w:spacing w:val="0"/>
                <w:w w:val="100"/>
                <w:kern w:val="0"/>
                <w:sz w:val="18"/>
                <w:szCs w:val="18"/>
                <w:lang w:val="en-US"/>
              </w:rPr>
              <w:t>292</w:t>
            </w:r>
            <w:bookmarkStart w:id="190" w:name="_Toc40281160"/>
            <w:bookmarkStart w:id="191" w:name="_Toc40281319"/>
            <w:bookmarkEnd w:id="190"/>
            <w:bookmarkEnd w:id="191"/>
          </w:p>
        </w:tc>
        <w:tc>
          <w:tcPr>
            <w:tcW w:w="1434" w:type="dxa"/>
            <w:tcBorders>
              <w:top w:val="nil"/>
              <w:left w:val="nil"/>
              <w:bottom w:val="single" w:sz="4" w:space="0" w:color="auto"/>
              <w:right w:val="nil"/>
            </w:tcBorders>
            <w:noWrap/>
          </w:tcPr>
          <w:p w14:paraId="5290BC22" w14:textId="06C98C42" w:rsidR="00E3251C" w:rsidRPr="00FE27DA" w:rsidRDefault="00CC7112" w:rsidP="009741B1">
            <w:pPr>
              <w:keepNext/>
              <w:suppressAutoHyphens w:val="0"/>
              <w:spacing w:line="240" w:lineRule="auto"/>
              <w:jc w:val="right"/>
              <w:rPr>
                <w:color w:val="000000"/>
                <w:spacing w:val="0"/>
                <w:w w:val="100"/>
                <w:kern w:val="0"/>
                <w:sz w:val="18"/>
                <w:szCs w:val="18"/>
                <w:lang w:val="en-US"/>
              </w:rPr>
            </w:pPr>
            <w:r>
              <w:rPr>
                <w:color w:val="000000"/>
                <w:spacing w:val="0"/>
                <w:w w:val="100"/>
                <w:kern w:val="0"/>
                <w:sz w:val="18"/>
                <w:szCs w:val="18"/>
                <w:lang w:val="en-US"/>
              </w:rPr>
              <w:t>(6)</w:t>
            </w:r>
            <w:bookmarkStart w:id="192" w:name="_Toc40281161"/>
            <w:bookmarkStart w:id="193" w:name="_Toc40281320"/>
            <w:bookmarkEnd w:id="192"/>
            <w:bookmarkEnd w:id="193"/>
          </w:p>
        </w:tc>
        <w:tc>
          <w:tcPr>
            <w:tcW w:w="1435" w:type="dxa"/>
            <w:tcBorders>
              <w:top w:val="nil"/>
              <w:left w:val="nil"/>
              <w:bottom w:val="single" w:sz="4" w:space="0" w:color="auto"/>
              <w:right w:val="nil"/>
            </w:tcBorders>
            <w:noWrap/>
          </w:tcPr>
          <w:p w14:paraId="158E3B6C" w14:textId="7E6528E4" w:rsidR="00E3251C" w:rsidRPr="00FE27DA" w:rsidRDefault="002F46D7" w:rsidP="009741B1">
            <w:pPr>
              <w:keepNext/>
              <w:suppressAutoHyphens w:val="0"/>
              <w:spacing w:line="240" w:lineRule="auto"/>
              <w:jc w:val="center"/>
              <w:rPr>
                <w:color w:val="000000"/>
                <w:spacing w:val="0"/>
                <w:w w:val="100"/>
                <w:kern w:val="0"/>
                <w:sz w:val="18"/>
                <w:szCs w:val="18"/>
                <w:lang w:val="en-US"/>
              </w:rPr>
            </w:pPr>
            <w:r>
              <w:rPr>
                <w:color w:val="000000"/>
                <w:spacing w:val="0"/>
                <w:w w:val="100"/>
                <w:kern w:val="0"/>
                <w:sz w:val="18"/>
                <w:szCs w:val="18"/>
                <w:lang w:val="en-US"/>
              </w:rPr>
              <w:t>(</w:t>
            </w:r>
            <w:r w:rsidR="00C42FEB">
              <w:rPr>
                <w:color w:val="000000"/>
                <w:spacing w:val="0"/>
                <w:w w:val="100"/>
                <w:kern w:val="0"/>
                <w:sz w:val="18"/>
                <w:szCs w:val="18"/>
                <w:lang w:val="en-US"/>
              </w:rPr>
              <w:t>2%</w:t>
            </w:r>
            <w:bookmarkStart w:id="194" w:name="_Toc40281162"/>
            <w:bookmarkStart w:id="195" w:name="_Toc40281321"/>
            <w:bookmarkEnd w:id="194"/>
            <w:bookmarkEnd w:id="195"/>
            <w:r>
              <w:rPr>
                <w:color w:val="000000"/>
                <w:spacing w:val="0"/>
                <w:w w:val="100"/>
                <w:kern w:val="0"/>
                <w:sz w:val="18"/>
                <w:szCs w:val="18"/>
                <w:lang w:val="en-US"/>
              </w:rPr>
              <w:t>)</w:t>
            </w:r>
          </w:p>
        </w:tc>
        <w:bookmarkStart w:id="196" w:name="_Toc40281163"/>
        <w:bookmarkStart w:id="197" w:name="_Toc40281322"/>
        <w:bookmarkEnd w:id="196"/>
        <w:bookmarkEnd w:id="197"/>
      </w:tr>
      <w:tr w:rsidR="0083277E" w:rsidRPr="00FE27DA" w14:paraId="78981BEB" w14:textId="7B89049D" w:rsidTr="00955997">
        <w:trPr>
          <w:gridAfter w:val="1"/>
          <w:wAfter w:w="9" w:type="dxa"/>
          <w:trHeight w:val="206"/>
        </w:trPr>
        <w:tc>
          <w:tcPr>
            <w:tcW w:w="2963" w:type="dxa"/>
            <w:tcBorders>
              <w:top w:val="single" w:sz="4" w:space="0" w:color="auto"/>
              <w:left w:val="nil"/>
              <w:bottom w:val="nil"/>
              <w:right w:val="nil"/>
            </w:tcBorders>
            <w:noWrap/>
            <w:hideMark/>
          </w:tcPr>
          <w:p w14:paraId="31CF4065" w14:textId="02475338" w:rsidR="0083277E" w:rsidRPr="00FE27DA" w:rsidRDefault="0083277E" w:rsidP="009741B1">
            <w:pPr>
              <w:keepNext/>
              <w:suppressAutoHyphens w:val="0"/>
              <w:spacing w:line="240" w:lineRule="auto"/>
              <w:rPr>
                <w:color w:val="000000"/>
                <w:spacing w:val="0"/>
                <w:w w:val="100"/>
                <w:kern w:val="0"/>
                <w:sz w:val="18"/>
                <w:szCs w:val="18"/>
                <w:lang w:val="en-US"/>
              </w:rPr>
            </w:pPr>
            <w:r w:rsidRPr="00FE27DA">
              <w:rPr>
                <w:color w:val="000000"/>
                <w:spacing w:val="0"/>
                <w:w w:val="100"/>
                <w:kern w:val="0"/>
                <w:sz w:val="18"/>
                <w:szCs w:val="18"/>
                <w:lang w:val="en-US"/>
              </w:rPr>
              <w:t> </w:t>
            </w:r>
            <w:bookmarkStart w:id="198" w:name="_Toc40281164"/>
            <w:bookmarkStart w:id="199" w:name="_Toc40281323"/>
            <w:bookmarkEnd w:id="198"/>
            <w:bookmarkEnd w:id="199"/>
          </w:p>
        </w:tc>
        <w:tc>
          <w:tcPr>
            <w:tcW w:w="1433" w:type="dxa"/>
            <w:tcBorders>
              <w:top w:val="single" w:sz="4" w:space="0" w:color="auto"/>
              <w:left w:val="nil"/>
              <w:bottom w:val="nil"/>
              <w:right w:val="nil"/>
            </w:tcBorders>
          </w:tcPr>
          <w:p w14:paraId="76E6230D" w14:textId="5F864FC3" w:rsidR="0083277E" w:rsidRPr="00FE27DA" w:rsidRDefault="0083277E" w:rsidP="009741B1">
            <w:pPr>
              <w:keepNext/>
              <w:suppressAutoHyphens w:val="0"/>
              <w:spacing w:line="240" w:lineRule="auto"/>
              <w:jc w:val="right"/>
              <w:rPr>
                <w:color w:val="000000"/>
                <w:spacing w:val="0"/>
                <w:w w:val="100"/>
                <w:kern w:val="0"/>
                <w:sz w:val="18"/>
                <w:szCs w:val="18"/>
                <w:lang w:val="en-US"/>
              </w:rPr>
            </w:pPr>
            <w:bookmarkStart w:id="200" w:name="_Toc40281165"/>
            <w:bookmarkStart w:id="201" w:name="_Toc40281324"/>
            <w:bookmarkEnd w:id="200"/>
            <w:bookmarkEnd w:id="201"/>
            <w:r>
              <w:rPr>
                <w:color w:val="000000"/>
                <w:spacing w:val="0"/>
                <w:w w:val="100"/>
                <w:kern w:val="0"/>
                <w:sz w:val="18"/>
                <w:szCs w:val="18"/>
                <w:lang w:val="en-US"/>
              </w:rPr>
              <w:t>9,695</w:t>
            </w:r>
            <w:bookmarkStart w:id="202" w:name="_Toc40281166"/>
            <w:bookmarkStart w:id="203" w:name="_Toc40281325"/>
            <w:bookmarkEnd w:id="202"/>
            <w:bookmarkEnd w:id="203"/>
          </w:p>
        </w:tc>
        <w:tc>
          <w:tcPr>
            <w:tcW w:w="1434" w:type="dxa"/>
            <w:tcBorders>
              <w:top w:val="single" w:sz="4" w:space="0" w:color="auto"/>
              <w:left w:val="nil"/>
              <w:bottom w:val="nil"/>
              <w:right w:val="nil"/>
            </w:tcBorders>
          </w:tcPr>
          <w:p w14:paraId="75DBAB0C" w14:textId="39FCD90F" w:rsidR="0083277E" w:rsidRPr="00FE27DA" w:rsidRDefault="0083277E" w:rsidP="009741B1">
            <w:pPr>
              <w:keepNext/>
              <w:suppressAutoHyphens w:val="0"/>
              <w:spacing w:line="240" w:lineRule="auto"/>
              <w:jc w:val="right"/>
              <w:rPr>
                <w:color w:val="000000"/>
                <w:spacing w:val="0"/>
                <w:w w:val="100"/>
                <w:kern w:val="0"/>
                <w:sz w:val="18"/>
                <w:szCs w:val="18"/>
                <w:lang w:val="en-US"/>
              </w:rPr>
            </w:pPr>
            <w:bookmarkStart w:id="204" w:name="_Toc40281167"/>
            <w:bookmarkStart w:id="205" w:name="_Toc40281326"/>
            <w:bookmarkEnd w:id="204"/>
            <w:bookmarkEnd w:id="205"/>
            <w:r w:rsidRPr="11D2A197">
              <w:rPr>
                <w:color w:val="000000" w:themeColor="text1"/>
                <w:sz w:val="18"/>
                <w:szCs w:val="18"/>
              </w:rPr>
              <w:t>9,629</w:t>
            </w:r>
            <w:bookmarkStart w:id="206" w:name="_Toc40281168"/>
            <w:bookmarkStart w:id="207" w:name="_Toc40281327"/>
            <w:bookmarkEnd w:id="206"/>
            <w:bookmarkEnd w:id="207"/>
          </w:p>
        </w:tc>
        <w:tc>
          <w:tcPr>
            <w:tcW w:w="1434" w:type="dxa"/>
            <w:tcBorders>
              <w:top w:val="single" w:sz="4" w:space="0" w:color="auto"/>
              <w:left w:val="nil"/>
              <w:bottom w:val="nil"/>
              <w:right w:val="nil"/>
            </w:tcBorders>
            <w:noWrap/>
          </w:tcPr>
          <w:p w14:paraId="073DD8FC" w14:textId="24C8DE42" w:rsidR="0083277E" w:rsidRPr="00FE27DA" w:rsidRDefault="0083277E" w:rsidP="009741B1">
            <w:pPr>
              <w:keepNext/>
              <w:suppressAutoHyphens w:val="0"/>
              <w:spacing w:line="240" w:lineRule="auto"/>
              <w:jc w:val="right"/>
              <w:rPr>
                <w:color w:val="000000"/>
                <w:spacing w:val="0"/>
                <w:w w:val="100"/>
                <w:kern w:val="0"/>
                <w:sz w:val="18"/>
                <w:szCs w:val="18"/>
                <w:lang w:val="en-US"/>
              </w:rPr>
            </w:pPr>
            <w:r w:rsidRPr="005C195D">
              <w:rPr>
                <w:color w:val="000000"/>
                <w:sz w:val="18"/>
                <w:szCs w:val="18"/>
              </w:rPr>
              <w:t>66</w:t>
            </w:r>
            <w:bookmarkStart w:id="208" w:name="_Toc40281169"/>
            <w:bookmarkStart w:id="209" w:name="_Toc40281328"/>
            <w:bookmarkEnd w:id="208"/>
            <w:bookmarkEnd w:id="209"/>
          </w:p>
        </w:tc>
        <w:tc>
          <w:tcPr>
            <w:tcW w:w="1435" w:type="dxa"/>
            <w:tcBorders>
              <w:top w:val="single" w:sz="4" w:space="0" w:color="auto"/>
              <w:left w:val="nil"/>
              <w:bottom w:val="nil"/>
              <w:right w:val="nil"/>
            </w:tcBorders>
            <w:noWrap/>
          </w:tcPr>
          <w:p w14:paraId="6AB9E521" w14:textId="1ED3F2A0" w:rsidR="0083277E" w:rsidRPr="00FE27DA" w:rsidRDefault="0083277E" w:rsidP="009741B1">
            <w:pPr>
              <w:keepNext/>
              <w:suppressAutoHyphens w:val="0"/>
              <w:spacing w:line="240" w:lineRule="auto"/>
              <w:jc w:val="center"/>
              <w:rPr>
                <w:color w:val="000000"/>
                <w:spacing w:val="0"/>
                <w:w w:val="100"/>
                <w:kern w:val="0"/>
                <w:sz w:val="18"/>
                <w:szCs w:val="18"/>
                <w:lang w:val="en-US"/>
              </w:rPr>
            </w:pPr>
            <w:r>
              <w:rPr>
                <w:color w:val="000000"/>
                <w:spacing w:val="0"/>
                <w:w w:val="100"/>
                <w:kern w:val="0"/>
                <w:sz w:val="18"/>
                <w:szCs w:val="18"/>
                <w:lang w:val="en-US"/>
              </w:rPr>
              <w:t>1%</w:t>
            </w:r>
            <w:bookmarkStart w:id="210" w:name="_Toc40281170"/>
            <w:bookmarkStart w:id="211" w:name="_Toc40281329"/>
            <w:bookmarkEnd w:id="210"/>
            <w:bookmarkEnd w:id="211"/>
          </w:p>
        </w:tc>
        <w:bookmarkStart w:id="212" w:name="_Toc40281171"/>
        <w:bookmarkStart w:id="213" w:name="_Toc40281330"/>
        <w:bookmarkEnd w:id="212"/>
        <w:bookmarkEnd w:id="213"/>
      </w:tr>
      <w:tr w:rsidR="0083277E" w:rsidRPr="00FE27DA" w14:paraId="56BB2EE9" w14:textId="0C0E4B44" w:rsidTr="00A87E6F">
        <w:trPr>
          <w:trHeight w:val="226"/>
        </w:trPr>
        <w:tc>
          <w:tcPr>
            <w:tcW w:w="8708" w:type="dxa"/>
            <w:gridSpan w:val="6"/>
            <w:tcBorders>
              <w:top w:val="nil"/>
              <w:left w:val="nil"/>
              <w:bottom w:val="nil"/>
              <w:right w:val="nil"/>
            </w:tcBorders>
          </w:tcPr>
          <w:p w14:paraId="00DDC42A" w14:textId="4F1DD521" w:rsidR="0083277E" w:rsidRPr="00FE27DA" w:rsidRDefault="0083277E" w:rsidP="009741B1">
            <w:pPr>
              <w:keepNext/>
              <w:suppressAutoHyphens w:val="0"/>
              <w:spacing w:line="240" w:lineRule="auto"/>
              <w:rPr>
                <w:spacing w:val="0"/>
                <w:w w:val="100"/>
                <w:kern w:val="0"/>
                <w:sz w:val="18"/>
                <w:szCs w:val="18"/>
                <w:lang w:val="en-US"/>
              </w:rPr>
            </w:pPr>
            <w:bookmarkStart w:id="214" w:name="_Toc40281172"/>
            <w:bookmarkStart w:id="215" w:name="_Toc40281331"/>
            <w:bookmarkStart w:id="216" w:name="_Toc40281180"/>
            <w:bookmarkStart w:id="217" w:name="_Toc40281339"/>
            <w:bookmarkStart w:id="218" w:name="_Toc40281181"/>
            <w:bookmarkStart w:id="219" w:name="_Toc40281340"/>
            <w:bookmarkEnd w:id="214"/>
            <w:bookmarkEnd w:id="215"/>
            <w:bookmarkEnd w:id="216"/>
            <w:bookmarkEnd w:id="217"/>
            <w:bookmarkEnd w:id="218"/>
            <w:bookmarkEnd w:id="219"/>
            <w:r w:rsidRPr="00FE27DA">
              <w:rPr>
                <w:b/>
                <w:bCs/>
                <w:spacing w:val="0"/>
                <w:w w:val="100"/>
                <w:kern w:val="0"/>
                <w:vertAlign w:val="superscript"/>
                <w:lang w:val="en-US"/>
              </w:rPr>
              <w:t>a</w:t>
            </w:r>
            <w:r w:rsidRPr="00FE27DA">
              <w:rPr>
                <w:spacing w:val="0"/>
                <w:w w:val="100"/>
                <w:kern w:val="0"/>
                <w:sz w:val="18"/>
                <w:szCs w:val="18"/>
                <w:lang w:val="en-US"/>
              </w:rPr>
              <w:t xml:space="preserve"> </w:t>
            </w:r>
            <w:r w:rsidRPr="00FE27DA">
              <w:rPr>
                <w:spacing w:val="0"/>
                <w:w w:val="100"/>
                <w:kern w:val="0"/>
                <w:sz w:val="16"/>
                <w:szCs w:val="16"/>
                <w:lang w:val="en-US"/>
              </w:rPr>
              <w:t>Revenue and expense amounts are after elimination of $25</w:t>
            </w:r>
            <w:r>
              <w:rPr>
                <w:spacing w:val="0"/>
                <w:w w:val="100"/>
                <w:kern w:val="0"/>
                <w:sz w:val="16"/>
                <w:szCs w:val="16"/>
                <w:lang w:val="en-US"/>
              </w:rPr>
              <w:t>6</w:t>
            </w:r>
            <w:r w:rsidRPr="00FE27DA">
              <w:rPr>
                <w:spacing w:val="0"/>
                <w:w w:val="100"/>
                <w:kern w:val="0"/>
                <w:sz w:val="16"/>
                <w:szCs w:val="16"/>
                <w:lang w:val="en-US"/>
              </w:rPr>
              <w:t xml:space="preserve"> million in 201</w:t>
            </w:r>
            <w:r>
              <w:rPr>
                <w:spacing w:val="0"/>
                <w:w w:val="100"/>
                <w:kern w:val="0"/>
                <w:sz w:val="16"/>
                <w:szCs w:val="16"/>
                <w:lang w:val="en-US"/>
              </w:rPr>
              <w:t>9</w:t>
            </w:r>
            <w:r w:rsidRPr="00FE27DA">
              <w:rPr>
                <w:spacing w:val="0"/>
                <w:w w:val="100"/>
                <w:kern w:val="0"/>
                <w:sz w:val="16"/>
                <w:szCs w:val="16"/>
                <w:lang w:val="en-US"/>
              </w:rPr>
              <w:t xml:space="preserve"> and $2</w:t>
            </w:r>
            <w:r>
              <w:rPr>
                <w:spacing w:val="0"/>
                <w:w w:val="100"/>
                <w:kern w:val="0"/>
                <w:sz w:val="16"/>
                <w:szCs w:val="16"/>
                <w:lang w:val="en-US"/>
              </w:rPr>
              <w:t>58</w:t>
            </w:r>
            <w:r w:rsidRPr="00FE27DA">
              <w:rPr>
                <w:spacing w:val="0"/>
                <w:w w:val="100"/>
                <w:kern w:val="0"/>
                <w:sz w:val="16"/>
                <w:szCs w:val="16"/>
                <w:lang w:val="en-US"/>
              </w:rPr>
              <w:t xml:space="preserve"> million in 201</w:t>
            </w:r>
            <w:r>
              <w:rPr>
                <w:spacing w:val="0"/>
                <w:w w:val="100"/>
                <w:kern w:val="0"/>
                <w:sz w:val="16"/>
                <w:szCs w:val="16"/>
                <w:lang w:val="en-US"/>
              </w:rPr>
              <w:t>8.</w:t>
            </w:r>
            <w:bookmarkStart w:id="220" w:name="_Toc40281182"/>
            <w:bookmarkStart w:id="221" w:name="_Toc40281341"/>
            <w:bookmarkEnd w:id="220"/>
            <w:bookmarkEnd w:id="221"/>
          </w:p>
        </w:tc>
        <w:bookmarkStart w:id="222" w:name="_Toc40281183"/>
        <w:bookmarkStart w:id="223" w:name="_Toc40281342"/>
        <w:bookmarkEnd w:id="222"/>
        <w:bookmarkEnd w:id="223"/>
      </w:tr>
      <w:tr w:rsidR="0083277E" w:rsidRPr="00FE27DA" w14:paraId="31812186" w14:textId="3F4E26F4" w:rsidTr="00A87E6F">
        <w:trPr>
          <w:trHeight w:val="293"/>
        </w:trPr>
        <w:tc>
          <w:tcPr>
            <w:tcW w:w="8708" w:type="dxa"/>
            <w:gridSpan w:val="6"/>
            <w:tcBorders>
              <w:top w:val="nil"/>
              <w:left w:val="nil"/>
              <w:bottom w:val="nil"/>
              <w:right w:val="nil"/>
            </w:tcBorders>
          </w:tcPr>
          <w:p w14:paraId="66038E90" w14:textId="51C5C52F" w:rsidR="0083277E" w:rsidRPr="00FE27DA" w:rsidRDefault="0083277E" w:rsidP="009741B1">
            <w:pPr>
              <w:keepNext/>
              <w:suppressAutoHyphens w:val="0"/>
              <w:spacing w:line="240" w:lineRule="auto"/>
              <w:rPr>
                <w:spacing w:val="0"/>
                <w:w w:val="100"/>
                <w:kern w:val="0"/>
                <w:sz w:val="16"/>
                <w:szCs w:val="16"/>
                <w:lang w:val="en-US"/>
              </w:rPr>
            </w:pPr>
            <w:bookmarkStart w:id="224" w:name="_Toc40281184"/>
            <w:bookmarkStart w:id="225" w:name="_Toc40281343"/>
            <w:bookmarkStart w:id="226" w:name="_Toc40281185"/>
            <w:bookmarkStart w:id="227" w:name="_Toc40281344"/>
            <w:bookmarkEnd w:id="224"/>
            <w:bookmarkEnd w:id="225"/>
            <w:bookmarkEnd w:id="226"/>
            <w:bookmarkEnd w:id="227"/>
            <w:r w:rsidRPr="00FE27DA">
              <w:rPr>
                <w:spacing w:val="0"/>
                <w:w w:val="100"/>
                <w:kern w:val="0"/>
                <w:sz w:val="16"/>
                <w:szCs w:val="16"/>
                <w:lang w:val="en-US"/>
              </w:rPr>
              <w:t xml:space="preserve">Before elimination:   Total revenue - </w:t>
            </w:r>
            <w:r>
              <w:rPr>
                <w:spacing w:val="0"/>
                <w:w w:val="100"/>
                <w:kern w:val="0"/>
                <w:sz w:val="16"/>
                <w:szCs w:val="16"/>
                <w:lang w:val="en-US"/>
              </w:rPr>
              <w:t xml:space="preserve">$5,085 million in 2019; </w:t>
            </w:r>
            <w:r w:rsidRPr="00FE27DA">
              <w:rPr>
                <w:spacing w:val="0"/>
                <w:w w:val="100"/>
                <w:kern w:val="0"/>
                <w:sz w:val="16"/>
                <w:szCs w:val="16"/>
                <w:lang w:val="en-US"/>
              </w:rPr>
              <w:t>$5,</w:t>
            </w:r>
            <w:r>
              <w:rPr>
                <w:spacing w:val="0"/>
                <w:w w:val="100"/>
                <w:kern w:val="0"/>
                <w:sz w:val="16"/>
                <w:szCs w:val="16"/>
                <w:lang w:val="en-US"/>
              </w:rPr>
              <w:t>950</w:t>
            </w:r>
            <w:r w:rsidRPr="00FE27DA">
              <w:rPr>
                <w:spacing w:val="0"/>
                <w:w w:val="100"/>
                <w:kern w:val="0"/>
                <w:sz w:val="16"/>
                <w:szCs w:val="16"/>
                <w:lang w:val="en-US"/>
              </w:rPr>
              <w:t xml:space="preserve"> million in 2018;</w:t>
            </w:r>
            <w:r w:rsidRPr="00FE27DA">
              <w:rPr>
                <w:spacing w:val="0"/>
                <w:w w:val="100"/>
                <w:kern w:val="0"/>
                <w:sz w:val="16"/>
                <w:szCs w:val="16"/>
                <w:lang w:val="en-US"/>
              </w:rPr>
              <w:br/>
              <w:t xml:space="preserve">                                  Total expense - </w:t>
            </w:r>
            <w:r>
              <w:rPr>
                <w:spacing w:val="0"/>
                <w:w w:val="100"/>
                <w:kern w:val="0"/>
                <w:sz w:val="16"/>
                <w:szCs w:val="16"/>
                <w:lang w:val="en-US"/>
              </w:rPr>
              <w:t xml:space="preserve">$5,180 million in 2019; </w:t>
            </w:r>
            <w:r w:rsidRPr="00FE27DA">
              <w:rPr>
                <w:spacing w:val="0"/>
                <w:w w:val="100"/>
                <w:kern w:val="0"/>
                <w:sz w:val="16"/>
                <w:szCs w:val="16"/>
                <w:lang w:val="en-US"/>
              </w:rPr>
              <w:t>$5,355 million in 2018;</w:t>
            </w:r>
            <w:r>
              <w:rPr>
                <w:spacing w:val="0"/>
                <w:w w:val="100"/>
                <w:kern w:val="0"/>
                <w:sz w:val="16"/>
                <w:szCs w:val="16"/>
                <w:lang w:val="en-US"/>
              </w:rPr>
              <w:t>.</w:t>
            </w:r>
            <w:r w:rsidRPr="00FE27DA">
              <w:rPr>
                <w:spacing w:val="0"/>
                <w:w w:val="100"/>
                <w:kern w:val="0"/>
                <w:sz w:val="16"/>
                <w:szCs w:val="16"/>
                <w:lang w:val="en-US"/>
              </w:rPr>
              <w:t xml:space="preserve"> </w:t>
            </w:r>
            <w:bookmarkStart w:id="228" w:name="_Toc40281186"/>
            <w:bookmarkStart w:id="229" w:name="_Toc40281345"/>
            <w:bookmarkEnd w:id="228"/>
            <w:bookmarkEnd w:id="229"/>
          </w:p>
        </w:tc>
        <w:bookmarkStart w:id="230" w:name="_Toc40281187"/>
        <w:bookmarkStart w:id="231" w:name="_Toc40281346"/>
        <w:bookmarkEnd w:id="230"/>
        <w:bookmarkEnd w:id="231"/>
      </w:tr>
    </w:tbl>
    <w:p w14:paraId="24068387" w14:textId="187427FA" w:rsidR="005156D7" w:rsidRPr="009E5F63" w:rsidRDefault="00354CF1" w:rsidP="009E5F63">
      <w:pPr>
        <w:pStyle w:val="H1"/>
        <w:numPr>
          <w:ilvl w:val="1"/>
          <w:numId w:val="6"/>
        </w:numPr>
        <w:tabs>
          <w:tab w:val="clear" w:pos="1022"/>
          <w:tab w:val="clear" w:pos="1742"/>
          <w:tab w:val="right" w:pos="1440"/>
          <w:tab w:val="left" w:pos="1800"/>
        </w:tabs>
        <w:spacing w:before="240" w:after="240" w:line="240" w:lineRule="auto"/>
        <w:ind w:left="1152" w:right="0"/>
        <w:outlineLvl w:val="1"/>
      </w:pPr>
      <w:bookmarkStart w:id="232" w:name="_Toc40281188"/>
      <w:bookmarkStart w:id="233" w:name="_Toc40281347"/>
      <w:bookmarkStart w:id="234" w:name="_Toc46399195"/>
      <w:bookmarkEnd w:id="232"/>
      <w:bookmarkEnd w:id="233"/>
      <w:r w:rsidRPr="009E5F63">
        <w:lastRenderedPageBreak/>
        <w:t>R</w:t>
      </w:r>
      <w:r w:rsidR="005156D7" w:rsidRPr="009E5F63">
        <w:t>evenue</w:t>
      </w:r>
      <w:bookmarkEnd w:id="234"/>
    </w:p>
    <w:p w14:paraId="32B9FD63" w14:textId="76C2A8BD" w:rsidR="0008355C" w:rsidRDefault="001376AA" w:rsidP="000578BE">
      <w:pPr>
        <w:pStyle w:val="SingleTxt"/>
        <w:numPr>
          <w:ilvl w:val="0"/>
          <w:numId w:val="5"/>
        </w:numPr>
        <w:tabs>
          <w:tab w:val="clear" w:pos="1267"/>
          <w:tab w:val="left" w:pos="1260"/>
          <w:tab w:val="left" w:pos="1530"/>
        </w:tabs>
        <w:spacing w:before="240" w:after="240" w:line="240" w:lineRule="auto"/>
        <w:ind w:left="1339"/>
      </w:pPr>
      <w:bookmarkStart w:id="235" w:name="_Hlk882987"/>
      <w:r w:rsidRPr="000E57AE">
        <w:t>Total revenue</w:t>
      </w:r>
      <w:r w:rsidR="002311E9">
        <w:t xml:space="preserve"> (including contributions, investment revenue, exchange revenues, etc.) in 2019 was </w:t>
      </w:r>
      <w:r w:rsidR="002344BA">
        <w:t>$4.8</w:t>
      </w:r>
      <w:r w:rsidR="00E50C72">
        <w:t xml:space="preserve"> </w:t>
      </w:r>
      <w:r w:rsidR="002344BA">
        <w:t xml:space="preserve">billion, </w:t>
      </w:r>
      <w:r w:rsidR="006D1A48" w:rsidRPr="006D1A48">
        <w:t>a decrease of $863 million or 15 per cent over 2018 revenue of $5.7 billion</w:t>
      </w:r>
      <w:r w:rsidR="00136699">
        <w:t xml:space="preserve"> (restated)</w:t>
      </w:r>
      <w:r w:rsidRPr="000E57AE">
        <w:t>.</w:t>
      </w:r>
    </w:p>
    <w:p w14:paraId="3740481C" w14:textId="7AAD9E24" w:rsidR="00D60ACA" w:rsidRPr="009E5F63" w:rsidRDefault="00D60ACA" w:rsidP="000578BE">
      <w:pPr>
        <w:pStyle w:val="H4"/>
        <w:tabs>
          <w:tab w:val="clear" w:pos="1742"/>
          <w:tab w:val="left" w:pos="1440"/>
          <w:tab w:val="left" w:pos="1620"/>
        </w:tabs>
        <w:spacing w:before="240" w:after="240" w:line="240" w:lineRule="auto"/>
        <w:ind w:left="983" w:firstLine="0"/>
        <w:outlineLvl w:val="2"/>
      </w:pPr>
      <w:bookmarkStart w:id="236" w:name="_Toc40281190"/>
      <w:bookmarkStart w:id="237" w:name="_Toc40281349"/>
      <w:bookmarkStart w:id="238" w:name="_Toc44499876"/>
      <w:bookmarkStart w:id="239" w:name="_Toc44603224"/>
      <w:bookmarkStart w:id="240" w:name="_Toc44606537"/>
      <w:bookmarkStart w:id="241" w:name="_Toc45297423"/>
      <w:bookmarkStart w:id="242" w:name="_Toc46221131"/>
      <w:bookmarkStart w:id="243" w:name="_Toc46399196"/>
      <w:r>
        <w:t xml:space="preserve">Voluntary </w:t>
      </w:r>
      <w:r w:rsidDel="00FA1EE2">
        <w:t>C</w:t>
      </w:r>
      <w:r>
        <w:t>ontributions</w:t>
      </w:r>
      <w:bookmarkEnd w:id="236"/>
      <w:bookmarkEnd w:id="237"/>
      <w:bookmarkEnd w:id="238"/>
      <w:bookmarkEnd w:id="239"/>
      <w:bookmarkEnd w:id="240"/>
      <w:bookmarkEnd w:id="241"/>
      <w:bookmarkEnd w:id="242"/>
      <w:bookmarkEnd w:id="243"/>
    </w:p>
    <w:p w14:paraId="172E8C51" w14:textId="3D2332C8" w:rsidR="00D049F7" w:rsidRPr="000E57AE" w:rsidRDefault="00D049F7" w:rsidP="000578BE">
      <w:pPr>
        <w:pStyle w:val="SingleTxt"/>
        <w:numPr>
          <w:ilvl w:val="0"/>
          <w:numId w:val="5"/>
        </w:numPr>
        <w:tabs>
          <w:tab w:val="clear" w:pos="1742"/>
          <w:tab w:val="clear" w:pos="2218"/>
          <w:tab w:val="left" w:pos="1530"/>
        </w:tabs>
        <w:spacing w:before="240" w:after="240" w:line="240" w:lineRule="auto"/>
      </w:pPr>
      <w:r>
        <w:t xml:space="preserve">Voluntary Contributions </w:t>
      </w:r>
      <w:r w:rsidR="001768E5">
        <w:t>reported in the financial statements in 2019</w:t>
      </w:r>
      <w:r w:rsidR="0003402B">
        <w:t xml:space="preserve"> </w:t>
      </w:r>
      <w:r w:rsidR="001448B4">
        <w:t>totalled</w:t>
      </w:r>
      <w:r w:rsidR="00BE6087">
        <w:t xml:space="preserve"> </w:t>
      </w:r>
      <w:r w:rsidRPr="000E57AE">
        <w:t>$</w:t>
      </w:r>
      <w:r w:rsidR="003E2063">
        <w:t>4.5 billion</w:t>
      </w:r>
      <w:r w:rsidRPr="000E57AE">
        <w:t xml:space="preserve">, a </w:t>
      </w:r>
      <w:r>
        <w:t>decrease</w:t>
      </w:r>
      <w:r w:rsidRPr="000E57AE">
        <w:t xml:space="preserve"> of $</w:t>
      </w:r>
      <w:r w:rsidR="003F06C2">
        <w:t>887</w:t>
      </w:r>
      <w:r>
        <w:t> </w:t>
      </w:r>
      <w:r w:rsidRPr="000E57AE">
        <w:t>million (</w:t>
      </w:r>
      <w:r w:rsidR="00B05C3F">
        <w:t>16.6</w:t>
      </w:r>
      <w:r w:rsidRPr="000E57AE">
        <w:t xml:space="preserve"> per cent) from the 201</w:t>
      </w:r>
      <w:r>
        <w:t>8</w:t>
      </w:r>
      <w:r w:rsidRPr="000E57AE">
        <w:t xml:space="preserve"> restated amount of $</w:t>
      </w:r>
      <w:r w:rsidR="003E2063">
        <w:t>5.4 billion</w:t>
      </w:r>
      <w:r w:rsidRPr="000E57AE">
        <w:t xml:space="preserve">. </w:t>
      </w:r>
      <w:r w:rsidR="00AD2AA7">
        <w:t xml:space="preserve">Of the $4.5 billion, $694 million were contributions to regular (core) resources and $3.8 billion were contributions to other (non-core) resources. </w:t>
      </w:r>
      <w:r w:rsidR="00C02CEB">
        <w:t xml:space="preserve">The decrease </w:t>
      </w:r>
      <w:r w:rsidR="0072613E">
        <w:t xml:space="preserve">in other resources was primarily due to a 62 per cent decrease in the value of new agreements signed with </w:t>
      </w:r>
      <w:r w:rsidR="00E03601" w:rsidRPr="00E03601">
        <w:t xml:space="preserve">the Global Environment </w:t>
      </w:r>
      <w:r w:rsidR="00A42B8D" w:rsidRPr="00E03601">
        <w:t>Facility</w:t>
      </w:r>
      <w:r w:rsidR="00A42B8D">
        <w:t xml:space="preserve">, </w:t>
      </w:r>
      <w:r w:rsidR="00A42B8D" w:rsidRPr="00E03601">
        <w:t>the</w:t>
      </w:r>
      <w:r w:rsidR="00E03601" w:rsidRPr="00E03601">
        <w:t xml:space="preserve"> Green Climate Fund</w:t>
      </w:r>
      <w:r w:rsidR="0072613E">
        <w:t xml:space="preserve"> and </w:t>
      </w:r>
      <w:r w:rsidR="00E03601" w:rsidRPr="00E03601">
        <w:t>the Global Fund to Fight AIDS, Tuberculosis and Malaria</w:t>
      </w:r>
      <w:r w:rsidR="0072613E">
        <w:t>.</w:t>
      </w:r>
      <w:r w:rsidR="00621591">
        <w:t xml:space="preserve"> </w:t>
      </w:r>
      <w:r w:rsidR="00EB2EF6" w:rsidRPr="00EB2EF6">
        <w:t xml:space="preserve">In 2019, fewer new multi-year regular resource agreements were signed compared to </w:t>
      </w:r>
      <w:r w:rsidR="00A42B8D" w:rsidRPr="00EB2EF6">
        <w:t>2018.</w:t>
      </w:r>
      <w:r w:rsidR="008F4A4C">
        <w:t xml:space="preserve"> Decreases were also reported in key funding partners for other resources.  </w:t>
      </w:r>
    </w:p>
    <w:p w14:paraId="2B648C82" w14:textId="33F77D26" w:rsidR="00E63925" w:rsidRDefault="00CC3280" w:rsidP="00752D2F">
      <w:pPr>
        <w:pStyle w:val="SingleTxt"/>
        <w:numPr>
          <w:ilvl w:val="0"/>
          <w:numId w:val="5"/>
        </w:numPr>
        <w:tabs>
          <w:tab w:val="left" w:pos="1530"/>
        </w:tabs>
        <w:spacing w:before="240" w:after="240" w:line="240" w:lineRule="auto"/>
      </w:pPr>
      <w:r w:rsidRPr="00E63925">
        <w:t>Voluntary Contributions</w:t>
      </w:r>
      <w:r w:rsidR="00C02CEB">
        <w:t xml:space="preserve"> </w:t>
      </w:r>
      <w:r w:rsidR="00E63925" w:rsidRPr="00E63925">
        <w:t xml:space="preserve">represent 93 per cent </w:t>
      </w:r>
      <w:r w:rsidR="00C02CEB">
        <w:t>(2018 restated</w:t>
      </w:r>
      <w:r w:rsidR="00812EED">
        <w:t>: 94 per cent</w:t>
      </w:r>
      <w:r w:rsidR="00C02CEB">
        <w:t xml:space="preserve">) </w:t>
      </w:r>
      <w:r w:rsidR="00E63925" w:rsidRPr="00E63925">
        <w:t xml:space="preserve">of the total revenue, with the remaining 7 per cent largely consisting of other revenue and investment revenue, as set out in table 2a </w:t>
      </w:r>
      <w:r w:rsidR="00E63925">
        <w:t>below</w:t>
      </w:r>
      <w:r w:rsidR="00E63925" w:rsidRPr="00E63925">
        <w:t xml:space="preserve">. </w:t>
      </w:r>
    </w:p>
    <w:p w14:paraId="2224BB02" w14:textId="3888FB3D" w:rsidR="001319A0" w:rsidRPr="00D118FF" w:rsidRDefault="00E27494" w:rsidP="0050288D">
      <w:pPr>
        <w:pStyle w:val="SingleTxt"/>
        <w:numPr>
          <w:ilvl w:val="0"/>
          <w:numId w:val="5"/>
        </w:numPr>
        <w:tabs>
          <w:tab w:val="left" w:pos="1530"/>
        </w:tabs>
        <w:spacing w:before="240" w:after="240" w:line="240" w:lineRule="auto"/>
      </w:pPr>
      <w:r w:rsidRPr="00D118FF">
        <w:t xml:space="preserve">As set out in paragraph </w:t>
      </w:r>
      <w:r w:rsidR="00FE544A" w:rsidRPr="00D118FF">
        <w:t>4</w:t>
      </w:r>
      <w:r w:rsidR="00EF3AEB" w:rsidRPr="00D118FF">
        <w:t xml:space="preserve"> </w:t>
      </w:r>
      <w:r w:rsidRPr="00D118FF">
        <w:t xml:space="preserve">above, </w:t>
      </w:r>
      <w:r w:rsidR="004445AE" w:rsidRPr="00D118FF">
        <w:t>UNDP refined its accounting policy for recognizing revenue from voluntary contributions</w:t>
      </w:r>
      <w:r w:rsidR="00DF3D2F" w:rsidRPr="00D118FF">
        <w:t xml:space="preserve">, which </w:t>
      </w:r>
      <w:r w:rsidR="004445AE" w:rsidRPr="00D118FF">
        <w:t>result</w:t>
      </w:r>
      <w:r w:rsidR="00DF3D2F" w:rsidRPr="00D118FF">
        <w:t>s</w:t>
      </w:r>
      <w:r w:rsidR="004445AE" w:rsidRPr="00D118FF">
        <w:t xml:space="preserve"> </w:t>
      </w:r>
      <w:r w:rsidR="00DF3D2F" w:rsidRPr="00D118FF">
        <w:t xml:space="preserve">in </w:t>
      </w:r>
      <w:r w:rsidR="004445AE" w:rsidRPr="00D118FF">
        <w:t xml:space="preserve">the full value of the contributions agreements signed (including multi-year agreements) </w:t>
      </w:r>
      <w:r w:rsidR="00DF3D2F" w:rsidRPr="00D118FF">
        <w:t xml:space="preserve">being </w:t>
      </w:r>
      <w:r w:rsidR="004445AE" w:rsidRPr="00D118FF">
        <w:t xml:space="preserve">recognized as revenue in the year an agreement is signed. </w:t>
      </w:r>
      <w:r w:rsidR="00425AD3" w:rsidRPr="00D118FF">
        <w:t>U</w:t>
      </w:r>
      <w:r w:rsidR="001F53EC" w:rsidRPr="00D118FF">
        <w:t>nder UNDP’s Financial Regulations and Rules, UNDP is only permitted to spend up to the amount of cash received; hence, in the following section of this document, where applicable, ‘Annual Contributions’ are  presented to align with the past revenue recognition policies for contributions (i.e., cash received in a reporting year, plus receivables due in a reporting year), and the comparative figures of 2018 audited Financial Statements will also be presented where applicable</w:t>
      </w:r>
      <w:r w:rsidR="00FE3CCF" w:rsidRPr="00D118FF">
        <w:t>.</w:t>
      </w:r>
      <w:r w:rsidR="00566F90" w:rsidRPr="00D118FF">
        <w:t xml:space="preserve"> </w:t>
      </w:r>
      <w:r w:rsidR="001319A0" w:rsidRPr="00D118FF">
        <w:t xml:space="preserve"> </w:t>
      </w:r>
    </w:p>
    <w:p w14:paraId="79813A37" w14:textId="5871B78F" w:rsidR="007A2090" w:rsidRPr="006263C1" w:rsidRDefault="00893F8C" w:rsidP="003F5F37">
      <w:pPr>
        <w:pStyle w:val="SingleTxt"/>
        <w:keepNext/>
        <w:tabs>
          <w:tab w:val="clear" w:pos="1742"/>
          <w:tab w:val="left" w:pos="1530"/>
        </w:tabs>
        <w:spacing w:after="0"/>
        <w:jc w:val="center"/>
        <w:rPr>
          <w:b/>
        </w:rPr>
      </w:pPr>
      <w:r w:rsidRPr="006263C1">
        <w:rPr>
          <w:b/>
        </w:rPr>
        <w:lastRenderedPageBreak/>
        <w:t>Table 2</w:t>
      </w:r>
      <w:r w:rsidR="00FA1E51" w:rsidRPr="006263C1">
        <w:rPr>
          <w:b/>
        </w:rPr>
        <w:t>a</w:t>
      </w:r>
      <w:r w:rsidRPr="006263C1">
        <w:rPr>
          <w:b/>
        </w:rPr>
        <w:t>. UNDP revenue, 201</w:t>
      </w:r>
      <w:r w:rsidR="00573341" w:rsidRPr="006263C1">
        <w:rPr>
          <w:b/>
        </w:rPr>
        <w:t>9</w:t>
      </w:r>
    </w:p>
    <w:p w14:paraId="77BFC019" w14:textId="10081E09" w:rsidR="00893F8C" w:rsidRDefault="00893F8C" w:rsidP="003F5F37">
      <w:pPr>
        <w:pStyle w:val="SingleTxt"/>
        <w:keepNext/>
        <w:tabs>
          <w:tab w:val="clear" w:pos="1742"/>
          <w:tab w:val="left" w:pos="1530"/>
        </w:tabs>
        <w:spacing w:after="0"/>
        <w:jc w:val="center"/>
        <w:rPr>
          <w:i/>
        </w:rPr>
      </w:pPr>
      <w:r w:rsidRPr="006263C1">
        <w:rPr>
          <w:i/>
        </w:rPr>
        <w:t xml:space="preserve">(in millions of </w:t>
      </w:r>
      <w:r w:rsidR="007A2090" w:rsidRPr="006263C1">
        <w:rPr>
          <w:i/>
        </w:rPr>
        <w:t xml:space="preserve">United States </w:t>
      </w:r>
      <w:r w:rsidRPr="006263C1">
        <w:rPr>
          <w:i/>
        </w:rPr>
        <w:t>dollars)</w:t>
      </w:r>
    </w:p>
    <w:p w14:paraId="6DA34F48" w14:textId="77777777" w:rsidR="007A2090" w:rsidRPr="007A2090" w:rsidRDefault="007A2090" w:rsidP="003F5F37">
      <w:pPr>
        <w:pStyle w:val="SingleTxt"/>
        <w:keepNext/>
        <w:tabs>
          <w:tab w:val="clear" w:pos="1742"/>
          <w:tab w:val="left" w:pos="1530"/>
        </w:tabs>
        <w:spacing w:after="0"/>
        <w:rPr>
          <w:i/>
        </w:rPr>
      </w:pPr>
    </w:p>
    <w:tbl>
      <w:tblPr>
        <w:tblW w:w="8116" w:type="dxa"/>
        <w:tblInd w:w="1231" w:type="dxa"/>
        <w:tblLayout w:type="fixed"/>
        <w:tblCellMar>
          <w:left w:w="115" w:type="dxa"/>
          <w:right w:w="115" w:type="dxa"/>
        </w:tblCellMar>
        <w:tblLook w:val="04A0" w:firstRow="1" w:lastRow="0" w:firstColumn="1" w:lastColumn="0" w:noHBand="0" w:noVBand="1"/>
      </w:tblPr>
      <w:tblGrid>
        <w:gridCol w:w="3995"/>
        <w:gridCol w:w="997"/>
        <w:gridCol w:w="997"/>
        <w:gridCol w:w="1081"/>
        <w:gridCol w:w="1046"/>
      </w:tblGrid>
      <w:tr w:rsidR="00573341" w:rsidRPr="007A2090" w14:paraId="6922DF0B" w14:textId="77777777" w:rsidTr="00FD6BCD">
        <w:trPr>
          <w:trHeight w:val="568"/>
        </w:trPr>
        <w:tc>
          <w:tcPr>
            <w:tcW w:w="3995" w:type="dxa"/>
            <w:tcBorders>
              <w:top w:val="single" w:sz="4" w:space="0" w:color="000000"/>
              <w:left w:val="single" w:sz="4" w:space="0" w:color="000000"/>
              <w:bottom w:val="single" w:sz="4" w:space="0" w:color="auto"/>
              <w:right w:val="single" w:sz="4" w:space="0" w:color="auto"/>
            </w:tcBorders>
            <w:shd w:val="clear" w:color="auto" w:fill="auto"/>
            <w:vAlign w:val="center"/>
            <w:hideMark/>
          </w:tcPr>
          <w:p w14:paraId="12397F83" w14:textId="77777777" w:rsidR="00573341" w:rsidRPr="007A2090" w:rsidRDefault="00573341" w:rsidP="003F5F37">
            <w:pPr>
              <w:keepNext/>
              <w:suppressAutoHyphens w:val="0"/>
              <w:spacing w:line="240" w:lineRule="auto"/>
              <w:rPr>
                <w:rFonts w:eastAsia="Times New Roman"/>
                <w:b/>
                <w:iCs/>
                <w:color w:val="000000"/>
                <w:spacing w:val="0"/>
                <w:w w:val="100"/>
                <w:kern w:val="0"/>
                <w:sz w:val="16"/>
                <w:szCs w:val="16"/>
              </w:rPr>
            </w:pPr>
            <w:r w:rsidRPr="007A2090">
              <w:rPr>
                <w:rFonts w:eastAsia="Times New Roman"/>
                <w:b/>
                <w:iCs/>
                <w:color w:val="000000"/>
                <w:spacing w:val="0"/>
                <w:w w:val="100"/>
                <w:kern w:val="0"/>
                <w:sz w:val="16"/>
                <w:szCs w:val="16"/>
              </w:rPr>
              <w:t>Resources</w:t>
            </w:r>
          </w:p>
        </w:tc>
        <w:tc>
          <w:tcPr>
            <w:tcW w:w="997" w:type="dxa"/>
            <w:tcBorders>
              <w:top w:val="single" w:sz="4" w:space="0" w:color="auto"/>
              <w:left w:val="single" w:sz="4" w:space="0" w:color="auto"/>
              <w:bottom w:val="single" w:sz="4" w:space="0" w:color="auto"/>
              <w:right w:val="single" w:sz="4" w:space="0" w:color="auto"/>
            </w:tcBorders>
            <w:vAlign w:val="center"/>
          </w:tcPr>
          <w:p w14:paraId="062C7F9C" w14:textId="2E9AE6B0" w:rsidR="00573341" w:rsidRPr="000E1F1E" w:rsidRDefault="00573341" w:rsidP="00BC6A48">
            <w:pPr>
              <w:keepNext/>
              <w:suppressAutoHyphens w:val="0"/>
              <w:spacing w:line="240" w:lineRule="auto"/>
              <w:jc w:val="center"/>
              <w:rPr>
                <w:rFonts w:eastAsia="Times New Roman"/>
                <w:b/>
                <w:color w:val="000000"/>
                <w:spacing w:val="0"/>
                <w:w w:val="100"/>
                <w:kern w:val="0"/>
                <w:sz w:val="16"/>
                <w:szCs w:val="16"/>
              </w:rPr>
            </w:pPr>
            <w:r w:rsidRPr="000E1F1E">
              <w:rPr>
                <w:rFonts w:eastAsia="Times New Roman"/>
                <w:b/>
                <w:color w:val="000000"/>
                <w:spacing w:val="0"/>
                <w:w w:val="100"/>
                <w:kern w:val="0"/>
                <w:sz w:val="16"/>
                <w:szCs w:val="16"/>
              </w:rPr>
              <w:t>2019</w:t>
            </w:r>
          </w:p>
        </w:tc>
        <w:tc>
          <w:tcPr>
            <w:tcW w:w="9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AA0F1D" w14:textId="450FB200" w:rsidR="00573341" w:rsidRPr="000E1F1E" w:rsidRDefault="00573341" w:rsidP="00BC6A48">
            <w:pPr>
              <w:keepNext/>
              <w:suppressAutoHyphens w:val="0"/>
              <w:spacing w:line="240" w:lineRule="auto"/>
              <w:jc w:val="center"/>
              <w:rPr>
                <w:rFonts w:eastAsia="Times New Roman"/>
                <w:b/>
                <w:color w:val="000000"/>
                <w:spacing w:val="0"/>
                <w:w w:val="100"/>
                <w:kern w:val="0"/>
                <w:sz w:val="16"/>
                <w:szCs w:val="16"/>
              </w:rPr>
            </w:pPr>
            <w:r w:rsidRPr="000E1F1E">
              <w:rPr>
                <w:rFonts w:eastAsia="Times New Roman"/>
                <w:b/>
                <w:color w:val="000000"/>
                <w:spacing w:val="0"/>
                <w:w w:val="100"/>
                <w:kern w:val="0"/>
                <w:sz w:val="16"/>
                <w:szCs w:val="16"/>
              </w:rPr>
              <w:t>2018</w:t>
            </w:r>
          </w:p>
          <w:p w14:paraId="42DD84F4" w14:textId="7CC7B8CA" w:rsidR="00573341" w:rsidRPr="000E1F1E" w:rsidRDefault="000E1F1E" w:rsidP="00BC6A48">
            <w:pPr>
              <w:keepNext/>
              <w:suppressAutoHyphens w:val="0"/>
              <w:spacing w:line="240" w:lineRule="auto"/>
              <w:jc w:val="center"/>
              <w:rPr>
                <w:rFonts w:eastAsia="Times New Roman"/>
                <w:b/>
                <w:color w:val="000000"/>
                <w:spacing w:val="0"/>
                <w:w w:val="100"/>
                <w:kern w:val="0"/>
                <w:sz w:val="16"/>
                <w:szCs w:val="16"/>
              </w:rPr>
            </w:pPr>
            <w:r w:rsidRPr="000E1F1E">
              <w:rPr>
                <w:rFonts w:eastAsia="Times New Roman"/>
                <w:b/>
                <w:color w:val="000000"/>
                <w:spacing w:val="0"/>
                <w:w w:val="100"/>
                <w:kern w:val="0"/>
                <w:sz w:val="16"/>
                <w:szCs w:val="16"/>
              </w:rPr>
              <w:t>(restated)</w:t>
            </w:r>
          </w:p>
        </w:tc>
        <w:tc>
          <w:tcPr>
            <w:tcW w:w="1081" w:type="dxa"/>
            <w:tcBorders>
              <w:top w:val="single" w:sz="4" w:space="0" w:color="auto"/>
              <w:left w:val="nil"/>
              <w:bottom w:val="single" w:sz="4" w:space="0" w:color="auto"/>
              <w:right w:val="single" w:sz="4" w:space="0" w:color="000000"/>
            </w:tcBorders>
            <w:shd w:val="clear" w:color="auto" w:fill="auto"/>
            <w:vAlign w:val="center"/>
            <w:hideMark/>
          </w:tcPr>
          <w:p w14:paraId="585A846A" w14:textId="3C60F944" w:rsidR="00573341" w:rsidRPr="007A2090" w:rsidRDefault="00573341" w:rsidP="000A6045">
            <w:pPr>
              <w:keepNext/>
              <w:suppressAutoHyphens w:val="0"/>
              <w:spacing w:line="240" w:lineRule="auto"/>
              <w:jc w:val="center"/>
              <w:rPr>
                <w:rFonts w:eastAsia="Times New Roman"/>
                <w:b/>
                <w:iCs/>
                <w:color w:val="000000"/>
                <w:spacing w:val="0"/>
                <w:w w:val="100"/>
                <w:kern w:val="0"/>
                <w:sz w:val="16"/>
                <w:szCs w:val="16"/>
              </w:rPr>
            </w:pPr>
            <w:r w:rsidRPr="007A2090">
              <w:rPr>
                <w:rFonts w:eastAsia="Times New Roman"/>
                <w:b/>
                <w:iCs/>
                <w:color w:val="000000"/>
                <w:spacing w:val="0"/>
                <w:w w:val="100"/>
                <w:kern w:val="0"/>
                <w:sz w:val="16"/>
                <w:szCs w:val="16"/>
              </w:rPr>
              <w:t>Increase/ (decrease)</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2396BECF" w14:textId="15C10DEB" w:rsidR="00573341" w:rsidRPr="007A2090" w:rsidRDefault="00573341" w:rsidP="00BC6A48">
            <w:pPr>
              <w:keepNext/>
              <w:suppressAutoHyphens w:val="0"/>
              <w:spacing w:line="240" w:lineRule="auto"/>
              <w:jc w:val="center"/>
              <w:rPr>
                <w:rFonts w:eastAsia="Times New Roman"/>
                <w:b/>
                <w:iCs/>
                <w:color w:val="000000"/>
                <w:spacing w:val="0"/>
                <w:w w:val="100"/>
                <w:kern w:val="0"/>
                <w:sz w:val="16"/>
                <w:szCs w:val="16"/>
              </w:rPr>
            </w:pPr>
            <w:r w:rsidRPr="007A2090">
              <w:rPr>
                <w:rFonts w:eastAsia="Times New Roman"/>
                <w:b/>
                <w:iCs/>
                <w:color w:val="000000"/>
                <w:spacing w:val="0"/>
                <w:w w:val="100"/>
                <w:kern w:val="0"/>
                <w:sz w:val="16"/>
                <w:szCs w:val="16"/>
              </w:rPr>
              <w:t>Percentage change</w:t>
            </w:r>
          </w:p>
        </w:tc>
      </w:tr>
      <w:tr w:rsidR="00573341" w:rsidRPr="000E57AE" w14:paraId="4D55CA11" w14:textId="77777777" w:rsidTr="00FD6BCD">
        <w:trPr>
          <w:trHeight w:val="317"/>
        </w:trPr>
        <w:tc>
          <w:tcPr>
            <w:tcW w:w="3995" w:type="dxa"/>
            <w:tcBorders>
              <w:top w:val="nil"/>
              <w:left w:val="single" w:sz="4" w:space="0" w:color="000000"/>
              <w:bottom w:val="nil"/>
              <w:right w:val="single" w:sz="4" w:space="0" w:color="auto"/>
            </w:tcBorders>
            <w:shd w:val="clear" w:color="auto" w:fill="auto"/>
            <w:vAlign w:val="center"/>
            <w:hideMark/>
          </w:tcPr>
          <w:p w14:paraId="79D38CA6" w14:textId="77777777" w:rsidR="00573341" w:rsidRPr="006263C1" w:rsidRDefault="00573341" w:rsidP="002239CC">
            <w:pPr>
              <w:keepNext/>
              <w:suppressAutoHyphens w:val="0"/>
              <w:spacing w:before="10" w:after="10" w:line="240" w:lineRule="auto"/>
              <w:rPr>
                <w:rFonts w:eastAsia="Times New Roman"/>
                <w:b/>
                <w:bCs/>
                <w:color w:val="000000"/>
                <w:spacing w:val="0"/>
                <w:w w:val="100"/>
                <w:kern w:val="0"/>
                <w:sz w:val="16"/>
                <w:szCs w:val="16"/>
              </w:rPr>
            </w:pPr>
            <w:r w:rsidRPr="006263C1">
              <w:rPr>
                <w:rFonts w:eastAsia="Times New Roman"/>
                <w:b/>
                <w:bCs/>
                <w:color w:val="000000"/>
                <w:spacing w:val="0"/>
                <w:w w:val="100"/>
                <w:kern w:val="0"/>
                <w:sz w:val="16"/>
                <w:szCs w:val="16"/>
              </w:rPr>
              <w:t>REVENUE</w:t>
            </w:r>
          </w:p>
        </w:tc>
        <w:tc>
          <w:tcPr>
            <w:tcW w:w="997" w:type="dxa"/>
            <w:tcBorders>
              <w:top w:val="nil"/>
              <w:left w:val="single" w:sz="4" w:space="0" w:color="auto"/>
              <w:bottom w:val="nil"/>
              <w:right w:val="single" w:sz="4" w:space="0" w:color="auto"/>
            </w:tcBorders>
          </w:tcPr>
          <w:p w14:paraId="6D40F1D9" w14:textId="77777777" w:rsidR="00573341" w:rsidRPr="00CE093A" w:rsidRDefault="00573341" w:rsidP="002239CC">
            <w:pPr>
              <w:keepNext/>
              <w:suppressAutoHyphens w:val="0"/>
              <w:spacing w:before="10" w:after="10" w:line="240" w:lineRule="auto"/>
              <w:jc w:val="center"/>
              <w:rPr>
                <w:rFonts w:ascii="Calibri" w:eastAsia="Times New Roman" w:hAnsi="Calibri" w:cs="Calibri"/>
                <w:color w:val="000000"/>
                <w:spacing w:val="0"/>
                <w:w w:val="100"/>
                <w:kern w:val="0"/>
                <w:sz w:val="22"/>
                <w:szCs w:val="22"/>
                <w:highlight w:val="yellow"/>
              </w:rPr>
            </w:pPr>
          </w:p>
        </w:tc>
        <w:tc>
          <w:tcPr>
            <w:tcW w:w="997" w:type="dxa"/>
            <w:tcBorders>
              <w:top w:val="nil"/>
              <w:left w:val="single" w:sz="4" w:space="0" w:color="auto"/>
              <w:bottom w:val="nil"/>
              <w:right w:val="single" w:sz="4" w:space="0" w:color="000000"/>
            </w:tcBorders>
            <w:shd w:val="clear" w:color="auto" w:fill="auto"/>
            <w:noWrap/>
            <w:vAlign w:val="center"/>
            <w:hideMark/>
          </w:tcPr>
          <w:p w14:paraId="43C7AC79" w14:textId="1F599DC3" w:rsidR="00573341" w:rsidRPr="000E57AE" w:rsidRDefault="00573341" w:rsidP="002239CC">
            <w:pPr>
              <w:keepNext/>
              <w:suppressAutoHyphens w:val="0"/>
              <w:spacing w:before="10" w:after="10" w:line="240" w:lineRule="auto"/>
              <w:jc w:val="center"/>
              <w:rPr>
                <w:rFonts w:ascii="Calibri" w:eastAsia="Times New Roman" w:hAnsi="Calibri" w:cs="Calibri"/>
                <w:color w:val="000000"/>
                <w:spacing w:val="0"/>
                <w:w w:val="100"/>
                <w:kern w:val="0"/>
                <w:sz w:val="22"/>
                <w:szCs w:val="22"/>
              </w:rPr>
            </w:pPr>
          </w:p>
        </w:tc>
        <w:tc>
          <w:tcPr>
            <w:tcW w:w="1081" w:type="dxa"/>
            <w:tcBorders>
              <w:top w:val="nil"/>
              <w:left w:val="nil"/>
              <w:bottom w:val="nil"/>
              <w:right w:val="single" w:sz="4" w:space="0" w:color="000000"/>
            </w:tcBorders>
            <w:shd w:val="clear" w:color="auto" w:fill="auto"/>
            <w:noWrap/>
            <w:vAlign w:val="bottom"/>
            <w:hideMark/>
          </w:tcPr>
          <w:p w14:paraId="03F7E438" w14:textId="4C05FFF4" w:rsidR="00573341" w:rsidRPr="000E57AE" w:rsidRDefault="00573341" w:rsidP="002239CC">
            <w:pPr>
              <w:keepNext/>
              <w:suppressAutoHyphens w:val="0"/>
              <w:spacing w:before="10" w:after="10" w:line="240" w:lineRule="auto"/>
              <w:jc w:val="center"/>
              <w:rPr>
                <w:rFonts w:eastAsia="Times New Roman"/>
                <w:color w:val="000000"/>
                <w:spacing w:val="0"/>
                <w:w w:val="100"/>
                <w:kern w:val="0"/>
                <w:sz w:val="14"/>
                <w:szCs w:val="14"/>
              </w:rPr>
            </w:pPr>
          </w:p>
        </w:tc>
        <w:tc>
          <w:tcPr>
            <w:tcW w:w="1046" w:type="dxa"/>
            <w:tcBorders>
              <w:top w:val="nil"/>
              <w:left w:val="nil"/>
              <w:bottom w:val="nil"/>
              <w:right w:val="single" w:sz="4" w:space="0" w:color="auto"/>
            </w:tcBorders>
            <w:shd w:val="clear" w:color="auto" w:fill="auto"/>
            <w:noWrap/>
            <w:vAlign w:val="bottom"/>
            <w:hideMark/>
          </w:tcPr>
          <w:p w14:paraId="57FAD8A3" w14:textId="1D3923BC" w:rsidR="00573341" w:rsidRPr="000E57AE" w:rsidRDefault="00573341" w:rsidP="002239CC">
            <w:pPr>
              <w:keepNext/>
              <w:suppressAutoHyphens w:val="0"/>
              <w:spacing w:before="10" w:after="10" w:line="240" w:lineRule="auto"/>
              <w:jc w:val="center"/>
              <w:rPr>
                <w:rFonts w:eastAsia="Times New Roman"/>
                <w:color w:val="000000"/>
                <w:spacing w:val="0"/>
                <w:w w:val="100"/>
                <w:kern w:val="0"/>
                <w:sz w:val="14"/>
                <w:szCs w:val="14"/>
              </w:rPr>
            </w:pPr>
          </w:p>
        </w:tc>
      </w:tr>
      <w:tr w:rsidR="00573341" w:rsidRPr="000E57AE" w14:paraId="7DA98FC7" w14:textId="77777777" w:rsidTr="00FD6BCD">
        <w:trPr>
          <w:trHeight w:val="179"/>
        </w:trPr>
        <w:tc>
          <w:tcPr>
            <w:tcW w:w="3995" w:type="dxa"/>
            <w:tcBorders>
              <w:top w:val="nil"/>
              <w:left w:val="single" w:sz="4" w:space="0" w:color="000000"/>
              <w:bottom w:val="nil"/>
              <w:right w:val="single" w:sz="4" w:space="0" w:color="auto"/>
            </w:tcBorders>
            <w:shd w:val="clear" w:color="auto" w:fill="auto"/>
            <w:vAlign w:val="center"/>
            <w:hideMark/>
          </w:tcPr>
          <w:p w14:paraId="6F35DABF" w14:textId="583B437D" w:rsidR="00573341" w:rsidRPr="006263C1" w:rsidRDefault="005C1117" w:rsidP="002239CC">
            <w:pPr>
              <w:keepNext/>
              <w:suppressAutoHyphens w:val="0"/>
              <w:spacing w:before="10" w:after="10" w:line="240" w:lineRule="auto"/>
              <w:rPr>
                <w:rFonts w:eastAsia="Times New Roman"/>
                <w:color w:val="000000"/>
                <w:spacing w:val="0"/>
                <w:w w:val="100"/>
                <w:kern w:val="0"/>
                <w:sz w:val="16"/>
                <w:szCs w:val="16"/>
              </w:rPr>
            </w:pPr>
            <w:r w:rsidRPr="006263C1">
              <w:rPr>
                <w:rFonts w:eastAsia="Times New Roman"/>
                <w:color w:val="000000"/>
                <w:spacing w:val="0"/>
                <w:w w:val="100"/>
                <w:kern w:val="0"/>
                <w:sz w:val="16"/>
                <w:szCs w:val="16"/>
              </w:rPr>
              <w:t xml:space="preserve">Voluntary </w:t>
            </w:r>
            <w:r w:rsidR="00573341" w:rsidRPr="006263C1">
              <w:rPr>
                <w:rFonts w:eastAsia="Times New Roman"/>
                <w:color w:val="000000"/>
                <w:spacing w:val="0"/>
                <w:w w:val="100"/>
                <w:kern w:val="0"/>
                <w:sz w:val="16"/>
                <w:szCs w:val="16"/>
              </w:rPr>
              <w:t>Contributions</w:t>
            </w:r>
          </w:p>
        </w:tc>
        <w:tc>
          <w:tcPr>
            <w:tcW w:w="997" w:type="dxa"/>
            <w:tcBorders>
              <w:top w:val="nil"/>
              <w:left w:val="single" w:sz="4" w:space="0" w:color="auto"/>
              <w:bottom w:val="nil"/>
              <w:right w:val="single" w:sz="4" w:space="0" w:color="auto"/>
            </w:tcBorders>
          </w:tcPr>
          <w:p w14:paraId="79BCC230" w14:textId="77777777" w:rsidR="00573341" w:rsidRPr="00CE093A" w:rsidRDefault="00573341" w:rsidP="002239CC">
            <w:pPr>
              <w:keepNext/>
              <w:suppressAutoHyphens w:val="0"/>
              <w:spacing w:before="10" w:after="10" w:line="240" w:lineRule="auto"/>
              <w:jc w:val="center"/>
              <w:rPr>
                <w:rFonts w:eastAsia="Times New Roman"/>
                <w:color w:val="000000"/>
                <w:spacing w:val="0"/>
                <w:w w:val="100"/>
                <w:kern w:val="0"/>
                <w:sz w:val="16"/>
                <w:szCs w:val="16"/>
                <w:highlight w:val="yellow"/>
              </w:rPr>
            </w:pPr>
          </w:p>
        </w:tc>
        <w:tc>
          <w:tcPr>
            <w:tcW w:w="997" w:type="dxa"/>
            <w:tcBorders>
              <w:top w:val="nil"/>
              <w:left w:val="single" w:sz="4" w:space="0" w:color="auto"/>
              <w:bottom w:val="nil"/>
              <w:right w:val="single" w:sz="4" w:space="0" w:color="000000"/>
            </w:tcBorders>
            <w:shd w:val="clear" w:color="auto" w:fill="auto"/>
            <w:noWrap/>
            <w:vAlign w:val="center"/>
          </w:tcPr>
          <w:p w14:paraId="0015B2CC" w14:textId="70020CCB" w:rsidR="00573341" w:rsidRPr="000E57AE" w:rsidRDefault="00573341" w:rsidP="002239CC">
            <w:pPr>
              <w:keepNext/>
              <w:suppressAutoHyphens w:val="0"/>
              <w:spacing w:before="10" w:after="10" w:line="240" w:lineRule="auto"/>
              <w:jc w:val="center"/>
              <w:rPr>
                <w:rFonts w:eastAsia="Times New Roman"/>
                <w:color w:val="000000"/>
                <w:spacing w:val="0"/>
                <w:w w:val="100"/>
                <w:kern w:val="0"/>
                <w:sz w:val="16"/>
                <w:szCs w:val="16"/>
              </w:rPr>
            </w:pPr>
          </w:p>
        </w:tc>
        <w:tc>
          <w:tcPr>
            <w:tcW w:w="1081" w:type="dxa"/>
            <w:tcBorders>
              <w:top w:val="nil"/>
              <w:left w:val="nil"/>
              <w:bottom w:val="nil"/>
              <w:right w:val="single" w:sz="4" w:space="0" w:color="000000"/>
            </w:tcBorders>
            <w:shd w:val="clear" w:color="auto" w:fill="auto"/>
            <w:noWrap/>
            <w:vAlign w:val="bottom"/>
          </w:tcPr>
          <w:p w14:paraId="4A4F965F" w14:textId="19B1C481" w:rsidR="00573341" w:rsidRPr="000E57AE" w:rsidRDefault="00573341" w:rsidP="002239CC">
            <w:pPr>
              <w:keepNext/>
              <w:suppressAutoHyphens w:val="0"/>
              <w:spacing w:before="10" w:after="10" w:line="240" w:lineRule="auto"/>
              <w:jc w:val="center"/>
              <w:rPr>
                <w:rFonts w:eastAsia="Times New Roman"/>
                <w:color w:val="000000"/>
                <w:spacing w:val="0"/>
                <w:w w:val="100"/>
                <w:kern w:val="0"/>
                <w:sz w:val="16"/>
                <w:szCs w:val="16"/>
              </w:rPr>
            </w:pPr>
          </w:p>
        </w:tc>
        <w:tc>
          <w:tcPr>
            <w:tcW w:w="1046" w:type="dxa"/>
            <w:tcBorders>
              <w:top w:val="nil"/>
              <w:left w:val="nil"/>
              <w:bottom w:val="nil"/>
              <w:right w:val="single" w:sz="4" w:space="0" w:color="auto"/>
            </w:tcBorders>
            <w:shd w:val="clear" w:color="auto" w:fill="auto"/>
            <w:noWrap/>
            <w:vAlign w:val="bottom"/>
          </w:tcPr>
          <w:p w14:paraId="6A4895D9" w14:textId="53CC4CF9" w:rsidR="00573341" w:rsidRPr="000E57AE" w:rsidRDefault="00573341" w:rsidP="002239CC">
            <w:pPr>
              <w:keepNext/>
              <w:suppressAutoHyphens w:val="0"/>
              <w:spacing w:before="10" w:after="10" w:line="240" w:lineRule="auto"/>
              <w:jc w:val="center"/>
              <w:rPr>
                <w:rFonts w:eastAsia="Times New Roman"/>
                <w:color w:val="000000"/>
                <w:spacing w:val="0"/>
                <w:w w:val="100"/>
                <w:kern w:val="0"/>
                <w:sz w:val="16"/>
                <w:szCs w:val="16"/>
              </w:rPr>
            </w:pPr>
          </w:p>
        </w:tc>
      </w:tr>
      <w:tr w:rsidR="001509E0" w:rsidRPr="000E57AE" w14:paraId="0D46271B" w14:textId="77777777" w:rsidTr="00FD6BCD">
        <w:trPr>
          <w:trHeight w:val="179"/>
        </w:trPr>
        <w:tc>
          <w:tcPr>
            <w:tcW w:w="3995" w:type="dxa"/>
            <w:tcBorders>
              <w:top w:val="nil"/>
              <w:left w:val="single" w:sz="4" w:space="0" w:color="000000"/>
              <w:bottom w:val="nil"/>
              <w:right w:val="single" w:sz="4" w:space="0" w:color="auto"/>
            </w:tcBorders>
            <w:shd w:val="clear" w:color="auto" w:fill="auto"/>
            <w:vAlign w:val="bottom"/>
          </w:tcPr>
          <w:p w14:paraId="0C672128" w14:textId="772701D4" w:rsidR="001509E0" w:rsidRPr="006263C1" w:rsidRDefault="00BF2E3B" w:rsidP="002239CC">
            <w:pPr>
              <w:keepNext/>
              <w:suppressAutoHyphens w:val="0"/>
              <w:spacing w:before="10" w:after="10" w:line="240" w:lineRule="auto"/>
              <w:rPr>
                <w:rFonts w:eastAsia="Times New Roman"/>
                <w:color w:val="000000"/>
                <w:spacing w:val="0"/>
                <w:w w:val="100"/>
                <w:kern w:val="0"/>
                <w:sz w:val="16"/>
                <w:szCs w:val="16"/>
              </w:rPr>
            </w:pPr>
            <w:r w:rsidRPr="006263C1">
              <w:rPr>
                <w:rFonts w:eastAsia="Times New Roman"/>
                <w:color w:val="000000"/>
                <w:spacing w:val="0"/>
                <w:w w:val="100"/>
                <w:kern w:val="0"/>
                <w:sz w:val="16"/>
                <w:szCs w:val="16"/>
              </w:rPr>
              <w:t xml:space="preserve">   </w:t>
            </w:r>
            <w:r w:rsidR="000E1F1E" w:rsidRPr="006263C1">
              <w:rPr>
                <w:rFonts w:eastAsia="Times New Roman"/>
                <w:color w:val="000000"/>
                <w:spacing w:val="0"/>
                <w:w w:val="100"/>
                <w:kern w:val="0"/>
                <w:sz w:val="16"/>
                <w:szCs w:val="16"/>
              </w:rPr>
              <w:t>Annual Contributions</w:t>
            </w:r>
          </w:p>
        </w:tc>
        <w:tc>
          <w:tcPr>
            <w:tcW w:w="997" w:type="dxa"/>
            <w:tcBorders>
              <w:top w:val="nil"/>
              <w:left w:val="single" w:sz="4" w:space="0" w:color="auto"/>
              <w:bottom w:val="nil"/>
              <w:right w:val="single" w:sz="4" w:space="0" w:color="auto"/>
            </w:tcBorders>
          </w:tcPr>
          <w:p w14:paraId="6B6FBB98" w14:textId="085A5627" w:rsidR="001509E0" w:rsidRPr="000E1F1E" w:rsidRDefault="005F2188"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4,</w:t>
            </w:r>
            <w:r w:rsidR="007322F8" w:rsidRPr="000E1F1E">
              <w:rPr>
                <w:rFonts w:eastAsia="Times New Roman"/>
                <w:color w:val="000000"/>
                <w:spacing w:val="0"/>
                <w:w w:val="100"/>
                <w:kern w:val="0"/>
                <w:sz w:val="16"/>
                <w:szCs w:val="16"/>
              </w:rPr>
              <w:t>796</w:t>
            </w:r>
          </w:p>
        </w:tc>
        <w:tc>
          <w:tcPr>
            <w:tcW w:w="997" w:type="dxa"/>
            <w:tcBorders>
              <w:top w:val="nil"/>
              <w:left w:val="single" w:sz="4" w:space="0" w:color="auto"/>
              <w:bottom w:val="nil"/>
              <w:right w:val="single" w:sz="4" w:space="0" w:color="000000"/>
            </w:tcBorders>
            <w:shd w:val="clear" w:color="auto" w:fill="auto"/>
            <w:noWrap/>
            <w:vAlign w:val="bottom"/>
          </w:tcPr>
          <w:p w14:paraId="387C9BAC" w14:textId="4B2780D8" w:rsidR="001509E0"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5,173</w:t>
            </w:r>
          </w:p>
        </w:tc>
        <w:tc>
          <w:tcPr>
            <w:tcW w:w="1081" w:type="dxa"/>
            <w:tcBorders>
              <w:top w:val="nil"/>
              <w:left w:val="nil"/>
              <w:bottom w:val="nil"/>
              <w:right w:val="single" w:sz="4" w:space="0" w:color="000000"/>
            </w:tcBorders>
            <w:shd w:val="clear" w:color="auto" w:fill="auto"/>
            <w:noWrap/>
            <w:vAlign w:val="bottom"/>
          </w:tcPr>
          <w:p w14:paraId="1F6CED3A" w14:textId="6F0C5AF9" w:rsidR="001509E0"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(377)</w:t>
            </w:r>
          </w:p>
        </w:tc>
        <w:tc>
          <w:tcPr>
            <w:tcW w:w="1046" w:type="dxa"/>
            <w:tcBorders>
              <w:top w:val="nil"/>
              <w:left w:val="nil"/>
              <w:bottom w:val="nil"/>
              <w:right w:val="single" w:sz="4" w:space="0" w:color="auto"/>
            </w:tcBorders>
            <w:shd w:val="clear" w:color="auto" w:fill="auto"/>
            <w:noWrap/>
            <w:vAlign w:val="bottom"/>
          </w:tcPr>
          <w:p w14:paraId="30D59872" w14:textId="469210B0" w:rsidR="001509E0" w:rsidRPr="000E1F1E" w:rsidRDefault="00D3364D"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(7%)</w:t>
            </w:r>
          </w:p>
        </w:tc>
      </w:tr>
      <w:tr w:rsidR="001509E0" w:rsidRPr="000E57AE" w14:paraId="6FE5DA75" w14:textId="77777777" w:rsidTr="00FD6BCD">
        <w:trPr>
          <w:trHeight w:val="179"/>
        </w:trPr>
        <w:tc>
          <w:tcPr>
            <w:tcW w:w="3995" w:type="dxa"/>
            <w:tcBorders>
              <w:top w:val="nil"/>
              <w:left w:val="single" w:sz="4" w:space="0" w:color="000000"/>
              <w:bottom w:val="nil"/>
              <w:right w:val="single" w:sz="4" w:space="0" w:color="auto"/>
            </w:tcBorders>
            <w:shd w:val="clear" w:color="auto" w:fill="auto"/>
            <w:vAlign w:val="bottom"/>
          </w:tcPr>
          <w:p w14:paraId="099C27FC" w14:textId="2C995D63" w:rsidR="001509E0" w:rsidRPr="006263C1" w:rsidRDefault="00BF2E3B" w:rsidP="002239CC">
            <w:pPr>
              <w:keepNext/>
              <w:suppressAutoHyphens w:val="0"/>
              <w:spacing w:before="10" w:after="10" w:line="240" w:lineRule="auto"/>
              <w:rPr>
                <w:rFonts w:eastAsia="Times New Roman"/>
                <w:color w:val="000000"/>
                <w:spacing w:val="0"/>
                <w:w w:val="100"/>
                <w:kern w:val="0"/>
                <w:sz w:val="16"/>
                <w:szCs w:val="16"/>
              </w:rPr>
            </w:pPr>
            <w:r w:rsidRPr="006263C1">
              <w:rPr>
                <w:rFonts w:eastAsia="Times New Roman"/>
                <w:color w:val="000000"/>
                <w:spacing w:val="0"/>
                <w:w w:val="100"/>
                <w:kern w:val="0"/>
                <w:sz w:val="16"/>
                <w:szCs w:val="16"/>
              </w:rPr>
              <w:t xml:space="preserve">   </w:t>
            </w:r>
            <w:r w:rsidR="000E1F1E" w:rsidRPr="006263C1">
              <w:rPr>
                <w:rFonts w:eastAsia="Times New Roman"/>
                <w:color w:val="000000"/>
                <w:spacing w:val="0"/>
                <w:w w:val="100"/>
                <w:kern w:val="0"/>
                <w:sz w:val="16"/>
                <w:szCs w:val="16"/>
              </w:rPr>
              <w:t>Future Due Contributions</w:t>
            </w:r>
          </w:p>
        </w:tc>
        <w:tc>
          <w:tcPr>
            <w:tcW w:w="997" w:type="dxa"/>
            <w:tcBorders>
              <w:top w:val="nil"/>
              <w:left w:val="single" w:sz="4" w:space="0" w:color="auto"/>
              <w:bottom w:val="nil"/>
              <w:right w:val="single" w:sz="4" w:space="0" w:color="auto"/>
            </w:tcBorders>
          </w:tcPr>
          <w:p w14:paraId="46B6973C" w14:textId="1D98BBD6" w:rsidR="001509E0" w:rsidRPr="000E1F1E" w:rsidRDefault="007322F8"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3,947</w:t>
            </w:r>
          </w:p>
        </w:tc>
        <w:tc>
          <w:tcPr>
            <w:tcW w:w="997" w:type="dxa"/>
            <w:tcBorders>
              <w:top w:val="nil"/>
              <w:left w:val="single" w:sz="4" w:space="0" w:color="auto"/>
              <w:bottom w:val="nil"/>
              <w:right w:val="single" w:sz="4" w:space="0" w:color="000000"/>
            </w:tcBorders>
            <w:shd w:val="clear" w:color="auto" w:fill="auto"/>
            <w:noWrap/>
            <w:vAlign w:val="bottom"/>
          </w:tcPr>
          <w:p w14:paraId="65D4A479" w14:textId="0AA0F1B2" w:rsidR="001509E0"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4,280</w:t>
            </w:r>
          </w:p>
        </w:tc>
        <w:tc>
          <w:tcPr>
            <w:tcW w:w="1081" w:type="dxa"/>
            <w:tcBorders>
              <w:top w:val="nil"/>
              <w:left w:val="nil"/>
              <w:bottom w:val="nil"/>
              <w:right w:val="single" w:sz="4" w:space="0" w:color="000000"/>
            </w:tcBorders>
            <w:shd w:val="clear" w:color="auto" w:fill="auto"/>
            <w:noWrap/>
            <w:vAlign w:val="bottom"/>
          </w:tcPr>
          <w:p w14:paraId="29B6A155" w14:textId="1DAC0246" w:rsidR="001509E0"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(333)</w:t>
            </w:r>
          </w:p>
        </w:tc>
        <w:tc>
          <w:tcPr>
            <w:tcW w:w="1046" w:type="dxa"/>
            <w:tcBorders>
              <w:top w:val="nil"/>
              <w:left w:val="nil"/>
              <w:bottom w:val="nil"/>
              <w:right w:val="single" w:sz="4" w:space="0" w:color="auto"/>
            </w:tcBorders>
            <w:shd w:val="clear" w:color="auto" w:fill="auto"/>
            <w:noWrap/>
            <w:vAlign w:val="bottom"/>
          </w:tcPr>
          <w:p w14:paraId="5E57F884" w14:textId="4681D5D0" w:rsidR="001509E0" w:rsidRPr="000E1F1E" w:rsidRDefault="00D3364D"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(8%)</w:t>
            </w:r>
          </w:p>
        </w:tc>
      </w:tr>
      <w:tr w:rsidR="001509E0" w:rsidRPr="000E57AE" w14:paraId="59D5BE16" w14:textId="77777777" w:rsidTr="00FD6BCD">
        <w:trPr>
          <w:trHeight w:val="179"/>
        </w:trPr>
        <w:tc>
          <w:tcPr>
            <w:tcW w:w="3995" w:type="dxa"/>
            <w:tcBorders>
              <w:top w:val="nil"/>
              <w:left w:val="single" w:sz="4" w:space="0" w:color="000000"/>
              <w:bottom w:val="nil"/>
              <w:right w:val="single" w:sz="4" w:space="0" w:color="auto"/>
            </w:tcBorders>
            <w:shd w:val="clear" w:color="auto" w:fill="auto"/>
            <w:vAlign w:val="bottom"/>
          </w:tcPr>
          <w:p w14:paraId="1DB583A0" w14:textId="0C034B77" w:rsidR="001509E0" w:rsidRPr="006263C1" w:rsidRDefault="00BF2E3B" w:rsidP="002239CC">
            <w:pPr>
              <w:keepNext/>
              <w:suppressAutoHyphens w:val="0"/>
              <w:spacing w:before="10" w:after="10" w:line="240" w:lineRule="auto"/>
              <w:rPr>
                <w:rFonts w:eastAsia="Times New Roman"/>
                <w:color w:val="000000"/>
                <w:spacing w:val="0"/>
                <w:w w:val="100"/>
                <w:kern w:val="0"/>
                <w:sz w:val="16"/>
                <w:szCs w:val="16"/>
              </w:rPr>
            </w:pPr>
            <w:r w:rsidRPr="006263C1">
              <w:rPr>
                <w:rFonts w:eastAsia="Times New Roman"/>
                <w:color w:val="000000"/>
                <w:spacing w:val="0"/>
                <w:w w:val="100"/>
                <w:kern w:val="0"/>
                <w:sz w:val="16"/>
                <w:szCs w:val="16"/>
              </w:rPr>
              <w:t xml:space="preserve">   </w:t>
            </w:r>
            <w:r w:rsidR="000E1F1E" w:rsidRPr="006263C1">
              <w:rPr>
                <w:rFonts w:eastAsia="Times New Roman"/>
                <w:color w:val="000000"/>
                <w:spacing w:val="0"/>
                <w:w w:val="100"/>
                <w:kern w:val="0"/>
                <w:sz w:val="16"/>
                <w:szCs w:val="16"/>
              </w:rPr>
              <w:t>IPSAS 23 Adjustments</w:t>
            </w:r>
          </w:p>
        </w:tc>
        <w:tc>
          <w:tcPr>
            <w:tcW w:w="997" w:type="dxa"/>
            <w:tcBorders>
              <w:top w:val="nil"/>
              <w:left w:val="single" w:sz="4" w:space="0" w:color="auto"/>
              <w:bottom w:val="nil"/>
              <w:right w:val="single" w:sz="4" w:space="0" w:color="auto"/>
            </w:tcBorders>
          </w:tcPr>
          <w:p w14:paraId="5787602C" w14:textId="3D5573A5" w:rsidR="001509E0" w:rsidRPr="000E1F1E" w:rsidRDefault="007322F8"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(4,251)</w:t>
            </w:r>
          </w:p>
        </w:tc>
        <w:tc>
          <w:tcPr>
            <w:tcW w:w="997" w:type="dxa"/>
            <w:tcBorders>
              <w:top w:val="nil"/>
              <w:left w:val="single" w:sz="4" w:space="0" w:color="auto"/>
              <w:bottom w:val="nil"/>
              <w:right w:val="single" w:sz="4" w:space="0" w:color="000000"/>
            </w:tcBorders>
            <w:shd w:val="clear" w:color="auto" w:fill="auto"/>
            <w:noWrap/>
            <w:vAlign w:val="bottom"/>
          </w:tcPr>
          <w:p w14:paraId="7F816A06" w14:textId="711B387C" w:rsidR="001509E0"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(4,07</w:t>
            </w:r>
            <w:r w:rsidR="00822FB1">
              <w:rPr>
                <w:rFonts w:eastAsia="Times New Roman"/>
                <w:color w:val="000000"/>
                <w:spacing w:val="0"/>
                <w:w w:val="100"/>
                <w:kern w:val="0"/>
                <w:sz w:val="16"/>
                <w:szCs w:val="16"/>
              </w:rPr>
              <w:t>6</w:t>
            </w:r>
            <w:r w:rsidRPr="000E1F1E">
              <w:rPr>
                <w:rFonts w:eastAsia="Times New Roman"/>
                <w:color w:val="000000"/>
                <w:spacing w:val="0"/>
                <w:w w:val="100"/>
                <w:kern w:val="0"/>
                <w:sz w:val="16"/>
                <w:szCs w:val="16"/>
              </w:rPr>
              <w:t>)</w:t>
            </w:r>
          </w:p>
        </w:tc>
        <w:tc>
          <w:tcPr>
            <w:tcW w:w="1081" w:type="dxa"/>
            <w:tcBorders>
              <w:top w:val="nil"/>
              <w:left w:val="nil"/>
              <w:bottom w:val="nil"/>
              <w:right w:val="single" w:sz="4" w:space="0" w:color="000000"/>
            </w:tcBorders>
            <w:shd w:val="clear" w:color="auto" w:fill="auto"/>
            <w:noWrap/>
            <w:vAlign w:val="bottom"/>
          </w:tcPr>
          <w:p w14:paraId="22CD538E" w14:textId="3C52DA38" w:rsidR="001509E0"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(17</w:t>
            </w:r>
            <w:r w:rsidR="006C0398">
              <w:rPr>
                <w:rFonts w:eastAsia="Times New Roman"/>
                <w:color w:val="000000"/>
                <w:spacing w:val="0"/>
                <w:w w:val="100"/>
                <w:kern w:val="0"/>
                <w:sz w:val="16"/>
                <w:szCs w:val="16"/>
              </w:rPr>
              <w:t>5</w:t>
            </w:r>
            <w:r w:rsidRPr="000E1F1E">
              <w:rPr>
                <w:rFonts w:eastAsia="Times New Roman"/>
                <w:color w:val="000000"/>
                <w:spacing w:val="0"/>
                <w:w w:val="100"/>
                <w:kern w:val="0"/>
                <w:sz w:val="16"/>
                <w:szCs w:val="16"/>
              </w:rPr>
              <w:t>)</w:t>
            </w:r>
          </w:p>
        </w:tc>
        <w:tc>
          <w:tcPr>
            <w:tcW w:w="1046" w:type="dxa"/>
            <w:tcBorders>
              <w:top w:val="nil"/>
              <w:left w:val="nil"/>
              <w:bottom w:val="nil"/>
              <w:right w:val="single" w:sz="4" w:space="0" w:color="auto"/>
            </w:tcBorders>
            <w:shd w:val="clear" w:color="auto" w:fill="auto"/>
            <w:noWrap/>
            <w:vAlign w:val="bottom"/>
          </w:tcPr>
          <w:p w14:paraId="3A0B2D4D" w14:textId="617FA1CC" w:rsidR="001509E0" w:rsidRPr="000E1F1E" w:rsidRDefault="00D3364D"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4%</w:t>
            </w:r>
          </w:p>
        </w:tc>
      </w:tr>
      <w:tr w:rsidR="00573341" w:rsidRPr="000E57AE" w14:paraId="75D2C8D2" w14:textId="77777777" w:rsidTr="00FD6BCD">
        <w:trPr>
          <w:trHeight w:val="179"/>
        </w:trPr>
        <w:tc>
          <w:tcPr>
            <w:tcW w:w="3995" w:type="dxa"/>
            <w:tcBorders>
              <w:top w:val="nil"/>
              <w:left w:val="single" w:sz="4" w:space="0" w:color="000000"/>
              <w:bottom w:val="nil"/>
              <w:right w:val="single" w:sz="4" w:space="0" w:color="auto"/>
            </w:tcBorders>
            <w:shd w:val="clear" w:color="auto" w:fill="auto"/>
            <w:vAlign w:val="bottom"/>
            <w:hideMark/>
          </w:tcPr>
          <w:p w14:paraId="6CFDBF59" w14:textId="430E842A" w:rsidR="00573341" w:rsidRPr="006263C1" w:rsidRDefault="00666630" w:rsidP="002239CC">
            <w:pPr>
              <w:keepNext/>
              <w:suppressAutoHyphens w:val="0"/>
              <w:spacing w:before="10" w:after="10" w:line="240" w:lineRule="auto"/>
              <w:rPr>
                <w:rFonts w:eastAsia="Times New Roman"/>
                <w:color w:val="000000"/>
                <w:spacing w:val="0"/>
                <w:w w:val="100"/>
                <w:kern w:val="0"/>
                <w:sz w:val="16"/>
                <w:szCs w:val="16"/>
              </w:rPr>
            </w:pPr>
            <w:r w:rsidRPr="006263C1">
              <w:rPr>
                <w:rFonts w:eastAsia="Times New Roman"/>
                <w:color w:val="000000"/>
                <w:spacing w:val="0"/>
                <w:w w:val="100"/>
                <w:kern w:val="0"/>
                <w:sz w:val="16"/>
                <w:szCs w:val="16"/>
              </w:rPr>
              <w:t xml:space="preserve">   Subtotal: </w:t>
            </w:r>
            <w:r w:rsidR="00BA5BA9" w:rsidRPr="006263C1">
              <w:rPr>
                <w:rFonts w:eastAsia="Times New Roman"/>
                <w:color w:val="000000"/>
                <w:spacing w:val="0"/>
                <w:w w:val="100"/>
                <w:kern w:val="0"/>
                <w:sz w:val="16"/>
                <w:szCs w:val="16"/>
              </w:rPr>
              <w:t xml:space="preserve">Voluntary </w:t>
            </w:r>
            <w:r w:rsidRPr="006263C1">
              <w:rPr>
                <w:rFonts w:eastAsia="Times New Roman"/>
                <w:color w:val="000000"/>
                <w:spacing w:val="0"/>
                <w:w w:val="100"/>
                <w:kern w:val="0"/>
                <w:sz w:val="16"/>
                <w:szCs w:val="16"/>
              </w:rPr>
              <w:t>Contributions</w:t>
            </w:r>
          </w:p>
        </w:tc>
        <w:tc>
          <w:tcPr>
            <w:tcW w:w="997" w:type="dxa"/>
            <w:tcBorders>
              <w:top w:val="nil"/>
              <w:left w:val="single" w:sz="4" w:space="0" w:color="auto"/>
              <w:bottom w:val="nil"/>
              <w:right w:val="single" w:sz="4" w:space="0" w:color="auto"/>
            </w:tcBorders>
          </w:tcPr>
          <w:p w14:paraId="4B39D865" w14:textId="660C7ABD" w:rsidR="00573341" w:rsidRPr="000E1F1E" w:rsidRDefault="00666630"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4,492</w:t>
            </w:r>
          </w:p>
        </w:tc>
        <w:tc>
          <w:tcPr>
            <w:tcW w:w="997" w:type="dxa"/>
            <w:tcBorders>
              <w:top w:val="nil"/>
              <w:left w:val="single" w:sz="4" w:space="0" w:color="auto"/>
              <w:bottom w:val="nil"/>
              <w:right w:val="single" w:sz="4" w:space="0" w:color="000000"/>
            </w:tcBorders>
            <w:shd w:val="clear" w:color="auto" w:fill="auto"/>
            <w:noWrap/>
            <w:vAlign w:val="bottom"/>
          </w:tcPr>
          <w:p w14:paraId="5DA2B57D" w14:textId="518A62D8"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5,37</w:t>
            </w:r>
            <w:r w:rsidR="00822FB1">
              <w:rPr>
                <w:rFonts w:eastAsia="Times New Roman"/>
                <w:color w:val="000000"/>
                <w:spacing w:val="0"/>
                <w:w w:val="100"/>
                <w:kern w:val="0"/>
                <w:sz w:val="16"/>
                <w:szCs w:val="16"/>
              </w:rPr>
              <w:t>7</w:t>
            </w:r>
          </w:p>
        </w:tc>
        <w:tc>
          <w:tcPr>
            <w:tcW w:w="1081" w:type="dxa"/>
            <w:tcBorders>
              <w:top w:val="nil"/>
              <w:left w:val="nil"/>
              <w:bottom w:val="nil"/>
              <w:right w:val="single" w:sz="4" w:space="0" w:color="000000"/>
            </w:tcBorders>
            <w:shd w:val="clear" w:color="auto" w:fill="auto"/>
            <w:noWrap/>
            <w:vAlign w:val="bottom"/>
          </w:tcPr>
          <w:p w14:paraId="54F1E837" w14:textId="44FEE3C4"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(88</w:t>
            </w:r>
            <w:r w:rsidR="006C0398">
              <w:rPr>
                <w:rFonts w:eastAsia="Times New Roman"/>
                <w:color w:val="000000"/>
                <w:spacing w:val="0"/>
                <w:w w:val="100"/>
                <w:kern w:val="0"/>
                <w:sz w:val="16"/>
                <w:szCs w:val="16"/>
              </w:rPr>
              <w:t>5</w:t>
            </w:r>
            <w:r w:rsidRPr="000E1F1E">
              <w:rPr>
                <w:rFonts w:eastAsia="Times New Roman"/>
                <w:color w:val="000000"/>
                <w:spacing w:val="0"/>
                <w:w w:val="100"/>
                <w:kern w:val="0"/>
                <w:sz w:val="16"/>
                <w:szCs w:val="16"/>
              </w:rPr>
              <w:t>)</w:t>
            </w:r>
          </w:p>
        </w:tc>
        <w:tc>
          <w:tcPr>
            <w:tcW w:w="1046" w:type="dxa"/>
            <w:tcBorders>
              <w:top w:val="nil"/>
              <w:left w:val="nil"/>
              <w:bottom w:val="nil"/>
              <w:right w:val="single" w:sz="4" w:space="0" w:color="auto"/>
            </w:tcBorders>
            <w:shd w:val="clear" w:color="auto" w:fill="auto"/>
            <w:noWrap/>
            <w:vAlign w:val="bottom"/>
          </w:tcPr>
          <w:p w14:paraId="5F666237" w14:textId="311E1EDC" w:rsidR="00573341" w:rsidRPr="000E1F1E" w:rsidRDefault="00D3364D"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(16%)</w:t>
            </w:r>
          </w:p>
        </w:tc>
      </w:tr>
      <w:tr w:rsidR="00573341" w:rsidRPr="000E57AE" w14:paraId="387E4C8B" w14:textId="77777777" w:rsidTr="00FD6BCD">
        <w:trPr>
          <w:trHeight w:val="179"/>
        </w:trPr>
        <w:tc>
          <w:tcPr>
            <w:tcW w:w="3995" w:type="dxa"/>
            <w:tcBorders>
              <w:top w:val="nil"/>
              <w:left w:val="single" w:sz="4" w:space="0" w:color="000000"/>
              <w:bottom w:val="nil"/>
              <w:right w:val="single" w:sz="4" w:space="0" w:color="auto"/>
            </w:tcBorders>
            <w:shd w:val="clear" w:color="auto" w:fill="auto"/>
            <w:vAlign w:val="center"/>
            <w:hideMark/>
          </w:tcPr>
          <w:p w14:paraId="326F0F42" w14:textId="51F98231" w:rsidR="00573341" w:rsidRPr="006263C1" w:rsidRDefault="00573341" w:rsidP="002239CC">
            <w:pPr>
              <w:keepNext/>
              <w:suppressAutoHyphens w:val="0"/>
              <w:spacing w:before="10" w:after="10" w:line="240" w:lineRule="auto"/>
              <w:rPr>
                <w:rFonts w:eastAsia="Times New Roman"/>
                <w:color w:val="000000"/>
                <w:spacing w:val="0"/>
                <w:w w:val="100"/>
                <w:kern w:val="0"/>
                <w:sz w:val="16"/>
                <w:szCs w:val="16"/>
              </w:rPr>
            </w:pPr>
            <w:r w:rsidRPr="006263C1">
              <w:rPr>
                <w:rFonts w:eastAsia="Times New Roman"/>
                <w:color w:val="000000"/>
                <w:spacing w:val="0"/>
                <w:w w:val="100"/>
                <w:kern w:val="0"/>
                <w:sz w:val="16"/>
                <w:szCs w:val="16"/>
              </w:rPr>
              <w:t>GLOC</w:t>
            </w:r>
          </w:p>
        </w:tc>
        <w:tc>
          <w:tcPr>
            <w:tcW w:w="997" w:type="dxa"/>
            <w:tcBorders>
              <w:top w:val="nil"/>
              <w:left w:val="single" w:sz="4" w:space="0" w:color="auto"/>
              <w:bottom w:val="nil"/>
              <w:right w:val="single" w:sz="4" w:space="0" w:color="auto"/>
            </w:tcBorders>
          </w:tcPr>
          <w:p w14:paraId="197C9CFD" w14:textId="12367D7C" w:rsidR="00573341" w:rsidRPr="000E1F1E" w:rsidRDefault="002239CC"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1</w:t>
            </w:r>
            <w:r w:rsidR="00822FB1">
              <w:rPr>
                <w:rFonts w:eastAsia="Times New Roman"/>
                <w:color w:val="000000"/>
                <w:spacing w:val="0"/>
                <w:w w:val="100"/>
                <w:kern w:val="0"/>
                <w:sz w:val="16"/>
                <w:szCs w:val="16"/>
              </w:rPr>
              <w:t>8</w:t>
            </w:r>
          </w:p>
        </w:tc>
        <w:tc>
          <w:tcPr>
            <w:tcW w:w="997" w:type="dxa"/>
            <w:tcBorders>
              <w:top w:val="nil"/>
              <w:left w:val="single" w:sz="4" w:space="0" w:color="auto"/>
              <w:bottom w:val="nil"/>
              <w:right w:val="single" w:sz="4" w:space="0" w:color="000000"/>
            </w:tcBorders>
            <w:shd w:val="clear" w:color="auto" w:fill="auto"/>
            <w:noWrap/>
            <w:vAlign w:val="bottom"/>
          </w:tcPr>
          <w:p w14:paraId="69A93143" w14:textId="4F78BA97"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2</w:t>
            </w:r>
            <w:r w:rsidR="00822FB1">
              <w:rPr>
                <w:rFonts w:eastAsia="Times New Roman"/>
                <w:color w:val="000000"/>
                <w:spacing w:val="0"/>
                <w:w w:val="100"/>
                <w:kern w:val="0"/>
                <w:sz w:val="16"/>
                <w:szCs w:val="16"/>
              </w:rPr>
              <w:t>4</w:t>
            </w:r>
          </w:p>
        </w:tc>
        <w:tc>
          <w:tcPr>
            <w:tcW w:w="1081" w:type="dxa"/>
            <w:tcBorders>
              <w:top w:val="nil"/>
              <w:left w:val="nil"/>
              <w:bottom w:val="nil"/>
              <w:right w:val="single" w:sz="4" w:space="0" w:color="000000"/>
            </w:tcBorders>
            <w:shd w:val="clear" w:color="auto" w:fill="auto"/>
            <w:noWrap/>
            <w:vAlign w:val="bottom"/>
          </w:tcPr>
          <w:p w14:paraId="4B4BA951" w14:textId="6F9EB02C"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(6)</w:t>
            </w:r>
          </w:p>
        </w:tc>
        <w:tc>
          <w:tcPr>
            <w:tcW w:w="1046" w:type="dxa"/>
            <w:tcBorders>
              <w:top w:val="nil"/>
              <w:left w:val="nil"/>
              <w:bottom w:val="nil"/>
              <w:right w:val="single" w:sz="4" w:space="0" w:color="auto"/>
            </w:tcBorders>
            <w:shd w:val="clear" w:color="auto" w:fill="auto"/>
            <w:noWrap/>
            <w:vAlign w:val="bottom"/>
          </w:tcPr>
          <w:p w14:paraId="30AB58E6" w14:textId="659B03B3" w:rsidR="00573341" w:rsidRPr="000E1F1E" w:rsidRDefault="00D3364D"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(2</w:t>
            </w:r>
            <w:r w:rsidR="006C0398">
              <w:rPr>
                <w:rFonts w:eastAsia="Times New Roman"/>
                <w:color w:val="000000"/>
                <w:spacing w:val="0"/>
                <w:w w:val="100"/>
                <w:kern w:val="0"/>
                <w:sz w:val="16"/>
                <w:szCs w:val="16"/>
              </w:rPr>
              <w:t>5</w:t>
            </w:r>
            <w:r w:rsidRPr="000E1F1E">
              <w:rPr>
                <w:rFonts w:eastAsia="Times New Roman"/>
                <w:color w:val="000000"/>
                <w:spacing w:val="0"/>
                <w:w w:val="100"/>
                <w:kern w:val="0"/>
                <w:sz w:val="16"/>
                <w:szCs w:val="16"/>
              </w:rPr>
              <w:t>%)</w:t>
            </w:r>
          </w:p>
        </w:tc>
      </w:tr>
      <w:tr w:rsidR="00573341" w:rsidRPr="000E57AE" w14:paraId="1AAAC999" w14:textId="77777777" w:rsidTr="00FD6BCD">
        <w:trPr>
          <w:trHeight w:val="179"/>
        </w:trPr>
        <w:tc>
          <w:tcPr>
            <w:tcW w:w="3995" w:type="dxa"/>
            <w:tcBorders>
              <w:top w:val="nil"/>
              <w:left w:val="single" w:sz="4" w:space="0" w:color="auto"/>
              <w:bottom w:val="nil"/>
              <w:right w:val="single" w:sz="4" w:space="0" w:color="auto"/>
            </w:tcBorders>
            <w:shd w:val="clear" w:color="auto" w:fill="auto"/>
            <w:vAlign w:val="bottom"/>
            <w:hideMark/>
          </w:tcPr>
          <w:p w14:paraId="604B33EE" w14:textId="2D026351" w:rsidR="00573341" w:rsidRPr="006263C1" w:rsidRDefault="00573341" w:rsidP="002239CC">
            <w:pPr>
              <w:keepNext/>
              <w:suppressAutoHyphens w:val="0"/>
              <w:spacing w:before="10" w:after="10" w:line="240" w:lineRule="auto"/>
              <w:rPr>
                <w:rFonts w:eastAsia="Times New Roman"/>
                <w:color w:val="000000"/>
                <w:spacing w:val="0"/>
                <w:w w:val="100"/>
                <w:kern w:val="0"/>
                <w:sz w:val="16"/>
                <w:szCs w:val="16"/>
              </w:rPr>
            </w:pPr>
            <w:r w:rsidRPr="006263C1">
              <w:rPr>
                <w:rFonts w:eastAsia="Times New Roman"/>
                <w:color w:val="000000"/>
                <w:spacing w:val="0"/>
                <w:w w:val="100"/>
                <w:kern w:val="0"/>
                <w:sz w:val="16"/>
                <w:szCs w:val="16"/>
              </w:rPr>
              <w:t>Net contributor countries (NCC) contributions</w:t>
            </w:r>
          </w:p>
        </w:tc>
        <w:tc>
          <w:tcPr>
            <w:tcW w:w="997" w:type="dxa"/>
            <w:tcBorders>
              <w:top w:val="nil"/>
              <w:left w:val="single" w:sz="4" w:space="0" w:color="000000"/>
              <w:bottom w:val="nil"/>
              <w:right w:val="single" w:sz="4" w:space="0" w:color="auto"/>
            </w:tcBorders>
          </w:tcPr>
          <w:p w14:paraId="5833248F" w14:textId="4E6EBB93" w:rsidR="00573341" w:rsidRPr="000E1F1E" w:rsidRDefault="002239CC"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8</w:t>
            </w:r>
          </w:p>
        </w:tc>
        <w:tc>
          <w:tcPr>
            <w:tcW w:w="997" w:type="dxa"/>
            <w:tcBorders>
              <w:top w:val="nil"/>
              <w:left w:val="single" w:sz="4" w:space="0" w:color="auto"/>
              <w:bottom w:val="nil"/>
              <w:right w:val="single" w:sz="4" w:space="0" w:color="000000"/>
            </w:tcBorders>
            <w:shd w:val="clear" w:color="auto" w:fill="auto"/>
            <w:noWrap/>
            <w:vAlign w:val="bottom"/>
          </w:tcPr>
          <w:p w14:paraId="40141D95" w14:textId="05830AF5" w:rsidR="00573341" w:rsidRPr="000E1F1E" w:rsidRDefault="00822FB1" w:rsidP="002239CC">
            <w:pPr>
              <w:keepNext/>
              <w:suppressAutoHyphens w:val="0"/>
              <w:spacing w:before="10" w:after="10"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8</w:t>
            </w:r>
          </w:p>
        </w:tc>
        <w:tc>
          <w:tcPr>
            <w:tcW w:w="1081" w:type="dxa"/>
            <w:tcBorders>
              <w:top w:val="nil"/>
              <w:left w:val="nil"/>
              <w:bottom w:val="nil"/>
              <w:right w:val="single" w:sz="4" w:space="0" w:color="000000"/>
            </w:tcBorders>
            <w:shd w:val="clear" w:color="auto" w:fill="auto"/>
            <w:noWrap/>
            <w:vAlign w:val="bottom"/>
          </w:tcPr>
          <w:p w14:paraId="7C7932A6" w14:textId="0F4807FD" w:rsidR="00573341" w:rsidRPr="000E1F1E" w:rsidRDefault="006C0398" w:rsidP="002239CC">
            <w:pPr>
              <w:keepNext/>
              <w:suppressAutoHyphens w:val="0"/>
              <w:spacing w:before="10" w:after="10"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w:t>
            </w:r>
          </w:p>
        </w:tc>
        <w:tc>
          <w:tcPr>
            <w:tcW w:w="1046" w:type="dxa"/>
            <w:tcBorders>
              <w:top w:val="nil"/>
              <w:left w:val="nil"/>
              <w:bottom w:val="nil"/>
              <w:right w:val="single" w:sz="4" w:space="0" w:color="auto"/>
            </w:tcBorders>
            <w:shd w:val="clear" w:color="auto" w:fill="auto"/>
            <w:noWrap/>
            <w:vAlign w:val="bottom"/>
          </w:tcPr>
          <w:p w14:paraId="50990D94" w14:textId="64E15702" w:rsidR="00573341" w:rsidRPr="000E1F1E" w:rsidRDefault="006C0398" w:rsidP="002239CC">
            <w:pPr>
              <w:keepNext/>
              <w:suppressAutoHyphens w:val="0"/>
              <w:spacing w:before="10" w:after="10"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w:t>
            </w:r>
          </w:p>
        </w:tc>
      </w:tr>
      <w:tr w:rsidR="00573341" w:rsidRPr="000E57AE" w14:paraId="493ED9EB" w14:textId="77777777" w:rsidTr="00FD6BCD">
        <w:trPr>
          <w:trHeight w:val="179"/>
        </w:trPr>
        <w:tc>
          <w:tcPr>
            <w:tcW w:w="3995" w:type="dxa"/>
            <w:tcBorders>
              <w:top w:val="nil"/>
              <w:left w:val="single" w:sz="4" w:space="0" w:color="auto"/>
              <w:bottom w:val="nil"/>
              <w:right w:val="single" w:sz="4" w:space="0" w:color="auto"/>
            </w:tcBorders>
            <w:shd w:val="clear" w:color="auto" w:fill="auto"/>
            <w:vAlign w:val="bottom"/>
            <w:hideMark/>
          </w:tcPr>
          <w:p w14:paraId="2504BC77" w14:textId="6C047E85" w:rsidR="00573341" w:rsidRPr="006263C1" w:rsidRDefault="00573341" w:rsidP="002239CC">
            <w:pPr>
              <w:keepNext/>
              <w:suppressAutoHyphens w:val="0"/>
              <w:spacing w:before="10" w:after="10" w:line="240" w:lineRule="auto"/>
              <w:rPr>
                <w:rFonts w:eastAsia="Times New Roman"/>
                <w:color w:val="000000"/>
                <w:spacing w:val="0"/>
                <w:w w:val="100"/>
                <w:kern w:val="0"/>
                <w:sz w:val="16"/>
                <w:szCs w:val="16"/>
              </w:rPr>
            </w:pPr>
            <w:r w:rsidRPr="006263C1">
              <w:rPr>
                <w:rFonts w:eastAsia="Times New Roman"/>
                <w:color w:val="000000"/>
                <w:spacing w:val="0"/>
                <w:w w:val="100"/>
                <w:kern w:val="0"/>
                <w:sz w:val="16"/>
                <w:szCs w:val="16"/>
              </w:rPr>
              <w:t>Upper middle income countries (MIC) contributions</w:t>
            </w:r>
          </w:p>
        </w:tc>
        <w:tc>
          <w:tcPr>
            <w:tcW w:w="997" w:type="dxa"/>
            <w:tcBorders>
              <w:top w:val="nil"/>
              <w:left w:val="single" w:sz="4" w:space="0" w:color="000000"/>
              <w:bottom w:val="nil"/>
              <w:right w:val="single" w:sz="4" w:space="0" w:color="auto"/>
            </w:tcBorders>
          </w:tcPr>
          <w:p w14:paraId="15C380D6" w14:textId="091ECBAD" w:rsidR="00573341" w:rsidRPr="000E1F1E" w:rsidRDefault="002239CC"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9</w:t>
            </w:r>
          </w:p>
        </w:tc>
        <w:tc>
          <w:tcPr>
            <w:tcW w:w="997" w:type="dxa"/>
            <w:tcBorders>
              <w:top w:val="nil"/>
              <w:left w:val="single" w:sz="4" w:space="0" w:color="auto"/>
              <w:bottom w:val="nil"/>
              <w:right w:val="single" w:sz="4" w:space="0" w:color="000000"/>
            </w:tcBorders>
            <w:shd w:val="clear" w:color="auto" w:fill="auto"/>
            <w:noWrap/>
            <w:vAlign w:val="bottom"/>
          </w:tcPr>
          <w:p w14:paraId="41BED874" w14:textId="33D3C5D6" w:rsidR="00573341" w:rsidRPr="000E1F1E" w:rsidRDefault="00822FB1" w:rsidP="002239CC">
            <w:pPr>
              <w:keepNext/>
              <w:suppressAutoHyphens w:val="0"/>
              <w:spacing w:before="10" w:after="10"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9</w:t>
            </w:r>
          </w:p>
        </w:tc>
        <w:tc>
          <w:tcPr>
            <w:tcW w:w="1081" w:type="dxa"/>
            <w:tcBorders>
              <w:top w:val="nil"/>
              <w:left w:val="nil"/>
              <w:bottom w:val="nil"/>
              <w:right w:val="single" w:sz="4" w:space="0" w:color="000000"/>
            </w:tcBorders>
            <w:shd w:val="clear" w:color="auto" w:fill="auto"/>
            <w:noWrap/>
            <w:vAlign w:val="bottom"/>
          </w:tcPr>
          <w:p w14:paraId="1D7EDE86" w14:textId="5E5981F9" w:rsidR="00573341" w:rsidRPr="000E1F1E" w:rsidRDefault="006C0398" w:rsidP="002239CC">
            <w:pPr>
              <w:keepNext/>
              <w:suppressAutoHyphens w:val="0"/>
              <w:spacing w:before="10" w:after="10"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w:t>
            </w:r>
          </w:p>
        </w:tc>
        <w:tc>
          <w:tcPr>
            <w:tcW w:w="1046" w:type="dxa"/>
            <w:tcBorders>
              <w:top w:val="nil"/>
              <w:left w:val="nil"/>
              <w:bottom w:val="nil"/>
              <w:right w:val="single" w:sz="4" w:space="0" w:color="auto"/>
            </w:tcBorders>
            <w:shd w:val="clear" w:color="auto" w:fill="auto"/>
            <w:noWrap/>
            <w:vAlign w:val="bottom"/>
          </w:tcPr>
          <w:p w14:paraId="272B7547" w14:textId="2ADC287E" w:rsidR="00573341" w:rsidRPr="000E1F1E" w:rsidRDefault="000808F2" w:rsidP="002239CC">
            <w:pPr>
              <w:keepNext/>
              <w:suppressAutoHyphens w:val="0"/>
              <w:spacing w:before="10" w:after="10"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w:t>
            </w:r>
          </w:p>
        </w:tc>
      </w:tr>
      <w:tr w:rsidR="00573341" w:rsidRPr="000E57AE" w14:paraId="2ADC8E2A" w14:textId="77777777" w:rsidTr="00FD6BCD">
        <w:trPr>
          <w:trHeight w:val="179"/>
        </w:trPr>
        <w:tc>
          <w:tcPr>
            <w:tcW w:w="3995" w:type="dxa"/>
            <w:tcBorders>
              <w:top w:val="nil"/>
              <w:left w:val="single" w:sz="4" w:space="0" w:color="000000"/>
              <w:bottom w:val="nil"/>
              <w:right w:val="single" w:sz="4" w:space="0" w:color="auto"/>
            </w:tcBorders>
            <w:shd w:val="clear" w:color="auto" w:fill="auto"/>
            <w:vAlign w:val="center"/>
            <w:hideMark/>
          </w:tcPr>
          <w:p w14:paraId="0B3ADDE6" w14:textId="77777777" w:rsidR="00573341" w:rsidRPr="006263C1" w:rsidRDefault="00573341" w:rsidP="002239CC">
            <w:pPr>
              <w:keepNext/>
              <w:suppressAutoHyphens w:val="0"/>
              <w:spacing w:before="10" w:after="10" w:line="240" w:lineRule="auto"/>
              <w:rPr>
                <w:rFonts w:eastAsia="Times New Roman"/>
                <w:color w:val="000000"/>
                <w:spacing w:val="0"/>
                <w:w w:val="100"/>
                <w:kern w:val="0"/>
                <w:sz w:val="16"/>
                <w:szCs w:val="16"/>
              </w:rPr>
            </w:pPr>
            <w:r w:rsidRPr="006263C1">
              <w:rPr>
                <w:rFonts w:eastAsia="Times New Roman"/>
                <w:color w:val="000000"/>
                <w:spacing w:val="0"/>
                <w:w w:val="100"/>
                <w:kern w:val="0"/>
                <w:sz w:val="16"/>
                <w:szCs w:val="16"/>
              </w:rPr>
              <w:t xml:space="preserve">Contributions in-kind </w:t>
            </w:r>
          </w:p>
        </w:tc>
        <w:tc>
          <w:tcPr>
            <w:tcW w:w="997" w:type="dxa"/>
            <w:tcBorders>
              <w:top w:val="nil"/>
              <w:left w:val="single" w:sz="4" w:space="0" w:color="auto"/>
              <w:bottom w:val="nil"/>
              <w:right w:val="single" w:sz="4" w:space="0" w:color="auto"/>
            </w:tcBorders>
          </w:tcPr>
          <w:p w14:paraId="63C76C67" w14:textId="0C3E983A" w:rsidR="00573341" w:rsidRPr="000E1F1E" w:rsidRDefault="002239CC"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15</w:t>
            </w:r>
          </w:p>
        </w:tc>
        <w:tc>
          <w:tcPr>
            <w:tcW w:w="997" w:type="dxa"/>
            <w:tcBorders>
              <w:top w:val="nil"/>
              <w:left w:val="single" w:sz="4" w:space="0" w:color="auto"/>
              <w:bottom w:val="nil"/>
              <w:right w:val="single" w:sz="4" w:space="0" w:color="000000"/>
            </w:tcBorders>
            <w:shd w:val="clear" w:color="auto" w:fill="auto"/>
            <w:noWrap/>
            <w:vAlign w:val="bottom"/>
          </w:tcPr>
          <w:p w14:paraId="6C5F65A4" w14:textId="5B0A26FD"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1</w:t>
            </w:r>
            <w:r w:rsidR="00822FB1">
              <w:rPr>
                <w:rFonts w:eastAsia="Times New Roman"/>
                <w:color w:val="000000"/>
                <w:spacing w:val="0"/>
                <w:w w:val="100"/>
                <w:kern w:val="0"/>
                <w:sz w:val="16"/>
                <w:szCs w:val="16"/>
              </w:rPr>
              <w:t>6</w:t>
            </w:r>
          </w:p>
        </w:tc>
        <w:tc>
          <w:tcPr>
            <w:tcW w:w="1081" w:type="dxa"/>
            <w:tcBorders>
              <w:top w:val="nil"/>
              <w:left w:val="nil"/>
              <w:bottom w:val="nil"/>
              <w:right w:val="single" w:sz="4" w:space="0" w:color="000000"/>
            </w:tcBorders>
            <w:shd w:val="clear" w:color="auto" w:fill="auto"/>
            <w:noWrap/>
            <w:vAlign w:val="bottom"/>
          </w:tcPr>
          <w:p w14:paraId="6A99244C" w14:textId="2F86A11C" w:rsidR="00573341" w:rsidRPr="000E1F1E" w:rsidRDefault="006C0398" w:rsidP="002239CC">
            <w:pPr>
              <w:keepNext/>
              <w:suppressAutoHyphens w:val="0"/>
              <w:spacing w:before="10" w:after="10"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w:t>
            </w:r>
          </w:p>
        </w:tc>
        <w:tc>
          <w:tcPr>
            <w:tcW w:w="1046" w:type="dxa"/>
            <w:tcBorders>
              <w:top w:val="nil"/>
              <w:left w:val="nil"/>
              <w:bottom w:val="nil"/>
              <w:right w:val="single" w:sz="4" w:space="0" w:color="auto"/>
            </w:tcBorders>
            <w:shd w:val="clear" w:color="auto" w:fill="auto"/>
            <w:noWrap/>
            <w:vAlign w:val="bottom"/>
          </w:tcPr>
          <w:p w14:paraId="10125892" w14:textId="5ADF89E9" w:rsidR="00573341" w:rsidRPr="000E1F1E" w:rsidRDefault="000808F2" w:rsidP="002239CC">
            <w:pPr>
              <w:keepNext/>
              <w:suppressAutoHyphens w:val="0"/>
              <w:spacing w:before="10" w:after="10"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(6%)</w:t>
            </w:r>
          </w:p>
        </w:tc>
      </w:tr>
      <w:tr w:rsidR="00573341" w:rsidRPr="000E57AE" w14:paraId="51E48489" w14:textId="77777777" w:rsidTr="00FD6BCD">
        <w:trPr>
          <w:trHeight w:val="179"/>
        </w:trPr>
        <w:tc>
          <w:tcPr>
            <w:tcW w:w="3995" w:type="dxa"/>
            <w:tcBorders>
              <w:top w:val="nil"/>
              <w:left w:val="single" w:sz="4" w:space="0" w:color="000000"/>
              <w:bottom w:val="single" w:sz="4" w:space="0" w:color="000000"/>
              <w:right w:val="single" w:sz="4" w:space="0" w:color="auto"/>
            </w:tcBorders>
            <w:shd w:val="clear" w:color="auto" w:fill="auto"/>
            <w:vAlign w:val="center"/>
            <w:hideMark/>
          </w:tcPr>
          <w:p w14:paraId="6A46B2C7" w14:textId="77777777" w:rsidR="00573341" w:rsidRPr="006263C1" w:rsidRDefault="00573341" w:rsidP="002239CC">
            <w:pPr>
              <w:keepNext/>
              <w:suppressAutoHyphens w:val="0"/>
              <w:spacing w:before="10" w:after="10" w:line="240" w:lineRule="auto"/>
              <w:rPr>
                <w:rFonts w:eastAsia="Times New Roman"/>
                <w:color w:val="000000"/>
                <w:spacing w:val="0"/>
                <w:w w:val="100"/>
                <w:kern w:val="0"/>
                <w:sz w:val="16"/>
                <w:szCs w:val="16"/>
              </w:rPr>
            </w:pPr>
            <w:r w:rsidRPr="006263C1">
              <w:rPr>
                <w:rFonts w:eastAsia="Times New Roman"/>
                <w:color w:val="000000"/>
                <w:spacing w:val="0"/>
                <w:w w:val="100"/>
                <w:kern w:val="0"/>
                <w:sz w:val="16"/>
                <w:szCs w:val="16"/>
              </w:rPr>
              <w:t>Transfer of funds and refunds to donors</w:t>
            </w:r>
          </w:p>
        </w:tc>
        <w:tc>
          <w:tcPr>
            <w:tcW w:w="997" w:type="dxa"/>
            <w:tcBorders>
              <w:top w:val="nil"/>
              <w:left w:val="single" w:sz="4" w:space="0" w:color="auto"/>
              <w:bottom w:val="single" w:sz="4" w:space="0" w:color="000000"/>
              <w:right w:val="single" w:sz="4" w:space="0" w:color="auto"/>
            </w:tcBorders>
          </w:tcPr>
          <w:p w14:paraId="744D8A20" w14:textId="06E9E9DC" w:rsidR="00573341" w:rsidRPr="000E1F1E" w:rsidRDefault="002239CC"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w:t>
            </w:r>
            <w:r w:rsidR="00C4443B">
              <w:rPr>
                <w:rFonts w:eastAsia="Times New Roman"/>
                <w:color w:val="000000"/>
                <w:spacing w:val="0"/>
                <w:w w:val="100"/>
                <w:kern w:val="0"/>
                <w:sz w:val="16"/>
                <w:szCs w:val="16"/>
              </w:rPr>
              <w:t>69</w:t>
            </w:r>
            <w:r w:rsidRPr="000E1F1E">
              <w:rPr>
                <w:rFonts w:eastAsia="Times New Roman"/>
                <w:color w:val="000000"/>
                <w:spacing w:val="0"/>
                <w:w w:val="100"/>
                <w:kern w:val="0"/>
                <w:sz w:val="16"/>
                <w:szCs w:val="16"/>
              </w:rPr>
              <w:t>)</w:t>
            </w:r>
          </w:p>
        </w:tc>
        <w:tc>
          <w:tcPr>
            <w:tcW w:w="997" w:type="dxa"/>
            <w:tcBorders>
              <w:top w:val="nil"/>
              <w:left w:val="single" w:sz="4" w:space="0" w:color="auto"/>
              <w:bottom w:val="single" w:sz="4" w:space="0" w:color="000000"/>
              <w:right w:val="single" w:sz="4" w:space="0" w:color="000000"/>
            </w:tcBorders>
            <w:shd w:val="clear" w:color="auto" w:fill="auto"/>
            <w:noWrap/>
            <w:vAlign w:val="bottom"/>
          </w:tcPr>
          <w:p w14:paraId="35456E1C" w14:textId="56BD4BC0"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(7</w:t>
            </w:r>
            <w:r w:rsidR="00822FB1">
              <w:rPr>
                <w:rFonts w:eastAsia="Times New Roman"/>
                <w:color w:val="000000"/>
                <w:spacing w:val="0"/>
                <w:w w:val="100"/>
                <w:kern w:val="0"/>
                <w:sz w:val="16"/>
                <w:szCs w:val="16"/>
              </w:rPr>
              <w:t>4</w:t>
            </w:r>
            <w:r w:rsidRPr="000E1F1E">
              <w:rPr>
                <w:rFonts w:eastAsia="Times New Roman"/>
                <w:color w:val="000000"/>
                <w:spacing w:val="0"/>
                <w:w w:val="100"/>
                <w:kern w:val="0"/>
                <w:sz w:val="16"/>
                <w:szCs w:val="16"/>
              </w:rPr>
              <w:t>)</w:t>
            </w:r>
          </w:p>
        </w:tc>
        <w:tc>
          <w:tcPr>
            <w:tcW w:w="1081" w:type="dxa"/>
            <w:tcBorders>
              <w:top w:val="nil"/>
              <w:left w:val="nil"/>
              <w:bottom w:val="single" w:sz="4" w:space="0" w:color="auto"/>
              <w:right w:val="single" w:sz="4" w:space="0" w:color="000000"/>
            </w:tcBorders>
            <w:shd w:val="clear" w:color="auto" w:fill="auto"/>
            <w:noWrap/>
            <w:vAlign w:val="bottom"/>
          </w:tcPr>
          <w:p w14:paraId="1F3EA495" w14:textId="66627FEF"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5</w:t>
            </w:r>
          </w:p>
        </w:tc>
        <w:tc>
          <w:tcPr>
            <w:tcW w:w="1046" w:type="dxa"/>
            <w:tcBorders>
              <w:top w:val="nil"/>
              <w:left w:val="nil"/>
              <w:bottom w:val="single" w:sz="4" w:space="0" w:color="auto"/>
              <w:right w:val="single" w:sz="4" w:space="0" w:color="auto"/>
            </w:tcBorders>
            <w:shd w:val="clear" w:color="auto" w:fill="auto"/>
            <w:noWrap/>
            <w:vAlign w:val="bottom"/>
          </w:tcPr>
          <w:p w14:paraId="413CBB26" w14:textId="6BD2D11C" w:rsidR="00573341" w:rsidRPr="000E1F1E" w:rsidRDefault="00D3364D"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7</w:t>
            </w:r>
            <w:r w:rsidR="000E1F1E" w:rsidRPr="000E1F1E">
              <w:rPr>
                <w:rFonts w:eastAsia="Times New Roman"/>
                <w:color w:val="000000"/>
                <w:spacing w:val="0"/>
                <w:w w:val="100"/>
                <w:kern w:val="0"/>
                <w:sz w:val="16"/>
                <w:szCs w:val="16"/>
              </w:rPr>
              <w:t>%</w:t>
            </w:r>
          </w:p>
        </w:tc>
      </w:tr>
      <w:tr w:rsidR="00573341" w:rsidRPr="000E57AE" w14:paraId="793806B1" w14:textId="77777777" w:rsidTr="00FD6BCD">
        <w:trPr>
          <w:trHeight w:val="179"/>
        </w:trPr>
        <w:tc>
          <w:tcPr>
            <w:tcW w:w="3995" w:type="dxa"/>
            <w:tcBorders>
              <w:top w:val="nil"/>
              <w:left w:val="single" w:sz="4" w:space="0" w:color="000000"/>
              <w:bottom w:val="nil"/>
              <w:right w:val="single" w:sz="4" w:space="0" w:color="auto"/>
            </w:tcBorders>
            <w:shd w:val="clear" w:color="auto" w:fill="auto"/>
            <w:vAlign w:val="center"/>
            <w:hideMark/>
          </w:tcPr>
          <w:p w14:paraId="46BD4C8B" w14:textId="137AAFFA" w:rsidR="00573341" w:rsidRPr="000E57AE" w:rsidRDefault="005C1117" w:rsidP="002239CC">
            <w:pPr>
              <w:keepNext/>
              <w:suppressAutoHyphens w:val="0"/>
              <w:spacing w:before="10" w:after="10" w:line="240" w:lineRule="auto"/>
              <w:rPr>
                <w:rFonts w:eastAsia="Times New Roman"/>
                <w:color w:val="000000"/>
                <w:spacing w:val="0"/>
                <w:w w:val="100"/>
                <w:kern w:val="0"/>
                <w:sz w:val="16"/>
                <w:szCs w:val="16"/>
              </w:rPr>
            </w:pPr>
            <w:r>
              <w:rPr>
                <w:rFonts w:eastAsia="Times New Roman"/>
                <w:color w:val="000000"/>
                <w:spacing w:val="0"/>
                <w:w w:val="100"/>
                <w:kern w:val="0"/>
                <w:sz w:val="16"/>
                <w:szCs w:val="16"/>
              </w:rPr>
              <w:t xml:space="preserve">Voluntary </w:t>
            </w:r>
            <w:r w:rsidR="00573341" w:rsidRPr="000E57AE">
              <w:rPr>
                <w:rFonts w:eastAsia="Times New Roman"/>
                <w:color w:val="000000"/>
                <w:spacing w:val="0"/>
                <w:w w:val="100"/>
                <w:kern w:val="0"/>
                <w:sz w:val="16"/>
                <w:szCs w:val="16"/>
              </w:rPr>
              <w:t>Contributions, net</w:t>
            </w:r>
          </w:p>
        </w:tc>
        <w:tc>
          <w:tcPr>
            <w:tcW w:w="997" w:type="dxa"/>
            <w:tcBorders>
              <w:top w:val="nil"/>
              <w:left w:val="single" w:sz="4" w:space="0" w:color="auto"/>
              <w:bottom w:val="nil"/>
              <w:right w:val="single" w:sz="4" w:space="0" w:color="auto"/>
            </w:tcBorders>
          </w:tcPr>
          <w:p w14:paraId="5680FFAE" w14:textId="0BB005F6" w:rsidR="00573341" w:rsidRPr="000E1F1E" w:rsidRDefault="002239CC"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4,473</w:t>
            </w:r>
          </w:p>
        </w:tc>
        <w:tc>
          <w:tcPr>
            <w:tcW w:w="997" w:type="dxa"/>
            <w:tcBorders>
              <w:top w:val="nil"/>
              <w:left w:val="single" w:sz="4" w:space="0" w:color="auto"/>
              <w:bottom w:val="nil"/>
              <w:right w:val="single" w:sz="4" w:space="0" w:color="000000"/>
            </w:tcBorders>
            <w:shd w:val="clear" w:color="auto" w:fill="auto"/>
            <w:noWrap/>
            <w:vAlign w:val="bottom"/>
          </w:tcPr>
          <w:p w14:paraId="672E42FD" w14:textId="60F62EED"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5</w:t>
            </w:r>
            <w:r w:rsidR="008D49D3">
              <w:rPr>
                <w:rFonts w:eastAsia="Times New Roman"/>
                <w:color w:val="000000"/>
                <w:spacing w:val="0"/>
                <w:w w:val="100"/>
                <w:kern w:val="0"/>
                <w:sz w:val="16"/>
                <w:szCs w:val="16"/>
              </w:rPr>
              <w:t>,</w:t>
            </w:r>
            <w:r w:rsidRPr="000E1F1E">
              <w:rPr>
                <w:rFonts w:eastAsia="Times New Roman"/>
                <w:color w:val="000000"/>
                <w:spacing w:val="0"/>
                <w:w w:val="100"/>
                <w:kern w:val="0"/>
                <w:sz w:val="16"/>
                <w:szCs w:val="16"/>
              </w:rPr>
              <w:t>360</w:t>
            </w:r>
          </w:p>
        </w:tc>
        <w:tc>
          <w:tcPr>
            <w:tcW w:w="1081" w:type="dxa"/>
            <w:tcBorders>
              <w:top w:val="nil"/>
              <w:left w:val="nil"/>
              <w:bottom w:val="nil"/>
              <w:right w:val="single" w:sz="4" w:space="0" w:color="000000"/>
            </w:tcBorders>
            <w:shd w:val="clear" w:color="auto" w:fill="auto"/>
            <w:noWrap/>
            <w:vAlign w:val="bottom"/>
          </w:tcPr>
          <w:p w14:paraId="7343DF1C" w14:textId="64460EEB"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(887)</w:t>
            </w:r>
          </w:p>
        </w:tc>
        <w:tc>
          <w:tcPr>
            <w:tcW w:w="1046" w:type="dxa"/>
            <w:tcBorders>
              <w:top w:val="nil"/>
              <w:left w:val="nil"/>
              <w:bottom w:val="nil"/>
              <w:right w:val="single" w:sz="4" w:space="0" w:color="auto"/>
            </w:tcBorders>
            <w:shd w:val="clear" w:color="auto" w:fill="auto"/>
            <w:noWrap/>
            <w:vAlign w:val="bottom"/>
          </w:tcPr>
          <w:p w14:paraId="0DD32B7D" w14:textId="2014C809" w:rsidR="00573341" w:rsidRPr="000E1F1E" w:rsidRDefault="000E1F1E"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(17%)</w:t>
            </w:r>
          </w:p>
        </w:tc>
      </w:tr>
      <w:tr w:rsidR="00573341" w:rsidRPr="000E57AE" w14:paraId="311EA4FD" w14:textId="77777777" w:rsidTr="00FD6BCD">
        <w:trPr>
          <w:trHeight w:val="179"/>
        </w:trPr>
        <w:tc>
          <w:tcPr>
            <w:tcW w:w="3995" w:type="dxa"/>
            <w:tcBorders>
              <w:top w:val="nil"/>
              <w:left w:val="single" w:sz="4" w:space="0" w:color="000000"/>
              <w:bottom w:val="nil"/>
              <w:right w:val="single" w:sz="4" w:space="0" w:color="auto"/>
            </w:tcBorders>
            <w:shd w:val="clear" w:color="auto" w:fill="auto"/>
            <w:vAlign w:val="center"/>
            <w:hideMark/>
          </w:tcPr>
          <w:p w14:paraId="55E1C276" w14:textId="77777777" w:rsidR="00573341" w:rsidRPr="000E57AE" w:rsidRDefault="00573341" w:rsidP="002239CC">
            <w:pPr>
              <w:keepNext/>
              <w:suppressAutoHyphens w:val="0"/>
              <w:spacing w:before="10" w:after="10"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Investment revenue</w:t>
            </w:r>
          </w:p>
        </w:tc>
        <w:tc>
          <w:tcPr>
            <w:tcW w:w="997" w:type="dxa"/>
            <w:tcBorders>
              <w:top w:val="nil"/>
              <w:left w:val="single" w:sz="4" w:space="0" w:color="auto"/>
              <w:bottom w:val="nil"/>
              <w:right w:val="single" w:sz="4" w:space="0" w:color="auto"/>
            </w:tcBorders>
          </w:tcPr>
          <w:p w14:paraId="1BDD60DE" w14:textId="33D1CB28"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167</w:t>
            </w:r>
          </w:p>
        </w:tc>
        <w:tc>
          <w:tcPr>
            <w:tcW w:w="997" w:type="dxa"/>
            <w:tcBorders>
              <w:top w:val="nil"/>
              <w:left w:val="single" w:sz="4" w:space="0" w:color="auto"/>
              <w:bottom w:val="nil"/>
              <w:right w:val="single" w:sz="4" w:space="0" w:color="000000"/>
            </w:tcBorders>
            <w:shd w:val="clear" w:color="auto" w:fill="auto"/>
            <w:noWrap/>
            <w:vAlign w:val="bottom"/>
          </w:tcPr>
          <w:p w14:paraId="50EE08B3" w14:textId="19B9F6E6"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134</w:t>
            </w:r>
          </w:p>
        </w:tc>
        <w:tc>
          <w:tcPr>
            <w:tcW w:w="1081" w:type="dxa"/>
            <w:tcBorders>
              <w:top w:val="nil"/>
              <w:left w:val="nil"/>
              <w:bottom w:val="nil"/>
              <w:right w:val="single" w:sz="4" w:space="0" w:color="000000"/>
            </w:tcBorders>
            <w:shd w:val="clear" w:color="auto" w:fill="auto"/>
            <w:noWrap/>
            <w:vAlign w:val="bottom"/>
          </w:tcPr>
          <w:p w14:paraId="1CC0653E" w14:textId="34C9247F"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33</w:t>
            </w:r>
          </w:p>
        </w:tc>
        <w:tc>
          <w:tcPr>
            <w:tcW w:w="1046" w:type="dxa"/>
            <w:tcBorders>
              <w:top w:val="nil"/>
              <w:left w:val="nil"/>
              <w:bottom w:val="nil"/>
              <w:right w:val="single" w:sz="4" w:space="0" w:color="auto"/>
            </w:tcBorders>
            <w:shd w:val="clear" w:color="auto" w:fill="auto"/>
            <w:noWrap/>
            <w:vAlign w:val="bottom"/>
          </w:tcPr>
          <w:p w14:paraId="1BF8C15C" w14:textId="7FA5EDCB" w:rsidR="00573341" w:rsidRPr="000E1F1E" w:rsidRDefault="000E1F1E"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25%</w:t>
            </w:r>
          </w:p>
        </w:tc>
      </w:tr>
      <w:tr w:rsidR="00573341" w:rsidRPr="000E57AE" w14:paraId="3CA456C5" w14:textId="77777777" w:rsidTr="00FD6BCD">
        <w:trPr>
          <w:trHeight w:val="179"/>
        </w:trPr>
        <w:tc>
          <w:tcPr>
            <w:tcW w:w="3995" w:type="dxa"/>
            <w:tcBorders>
              <w:top w:val="nil"/>
              <w:left w:val="single" w:sz="4" w:space="0" w:color="000000"/>
              <w:bottom w:val="nil"/>
              <w:right w:val="single" w:sz="4" w:space="0" w:color="auto"/>
            </w:tcBorders>
            <w:shd w:val="clear" w:color="auto" w:fill="auto"/>
            <w:vAlign w:val="center"/>
            <w:hideMark/>
          </w:tcPr>
          <w:p w14:paraId="7FAC4B15" w14:textId="77777777" w:rsidR="00573341" w:rsidRPr="000E57AE" w:rsidRDefault="00573341" w:rsidP="002239CC">
            <w:pPr>
              <w:keepNext/>
              <w:suppressAutoHyphens w:val="0"/>
              <w:spacing w:before="10" w:after="10"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Other revenue</w:t>
            </w:r>
          </w:p>
        </w:tc>
        <w:tc>
          <w:tcPr>
            <w:tcW w:w="997" w:type="dxa"/>
            <w:tcBorders>
              <w:top w:val="nil"/>
              <w:left w:val="single" w:sz="4" w:space="0" w:color="auto"/>
              <w:bottom w:val="nil"/>
              <w:right w:val="single" w:sz="4" w:space="0" w:color="auto"/>
            </w:tcBorders>
          </w:tcPr>
          <w:p w14:paraId="713C60D5" w14:textId="2EFF05F6"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445</w:t>
            </w:r>
          </w:p>
        </w:tc>
        <w:tc>
          <w:tcPr>
            <w:tcW w:w="997" w:type="dxa"/>
            <w:tcBorders>
              <w:top w:val="nil"/>
              <w:left w:val="single" w:sz="4" w:space="0" w:color="auto"/>
              <w:bottom w:val="nil"/>
              <w:right w:val="single" w:sz="4" w:space="0" w:color="000000"/>
            </w:tcBorders>
            <w:shd w:val="clear" w:color="auto" w:fill="auto"/>
            <w:noWrap/>
            <w:vAlign w:val="bottom"/>
          </w:tcPr>
          <w:p w14:paraId="0FC96848" w14:textId="53F5677B"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456</w:t>
            </w:r>
          </w:p>
        </w:tc>
        <w:tc>
          <w:tcPr>
            <w:tcW w:w="1081" w:type="dxa"/>
            <w:tcBorders>
              <w:top w:val="nil"/>
              <w:left w:val="nil"/>
              <w:bottom w:val="single" w:sz="4" w:space="0" w:color="auto"/>
              <w:right w:val="single" w:sz="4" w:space="0" w:color="000000"/>
            </w:tcBorders>
            <w:shd w:val="clear" w:color="auto" w:fill="auto"/>
            <w:noWrap/>
            <w:vAlign w:val="bottom"/>
          </w:tcPr>
          <w:p w14:paraId="1EFADFF5" w14:textId="0FD7DFF6"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(11)</w:t>
            </w:r>
          </w:p>
        </w:tc>
        <w:tc>
          <w:tcPr>
            <w:tcW w:w="1046" w:type="dxa"/>
            <w:tcBorders>
              <w:top w:val="nil"/>
              <w:left w:val="nil"/>
              <w:bottom w:val="single" w:sz="4" w:space="0" w:color="auto"/>
              <w:right w:val="single" w:sz="4" w:space="0" w:color="auto"/>
            </w:tcBorders>
            <w:shd w:val="clear" w:color="auto" w:fill="auto"/>
            <w:noWrap/>
            <w:vAlign w:val="bottom"/>
          </w:tcPr>
          <w:p w14:paraId="196E6EFB" w14:textId="4F9031A1" w:rsidR="00573341" w:rsidRPr="000E1F1E" w:rsidRDefault="000E1F1E"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(2%)</w:t>
            </w:r>
          </w:p>
        </w:tc>
      </w:tr>
      <w:tr w:rsidR="00573341" w:rsidRPr="000E57AE" w14:paraId="51819FF5" w14:textId="77777777" w:rsidTr="008D49D3">
        <w:trPr>
          <w:trHeight w:val="287"/>
        </w:trPr>
        <w:tc>
          <w:tcPr>
            <w:tcW w:w="399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7A19744" w14:textId="473F5CD1" w:rsidR="00573341" w:rsidRPr="000E57AE" w:rsidRDefault="00573341" w:rsidP="002239CC">
            <w:pPr>
              <w:keepNext/>
              <w:suppressAutoHyphens w:val="0"/>
              <w:spacing w:before="10" w:after="10" w:line="240" w:lineRule="auto"/>
              <w:rPr>
                <w:rFonts w:eastAsia="Times New Roman"/>
                <w:b/>
                <w:bCs/>
                <w:color w:val="000000"/>
                <w:spacing w:val="0"/>
                <w:w w:val="100"/>
                <w:kern w:val="0"/>
                <w:sz w:val="16"/>
                <w:szCs w:val="16"/>
              </w:rPr>
            </w:pPr>
            <w:r w:rsidRPr="000E57AE">
              <w:rPr>
                <w:rFonts w:eastAsia="Times New Roman"/>
                <w:b/>
                <w:bCs/>
                <w:color w:val="000000"/>
                <w:spacing w:val="0"/>
                <w:w w:val="100"/>
                <w:kern w:val="0"/>
                <w:sz w:val="16"/>
                <w:szCs w:val="16"/>
              </w:rPr>
              <w:t>Total revenue before elimination</w:t>
            </w:r>
          </w:p>
        </w:tc>
        <w:tc>
          <w:tcPr>
            <w:tcW w:w="997" w:type="dxa"/>
            <w:tcBorders>
              <w:top w:val="single" w:sz="4" w:space="0" w:color="000000"/>
              <w:left w:val="single" w:sz="4" w:space="0" w:color="auto"/>
              <w:bottom w:val="single" w:sz="4" w:space="0" w:color="000000"/>
              <w:right w:val="single" w:sz="4" w:space="0" w:color="auto"/>
            </w:tcBorders>
            <w:vAlign w:val="center"/>
          </w:tcPr>
          <w:p w14:paraId="133FCD02" w14:textId="4CC1B44E"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5,085</w:t>
            </w:r>
          </w:p>
        </w:tc>
        <w:tc>
          <w:tcPr>
            <w:tcW w:w="997"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D34BB0E" w14:textId="62C5C894"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5,950</w:t>
            </w:r>
          </w:p>
        </w:tc>
        <w:tc>
          <w:tcPr>
            <w:tcW w:w="1081" w:type="dxa"/>
            <w:tcBorders>
              <w:top w:val="single" w:sz="4" w:space="0" w:color="auto"/>
              <w:left w:val="nil"/>
              <w:bottom w:val="single" w:sz="4" w:space="0" w:color="auto"/>
              <w:right w:val="single" w:sz="4" w:space="0" w:color="000000"/>
            </w:tcBorders>
            <w:shd w:val="clear" w:color="auto" w:fill="auto"/>
            <w:noWrap/>
            <w:vAlign w:val="center"/>
          </w:tcPr>
          <w:p w14:paraId="4D94DE01" w14:textId="794EA020" w:rsidR="00573341" w:rsidRPr="000E1F1E" w:rsidRDefault="00D3364D"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(865)</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6315AC58" w14:textId="6DDD32DF" w:rsidR="00573341" w:rsidRPr="000E1F1E" w:rsidRDefault="000E1F1E"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(15%)</w:t>
            </w:r>
          </w:p>
        </w:tc>
      </w:tr>
      <w:tr w:rsidR="00573341" w:rsidRPr="000E57AE" w14:paraId="289EDFC6" w14:textId="77777777" w:rsidTr="002F6B97">
        <w:trPr>
          <w:trHeight w:val="242"/>
        </w:trPr>
        <w:tc>
          <w:tcPr>
            <w:tcW w:w="3995" w:type="dxa"/>
            <w:tcBorders>
              <w:top w:val="nil"/>
              <w:left w:val="single" w:sz="4" w:space="0" w:color="000000"/>
              <w:bottom w:val="single" w:sz="4" w:space="0" w:color="000000"/>
              <w:right w:val="single" w:sz="4" w:space="0" w:color="auto"/>
            </w:tcBorders>
            <w:shd w:val="clear" w:color="auto" w:fill="auto"/>
            <w:noWrap/>
            <w:vAlign w:val="center"/>
            <w:hideMark/>
          </w:tcPr>
          <w:p w14:paraId="74E25ABC" w14:textId="370FF2BF" w:rsidR="00573341" w:rsidRPr="000E57AE" w:rsidRDefault="00573341" w:rsidP="00FD6BCD">
            <w:pPr>
              <w:keepNext/>
              <w:suppressAutoHyphens w:val="0"/>
              <w:spacing w:before="10" w:after="10" w:line="240" w:lineRule="auto"/>
              <w:rPr>
                <w:rFonts w:eastAsia="Times New Roman"/>
                <w:color w:val="000000"/>
                <w:spacing w:val="0"/>
                <w:w w:val="100"/>
                <w:kern w:val="0"/>
                <w:sz w:val="16"/>
                <w:szCs w:val="16"/>
              </w:rPr>
            </w:pPr>
            <w:r w:rsidRPr="007A2090">
              <w:rPr>
                <w:rFonts w:eastAsia="Times New Roman"/>
                <w:b/>
                <w:color w:val="000000"/>
                <w:spacing w:val="0"/>
                <w:w w:val="100"/>
                <w:kern w:val="0"/>
                <w:sz w:val="16"/>
                <w:szCs w:val="16"/>
              </w:rPr>
              <w:t>Elimination – internal UNDP cost recovery</w:t>
            </w:r>
          </w:p>
        </w:tc>
        <w:tc>
          <w:tcPr>
            <w:tcW w:w="997" w:type="dxa"/>
            <w:tcBorders>
              <w:top w:val="nil"/>
              <w:left w:val="single" w:sz="4" w:space="0" w:color="auto"/>
              <w:bottom w:val="single" w:sz="4" w:space="0" w:color="000000"/>
              <w:right w:val="single" w:sz="4" w:space="0" w:color="auto"/>
            </w:tcBorders>
            <w:vAlign w:val="center"/>
          </w:tcPr>
          <w:p w14:paraId="2D896222" w14:textId="4E739BAB"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(256)</w:t>
            </w:r>
          </w:p>
        </w:tc>
        <w:tc>
          <w:tcPr>
            <w:tcW w:w="997" w:type="dxa"/>
            <w:tcBorders>
              <w:top w:val="nil"/>
              <w:left w:val="single" w:sz="4" w:space="0" w:color="auto"/>
              <w:bottom w:val="single" w:sz="4" w:space="0" w:color="000000"/>
              <w:right w:val="single" w:sz="4" w:space="0" w:color="000000"/>
            </w:tcBorders>
            <w:shd w:val="clear" w:color="auto" w:fill="auto"/>
            <w:noWrap/>
            <w:vAlign w:val="center"/>
          </w:tcPr>
          <w:p w14:paraId="2ABFCB3F" w14:textId="6E1A4246"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(258)</w:t>
            </w:r>
          </w:p>
        </w:tc>
        <w:tc>
          <w:tcPr>
            <w:tcW w:w="1081" w:type="dxa"/>
            <w:tcBorders>
              <w:top w:val="nil"/>
              <w:left w:val="nil"/>
              <w:bottom w:val="nil"/>
              <w:right w:val="single" w:sz="4" w:space="0" w:color="000000"/>
            </w:tcBorders>
            <w:shd w:val="clear" w:color="auto" w:fill="auto"/>
            <w:noWrap/>
            <w:vAlign w:val="center"/>
          </w:tcPr>
          <w:p w14:paraId="5A943137" w14:textId="739019C0" w:rsidR="00573341" w:rsidRPr="000E1F1E" w:rsidRDefault="00D3364D"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2</w:t>
            </w:r>
          </w:p>
        </w:tc>
        <w:tc>
          <w:tcPr>
            <w:tcW w:w="1046" w:type="dxa"/>
            <w:tcBorders>
              <w:top w:val="nil"/>
              <w:left w:val="nil"/>
              <w:bottom w:val="nil"/>
              <w:right w:val="single" w:sz="4" w:space="0" w:color="auto"/>
            </w:tcBorders>
            <w:shd w:val="clear" w:color="auto" w:fill="auto"/>
            <w:noWrap/>
            <w:vAlign w:val="center"/>
          </w:tcPr>
          <w:p w14:paraId="0230E3C6" w14:textId="11B6B95A" w:rsidR="00573341" w:rsidRPr="000E1F1E" w:rsidRDefault="000E1F1E"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1%</w:t>
            </w:r>
          </w:p>
        </w:tc>
      </w:tr>
      <w:tr w:rsidR="00573341" w:rsidRPr="000E57AE" w14:paraId="04E2E246" w14:textId="77777777" w:rsidTr="002F6B97">
        <w:trPr>
          <w:trHeight w:val="305"/>
        </w:trPr>
        <w:tc>
          <w:tcPr>
            <w:tcW w:w="3995" w:type="dxa"/>
            <w:tcBorders>
              <w:top w:val="nil"/>
              <w:left w:val="single" w:sz="4" w:space="0" w:color="000000"/>
              <w:bottom w:val="single" w:sz="4" w:space="0" w:color="000000"/>
              <w:right w:val="single" w:sz="4" w:space="0" w:color="auto"/>
            </w:tcBorders>
            <w:shd w:val="clear" w:color="auto" w:fill="auto"/>
            <w:vAlign w:val="center"/>
            <w:hideMark/>
          </w:tcPr>
          <w:p w14:paraId="71FB7549" w14:textId="6A135E79" w:rsidR="00573341" w:rsidRPr="000E57AE" w:rsidRDefault="00573341" w:rsidP="00FD6BCD">
            <w:pPr>
              <w:keepNext/>
              <w:suppressAutoHyphens w:val="0"/>
              <w:spacing w:before="10" w:after="10" w:line="240" w:lineRule="auto"/>
              <w:rPr>
                <w:rFonts w:eastAsia="Times New Roman"/>
                <w:b/>
                <w:bCs/>
                <w:color w:val="000000"/>
                <w:spacing w:val="0"/>
                <w:w w:val="100"/>
                <w:kern w:val="0"/>
                <w:sz w:val="16"/>
                <w:szCs w:val="16"/>
              </w:rPr>
            </w:pPr>
            <w:r w:rsidRPr="000E57AE">
              <w:rPr>
                <w:rFonts w:eastAsia="Times New Roman"/>
                <w:b/>
                <w:bCs/>
                <w:color w:val="000000"/>
                <w:spacing w:val="0"/>
                <w:w w:val="100"/>
                <w:kern w:val="0"/>
                <w:sz w:val="16"/>
                <w:szCs w:val="16"/>
              </w:rPr>
              <w:t>Total revenue after elimination</w:t>
            </w:r>
          </w:p>
        </w:tc>
        <w:tc>
          <w:tcPr>
            <w:tcW w:w="997" w:type="dxa"/>
            <w:tcBorders>
              <w:top w:val="nil"/>
              <w:left w:val="single" w:sz="4" w:space="0" w:color="auto"/>
              <w:bottom w:val="single" w:sz="4" w:space="0" w:color="auto"/>
              <w:right w:val="single" w:sz="4" w:space="0" w:color="auto"/>
            </w:tcBorders>
            <w:vAlign w:val="center"/>
          </w:tcPr>
          <w:p w14:paraId="08BB8972" w14:textId="79FC4E61"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4,829</w:t>
            </w:r>
          </w:p>
        </w:tc>
        <w:tc>
          <w:tcPr>
            <w:tcW w:w="997" w:type="dxa"/>
            <w:tcBorders>
              <w:top w:val="nil"/>
              <w:left w:val="single" w:sz="4" w:space="0" w:color="auto"/>
              <w:bottom w:val="single" w:sz="4" w:space="0" w:color="auto"/>
              <w:right w:val="single" w:sz="4" w:space="0" w:color="000000"/>
            </w:tcBorders>
            <w:shd w:val="clear" w:color="auto" w:fill="auto"/>
            <w:noWrap/>
            <w:vAlign w:val="center"/>
          </w:tcPr>
          <w:p w14:paraId="56CF77DD" w14:textId="697794CC" w:rsidR="00573341" w:rsidRPr="000E1F1E" w:rsidRDefault="00A14A0F"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5,692</w:t>
            </w:r>
          </w:p>
        </w:tc>
        <w:tc>
          <w:tcPr>
            <w:tcW w:w="1081" w:type="dxa"/>
            <w:tcBorders>
              <w:top w:val="single" w:sz="4" w:space="0" w:color="auto"/>
              <w:left w:val="nil"/>
              <w:bottom w:val="single" w:sz="4" w:space="0" w:color="auto"/>
              <w:right w:val="single" w:sz="4" w:space="0" w:color="000000"/>
            </w:tcBorders>
            <w:shd w:val="clear" w:color="auto" w:fill="auto"/>
            <w:noWrap/>
            <w:vAlign w:val="center"/>
          </w:tcPr>
          <w:p w14:paraId="6E423708" w14:textId="359BA8C5" w:rsidR="00573341" w:rsidRPr="000E1F1E" w:rsidRDefault="00D3364D"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(863)</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7D4616BA" w14:textId="4FD56D14" w:rsidR="00573341" w:rsidRPr="000E1F1E" w:rsidRDefault="000E1F1E" w:rsidP="002239CC">
            <w:pPr>
              <w:keepNext/>
              <w:suppressAutoHyphens w:val="0"/>
              <w:spacing w:before="10" w:after="10" w:line="240" w:lineRule="auto"/>
              <w:jc w:val="right"/>
              <w:rPr>
                <w:rFonts w:eastAsia="Times New Roman"/>
                <w:color w:val="000000"/>
                <w:spacing w:val="0"/>
                <w:w w:val="100"/>
                <w:kern w:val="0"/>
                <w:sz w:val="16"/>
                <w:szCs w:val="16"/>
              </w:rPr>
            </w:pPr>
            <w:r w:rsidRPr="000E1F1E">
              <w:rPr>
                <w:rFonts w:eastAsia="Times New Roman"/>
                <w:color w:val="000000"/>
                <w:spacing w:val="0"/>
                <w:w w:val="100"/>
                <w:kern w:val="0"/>
                <w:sz w:val="16"/>
                <w:szCs w:val="16"/>
              </w:rPr>
              <w:t>(15%)</w:t>
            </w:r>
          </w:p>
        </w:tc>
      </w:tr>
    </w:tbl>
    <w:p w14:paraId="2175E692" w14:textId="77777777" w:rsidR="00D83515" w:rsidRDefault="00D83515" w:rsidP="00C476AD">
      <w:pPr>
        <w:autoSpaceDE w:val="0"/>
        <w:autoSpaceDN w:val="0"/>
        <w:spacing w:line="240" w:lineRule="auto"/>
      </w:pPr>
    </w:p>
    <w:p w14:paraId="5EC9CFE8" w14:textId="11736E7F" w:rsidR="00C476AD" w:rsidRPr="00E03601" w:rsidRDefault="00B074D9" w:rsidP="00E03601">
      <w:pPr>
        <w:pStyle w:val="ListParagraph"/>
        <w:numPr>
          <w:ilvl w:val="0"/>
          <w:numId w:val="5"/>
        </w:numPr>
        <w:autoSpaceDE w:val="0"/>
        <w:autoSpaceDN w:val="0"/>
        <w:spacing w:before="240" w:after="240" w:line="240" w:lineRule="auto"/>
        <w:ind w:left="1339" w:right="1267"/>
        <w:contextualSpacing w:val="0"/>
        <w:jc w:val="both"/>
        <w:rPr>
          <w:rFonts w:ascii="Calibri" w:eastAsia="Times New Roman" w:hAnsi="Calibri"/>
          <w:spacing w:val="0"/>
          <w:w w:val="100"/>
          <w:kern w:val="0"/>
          <w:lang w:val="en-US"/>
        </w:rPr>
      </w:pPr>
      <w:r w:rsidRPr="00E03601">
        <w:t xml:space="preserve">During 2019, UNDP’s </w:t>
      </w:r>
      <w:r w:rsidR="00D83515" w:rsidRPr="00E03601">
        <w:t>a</w:t>
      </w:r>
      <w:r w:rsidRPr="00E03601">
        <w:t xml:space="preserve">nnual </w:t>
      </w:r>
      <w:r w:rsidR="00D83515" w:rsidRPr="00E03601">
        <w:t>c</w:t>
      </w:r>
      <w:r w:rsidRPr="00E03601">
        <w:t>ontributions were $4.8 billion, a decrease of $377 million or 7.3 per cent from the 2018 (restated) amount of $5.2 billion</w:t>
      </w:r>
      <w:r w:rsidR="003B4CCA" w:rsidRPr="00E03601">
        <w:t>.</w:t>
      </w:r>
      <w:r w:rsidR="00783861" w:rsidRPr="00E03601">
        <w:t xml:space="preserve"> Figure </w:t>
      </w:r>
      <w:r w:rsidR="004D4DCC">
        <w:t>II</w:t>
      </w:r>
      <w:r w:rsidR="00783861" w:rsidRPr="00E03601">
        <w:t xml:space="preserve"> sets out the level of annual contributions o</w:t>
      </w:r>
      <w:r w:rsidR="00C476AD" w:rsidRPr="00E03601">
        <w:t>f regular (core) resources</w:t>
      </w:r>
      <w:r w:rsidR="00783861" w:rsidRPr="00E03601">
        <w:t xml:space="preserve"> in comparison to </w:t>
      </w:r>
      <w:r w:rsidR="00C476AD" w:rsidRPr="00E03601">
        <w:t>other (</w:t>
      </w:r>
      <w:r w:rsidR="00783861" w:rsidRPr="00E03601">
        <w:t>non-core</w:t>
      </w:r>
      <w:r w:rsidR="00C476AD" w:rsidRPr="00E03601">
        <w:t>)</w:t>
      </w:r>
      <w:r w:rsidR="00783861" w:rsidRPr="00E03601">
        <w:t xml:space="preserve"> resources in 2019. </w:t>
      </w:r>
      <w:r w:rsidR="00C476AD" w:rsidRPr="00E03601">
        <w:t>In 2019, the ratio between regular and other resources marginally moved to 13 per cent and 87 per cent from 12 per cent and 88 percent respectively in 2018.</w:t>
      </w:r>
    </w:p>
    <w:p w14:paraId="444ED7A5" w14:textId="6E61ED4A" w:rsidR="008122FA" w:rsidRPr="00643E7A" w:rsidRDefault="008122FA" w:rsidP="008122FA">
      <w:pPr>
        <w:pStyle w:val="ListParagraph"/>
        <w:keepNext/>
        <w:tabs>
          <w:tab w:val="left" w:pos="1260"/>
        </w:tabs>
        <w:suppressAutoHyphens w:val="0"/>
        <w:spacing w:line="240" w:lineRule="auto"/>
        <w:ind w:left="1343"/>
        <w:jc w:val="center"/>
        <w:rPr>
          <w:b/>
        </w:rPr>
      </w:pPr>
      <w:r w:rsidRPr="00643E7A">
        <w:rPr>
          <w:b/>
        </w:rPr>
        <w:t xml:space="preserve">Figure </w:t>
      </w:r>
      <w:r w:rsidR="004D4DCC">
        <w:rPr>
          <w:b/>
        </w:rPr>
        <w:t>II</w:t>
      </w:r>
      <w:r w:rsidRPr="00643E7A">
        <w:rPr>
          <w:b/>
        </w:rPr>
        <w:t xml:space="preserve">. </w:t>
      </w:r>
      <w:r w:rsidR="00E63925">
        <w:rPr>
          <w:b/>
        </w:rPr>
        <w:t xml:space="preserve">Annual </w:t>
      </w:r>
      <w:r w:rsidR="009B3563">
        <w:rPr>
          <w:b/>
        </w:rPr>
        <w:t>r</w:t>
      </w:r>
      <w:r w:rsidRPr="00643E7A">
        <w:rPr>
          <w:b/>
        </w:rPr>
        <w:t>egular and other resources ratio, 2019</w:t>
      </w:r>
      <w:r w:rsidR="00BE1860" w:rsidRPr="00134BC3">
        <w:rPr>
          <w:rStyle w:val="FootnoteReference"/>
        </w:rPr>
        <w:footnoteReference w:id="2"/>
      </w:r>
    </w:p>
    <w:p w14:paraId="689FCEAC" w14:textId="15D5DFFF" w:rsidR="0051BF40" w:rsidRPr="00AE4923" w:rsidRDefault="008122FA" w:rsidP="00D118FF">
      <w:pPr>
        <w:pStyle w:val="ListParagraph"/>
        <w:spacing w:line="240" w:lineRule="auto"/>
        <w:ind w:left="1343"/>
        <w:jc w:val="center"/>
        <w:rPr>
          <w:sz w:val="18"/>
          <w:szCs w:val="18"/>
        </w:rPr>
      </w:pPr>
      <w:r w:rsidRPr="00AE4923">
        <w:rPr>
          <w:rFonts w:eastAsia="Times New Roman"/>
          <w:i/>
          <w:color w:val="000000" w:themeColor="text1"/>
        </w:rPr>
        <w:t>(in millions of United States dollars)</w:t>
      </w:r>
      <w:r w:rsidR="3C563895" w:rsidRPr="00AE4923">
        <w:rPr>
          <w:b/>
          <w:bCs/>
          <w:sz w:val="18"/>
          <w:szCs w:val="18"/>
        </w:rPr>
        <w:t xml:space="preserve"> </w:t>
      </w:r>
    </w:p>
    <w:p w14:paraId="2A92E2E6" w14:textId="1D9B2CDD" w:rsidR="00BE363B" w:rsidRPr="00DD5AAD" w:rsidRDefault="00E03601" w:rsidP="00E63890">
      <w:pPr>
        <w:pStyle w:val="SingleTxt"/>
        <w:numPr>
          <w:ilvl w:val="0"/>
          <w:numId w:val="5"/>
        </w:numPr>
        <w:tabs>
          <w:tab w:val="clear" w:pos="1742"/>
          <w:tab w:val="clear" w:pos="2218"/>
          <w:tab w:val="left" w:pos="1530"/>
        </w:tabs>
        <w:spacing w:before="240" w:after="240" w:line="240" w:lineRule="auto"/>
        <w:ind w:left="1339"/>
      </w:pPr>
      <w:r>
        <w:rPr>
          <w:noProof/>
        </w:rPr>
        <w:drawing>
          <wp:anchor distT="0" distB="0" distL="114300" distR="114300" simplePos="0" relativeHeight="251658241" behindDoc="1" locked="0" layoutInCell="1" allowOverlap="1" wp14:anchorId="1D2A211E" wp14:editId="427AD004">
            <wp:simplePos x="0" y="0"/>
            <wp:positionH relativeFrom="column">
              <wp:posOffset>565368</wp:posOffset>
            </wp:positionH>
            <wp:positionV relativeFrom="paragraph">
              <wp:posOffset>-474</wp:posOffset>
            </wp:positionV>
            <wp:extent cx="5420360" cy="2143125"/>
            <wp:effectExtent l="0" t="0" r="8890" b="9525"/>
            <wp:wrapSquare wrapText="bothSides"/>
            <wp:docPr id="1050407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5420360" cy="2143125"/>
                    </a:xfrm>
                    <a:prstGeom prst="rect">
                      <a:avLst/>
                    </a:prstGeom>
                  </pic:spPr>
                </pic:pic>
              </a:graphicData>
            </a:graphic>
            <wp14:sizeRelH relativeFrom="page">
              <wp14:pctWidth>0</wp14:pctWidth>
            </wp14:sizeRelH>
            <wp14:sizeRelV relativeFrom="page">
              <wp14:pctHeight>0</wp14:pctHeight>
            </wp14:sizeRelV>
          </wp:anchor>
        </w:drawing>
      </w:r>
      <w:r w:rsidR="000F345E" w:rsidRPr="00DD5AAD">
        <w:t xml:space="preserve">Regular resources </w:t>
      </w:r>
      <w:r w:rsidR="00783861">
        <w:t xml:space="preserve">annual </w:t>
      </w:r>
      <w:r w:rsidR="000F345E" w:rsidRPr="00DD5AAD">
        <w:t>contributions</w:t>
      </w:r>
      <w:r w:rsidR="00C37C89">
        <w:t xml:space="preserve"> received </w:t>
      </w:r>
      <w:r w:rsidR="000F345E" w:rsidRPr="00DD5AAD">
        <w:t>increased to $629 million</w:t>
      </w:r>
      <w:r w:rsidR="000F345E" w:rsidRPr="00E03601">
        <w:footnoteReference w:id="3"/>
      </w:r>
      <w:r w:rsidR="000F345E" w:rsidRPr="00DD5AAD">
        <w:t xml:space="preserve"> from $624 million in 2018, including a $23 million loss applicable to exchange rate fluctuations. </w:t>
      </w:r>
      <w:r w:rsidR="000F345E" w:rsidRPr="00DD5AAD">
        <w:lastRenderedPageBreak/>
        <w:t xml:space="preserve">Multi-year commitments to regular </w:t>
      </w:r>
      <w:r w:rsidR="00D83515">
        <w:t xml:space="preserve">(core) </w:t>
      </w:r>
      <w:r w:rsidR="000F345E" w:rsidRPr="00DD5AAD">
        <w:t xml:space="preserve">resources </w:t>
      </w:r>
      <w:r w:rsidR="008F3CF7">
        <w:t xml:space="preserve">annual contributions </w:t>
      </w:r>
      <w:r w:rsidR="000F345E" w:rsidRPr="00DD5AAD">
        <w:t>increased by 14 per cent from $271 million in 2018 to $363 million in 2019.</w:t>
      </w:r>
      <w:r w:rsidR="00F23C26" w:rsidRPr="00DD5AAD">
        <w:t xml:space="preserve"> </w:t>
      </w:r>
      <w:r w:rsidR="00601261" w:rsidRPr="00DD5AAD">
        <w:t>Government contributions to local office costs (GLOC)</w:t>
      </w:r>
      <w:r w:rsidR="000A0263" w:rsidRPr="00DD5AAD">
        <w:t xml:space="preserve"> </w:t>
      </w:r>
      <w:r w:rsidR="005B33A6">
        <w:t xml:space="preserve">were </w:t>
      </w:r>
      <w:r w:rsidR="00601261" w:rsidRPr="00DD5AAD">
        <w:t>$</w:t>
      </w:r>
      <w:r w:rsidR="00D55B68" w:rsidRPr="00DD5AAD">
        <w:t>26</w:t>
      </w:r>
      <w:r w:rsidR="00601261" w:rsidRPr="00DD5AAD">
        <w:t xml:space="preserve"> million (201</w:t>
      </w:r>
      <w:r w:rsidR="003F2826" w:rsidRPr="00DD5AAD">
        <w:t>8</w:t>
      </w:r>
      <w:r w:rsidR="00601261" w:rsidRPr="00DD5AAD">
        <w:t>: $</w:t>
      </w:r>
      <w:r w:rsidR="003F2826" w:rsidRPr="00DD5AAD">
        <w:t>33</w:t>
      </w:r>
      <w:r w:rsidR="00601261" w:rsidRPr="00DD5AAD">
        <w:t xml:space="preserve"> million).</w:t>
      </w:r>
    </w:p>
    <w:p w14:paraId="601767CC" w14:textId="39732FE9" w:rsidR="00BE363B" w:rsidRPr="00DD5AAD" w:rsidRDefault="00BE363B" w:rsidP="00E63890">
      <w:pPr>
        <w:pStyle w:val="SingleTxt"/>
        <w:numPr>
          <w:ilvl w:val="0"/>
          <w:numId w:val="5"/>
        </w:numPr>
        <w:tabs>
          <w:tab w:val="clear" w:pos="1742"/>
          <w:tab w:val="clear" w:pos="2218"/>
          <w:tab w:val="left" w:pos="1530"/>
        </w:tabs>
        <w:spacing w:before="240" w:after="240" w:line="240" w:lineRule="auto"/>
        <w:ind w:left="1339"/>
      </w:pPr>
      <w:r w:rsidRPr="00DD5AAD">
        <w:t xml:space="preserve">Total other resources </w:t>
      </w:r>
      <w:r w:rsidR="00783861">
        <w:t xml:space="preserve">annual </w:t>
      </w:r>
      <w:r w:rsidRPr="00DD5AAD">
        <w:t>contributions decreased by 8.1 per cent, to $4</w:t>
      </w:r>
      <w:r w:rsidR="00B1152E" w:rsidRPr="00DD5AAD">
        <w:t>.2 billion</w:t>
      </w:r>
      <w:r w:rsidRPr="00DD5AAD">
        <w:t xml:space="preserve"> (2018: $4</w:t>
      </w:r>
      <w:r w:rsidR="00B1152E" w:rsidRPr="00DD5AAD">
        <w:t xml:space="preserve">.6 billion </w:t>
      </w:r>
      <w:r w:rsidRPr="00DD5AAD">
        <w:t xml:space="preserve">(restated)), including </w:t>
      </w:r>
      <w:r w:rsidR="009638C2" w:rsidRPr="00DD5AAD">
        <w:t xml:space="preserve">a $0.14 billion loss applicable to exchange rate fluctuations and </w:t>
      </w:r>
      <w:r w:rsidRPr="00DD5AAD">
        <w:t>$104 million in past due receivables. Other resources are ‘earmarked’ for individual programmes or projects and are important complements to the ‘un-earmarked’ regular resources base. It consists of cost-sharing, trust funds and reimbursable support services and miscellaneous activities. UNDP is committed to working with Member States to improve the flexibility of this funding.</w:t>
      </w:r>
      <w:r w:rsidR="00893657" w:rsidRPr="00DD5AAD">
        <w:t xml:space="preserve">  </w:t>
      </w:r>
    </w:p>
    <w:p w14:paraId="6924F445" w14:textId="1301BE03" w:rsidR="00B1152E" w:rsidRPr="00DD5AAD" w:rsidRDefault="00B1152E" w:rsidP="00E63890">
      <w:pPr>
        <w:pStyle w:val="SingleTxt"/>
        <w:numPr>
          <w:ilvl w:val="0"/>
          <w:numId w:val="5"/>
        </w:numPr>
        <w:tabs>
          <w:tab w:val="clear" w:pos="1742"/>
          <w:tab w:val="clear" w:pos="2218"/>
          <w:tab w:val="left" w:pos="1530"/>
        </w:tabs>
        <w:spacing w:before="240" w:after="240" w:line="240" w:lineRule="auto"/>
        <w:ind w:left="1339"/>
      </w:pPr>
      <w:r w:rsidRPr="00DD5AAD">
        <w:t xml:space="preserve">Annual Contributions are provided </w:t>
      </w:r>
      <w:r w:rsidR="00954B03">
        <w:t xml:space="preserve">by the </w:t>
      </w:r>
      <w:r w:rsidRPr="00DD5AAD">
        <w:t xml:space="preserve">funding partners per table 2b and Figure </w:t>
      </w:r>
      <w:r w:rsidR="004D4DCC">
        <w:t>III</w:t>
      </w:r>
      <w:r w:rsidR="00442030">
        <w:t xml:space="preserve"> (</w:t>
      </w:r>
      <w:r w:rsidR="006A5D75">
        <w:t>a</w:t>
      </w:r>
      <w:r w:rsidR="00442030">
        <w:t>)</w:t>
      </w:r>
      <w:r w:rsidRPr="00DD5AAD">
        <w:t xml:space="preserve"> below.</w:t>
      </w:r>
    </w:p>
    <w:p w14:paraId="2184D1B1" w14:textId="60B5C294" w:rsidR="00242AB7" w:rsidRPr="000E57AE" w:rsidRDefault="00242AB7" w:rsidP="003F5F37">
      <w:pPr>
        <w:pStyle w:val="SingleTxt"/>
        <w:keepNext/>
        <w:tabs>
          <w:tab w:val="clear" w:pos="1742"/>
          <w:tab w:val="left" w:pos="1530"/>
        </w:tabs>
        <w:spacing w:after="0"/>
        <w:ind w:left="1526"/>
        <w:jc w:val="center"/>
        <w:rPr>
          <w:b/>
        </w:rPr>
      </w:pPr>
      <w:r w:rsidRPr="000E57AE">
        <w:rPr>
          <w:b/>
        </w:rPr>
        <w:t xml:space="preserve">Table </w:t>
      </w:r>
      <w:r w:rsidR="00FA1E51" w:rsidRPr="000E57AE">
        <w:rPr>
          <w:b/>
        </w:rPr>
        <w:t>2</w:t>
      </w:r>
      <w:r w:rsidRPr="000E57AE">
        <w:rPr>
          <w:b/>
        </w:rPr>
        <w:t xml:space="preserve">b. </w:t>
      </w:r>
      <w:r w:rsidR="00833ED5" w:rsidRPr="0015703A">
        <w:rPr>
          <w:b/>
        </w:rPr>
        <w:t xml:space="preserve">UNDP </w:t>
      </w:r>
      <w:r w:rsidR="00E63925">
        <w:rPr>
          <w:b/>
        </w:rPr>
        <w:t xml:space="preserve">annual </w:t>
      </w:r>
      <w:r w:rsidR="00833ED5" w:rsidRPr="0015703A">
        <w:rPr>
          <w:b/>
        </w:rPr>
        <w:t>contributions by funding partners, 2018-2019</w:t>
      </w:r>
    </w:p>
    <w:p w14:paraId="7F6D3310" w14:textId="10AD93D9" w:rsidR="00076FB8" w:rsidRPr="006F3826" w:rsidRDefault="00076FB8" w:rsidP="003F5F37">
      <w:pPr>
        <w:pStyle w:val="SingleTxt"/>
        <w:keepNext/>
        <w:tabs>
          <w:tab w:val="clear" w:pos="1742"/>
          <w:tab w:val="left" w:pos="1530"/>
        </w:tabs>
        <w:ind w:left="1526"/>
        <w:jc w:val="center"/>
        <w:rPr>
          <w:i/>
        </w:rPr>
      </w:pPr>
      <w:r w:rsidRPr="006F3826">
        <w:rPr>
          <w:i/>
        </w:rPr>
        <w:t xml:space="preserve">(in millions of </w:t>
      </w:r>
      <w:r w:rsidR="006F3826">
        <w:rPr>
          <w:i/>
        </w:rPr>
        <w:t xml:space="preserve">United States </w:t>
      </w:r>
      <w:r w:rsidRPr="006F3826">
        <w:rPr>
          <w:i/>
        </w:rPr>
        <w:t>dollars)</w:t>
      </w:r>
    </w:p>
    <w:tbl>
      <w:tblPr>
        <w:tblW w:w="9126"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6"/>
        <w:gridCol w:w="884"/>
        <w:gridCol w:w="910"/>
        <w:gridCol w:w="898"/>
        <w:gridCol w:w="897"/>
        <w:gridCol w:w="897"/>
        <w:gridCol w:w="898"/>
        <w:gridCol w:w="868"/>
        <w:gridCol w:w="878"/>
      </w:tblGrid>
      <w:tr w:rsidR="004B5ABC" w:rsidRPr="000E57AE" w14:paraId="4D335BA9" w14:textId="77777777" w:rsidTr="00EC1DC5">
        <w:trPr>
          <w:trHeight w:val="228"/>
        </w:trPr>
        <w:tc>
          <w:tcPr>
            <w:tcW w:w="1996" w:type="dxa"/>
            <w:vMerge w:val="restart"/>
            <w:shd w:val="clear" w:color="auto" w:fill="auto"/>
            <w:noWrap/>
            <w:vAlign w:val="center"/>
          </w:tcPr>
          <w:p w14:paraId="15CE31AD" w14:textId="7760952D" w:rsidR="004B5ABC" w:rsidRPr="004B5ABC" w:rsidRDefault="004B5ABC" w:rsidP="00B430FE">
            <w:pPr>
              <w:keepNext/>
              <w:suppressAutoHyphens w:val="0"/>
              <w:spacing w:line="240" w:lineRule="auto"/>
              <w:jc w:val="center"/>
              <w:rPr>
                <w:rFonts w:eastAsia="Times New Roman"/>
                <w:color w:val="000000"/>
                <w:spacing w:val="0"/>
                <w:w w:val="100"/>
                <w:kern w:val="0"/>
                <w:sz w:val="16"/>
                <w:szCs w:val="16"/>
              </w:rPr>
            </w:pPr>
          </w:p>
        </w:tc>
        <w:tc>
          <w:tcPr>
            <w:tcW w:w="2692" w:type="dxa"/>
            <w:gridSpan w:val="3"/>
            <w:shd w:val="clear" w:color="auto" w:fill="auto"/>
            <w:vAlign w:val="center"/>
          </w:tcPr>
          <w:p w14:paraId="22DF96CF" w14:textId="2BF754EB"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2019</w:t>
            </w:r>
          </w:p>
        </w:tc>
        <w:tc>
          <w:tcPr>
            <w:tcW w:w="2692" w:type="dxa"/>
            <w:gridSpan w:val="3"/>
            <w:shd w:val="clear" w:color="auto" w:fill="auto"/>
            <w:vAlign w:val="center"/>
          </w:tcPr>
          <w:p w14:paraId="20EF4190" w14:textId="0BDFA08E"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2018</w:t>
            </w:r>
          </w:p>
        </w:tc>
        <w:tc>
          <w:tcPr>
            <w:tcW w:w="868" w:type="dxa"/>
            <w:vMerge w:val="restart"/>
            <w:shd w:val="clear" w:color="auto" w:fill="auto"/>
            <w:vAlign w:val="center"/>
          </w:tcPr>
          <w:p w14:paraId="0A540721" w14:textId="6E2873CC"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Total Increase</w:t>
            </w:r>
          </w:p>
        </w:tc>
        <w:tc>
          <w:tcPr>
            <w:tcW w:w="878" w:type="dxa"/>
            <w:vMerge w:val="restart"/>
            <w:shd w:val="clear" w:color="auto" w:fill="auto"/>
            <w:noWrap/>
            <w:vAlign w:val="center"/>
          </w:tcPr>
          <w:p w14:paraId="6F633D4B" w14:textId="08251873"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Percentage Change</w:t>
            </w:r>
          </w:p>
        </w:tc>
      </w:tr>
      <w:tr w:rsidR="004B5ABC" w:rsidRPr="000E57AE" w14:paraId="638EA637" w14:textId="77777777" w:rsidTr="000F1AB0">
        <w:trPr>
          <w:trHeight w:val="228"/>
        </w:trPr>
        <w:tc>
          <w:tcPr>
            <w:tcW w:w="1996" w:type="dxa"/>
            <w:vMerge/>
            <w:shd w:val="clear" w:color="auto" w:fill="auto"/>
            <w:noWrap/>
            <w:vAlign w:val="center"/>
          </w:tcPr>
          <w:p w14:paraId="46502E26" w14:textId="1CDDF283" w:rsidR="004B5ABC" w:rsidRPr="004B5ABC" w:rsidRDefault="004B5ABC" w:rsidP="00866202">
            <w:pPr>
              <w:keepNext/>
              <w:suppressAutoHyphens w:val="0"/>
              <w:spacing w:line="240" w:lineRule="auto"/>
              <w:jc w:val="center"/>
              <w:rPr>
                <w:rFonts w:eastAsia="Times New Roman"/>
                <w:b/>
                <w:bCs/>
                <w:color w:val="000000"/>
                <w:spacing w:val="0"/>
                <w:w w:val="100"/>
                <w:kern w:val="0"/>
                <w:sz w:val="16"/>
                <w:szCs w:val="16"/>
              </w:rPr>
            </w:pPr>
          </w:p>
        </w:tc>
        <w:tc>
          <w:tcPr>
            <w:tcW w:w="884" w:type="dxa"/>
            <w:shd w:val="clear" w:color="auto" w:fill="auto"/>
            <w:noWrap/>
            <w:vAlign w:val="center"/>
          </w:tcPr>
          <w:p w14:paraId="4A2E6EAF" w14:textId="77777777"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Regular</w:t>
            </w:r>
          </w:p>
          <w:p w14:paraId="0D0733C9" w14:textId="2C52D651"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Resources</w:t>
            </w:r>
          </w:p>
        </w:tc>
        <w:tc>
          <w:tcPr>
            <w:tcW w:w="910" w:type="dxa"/>
            <w:shd w:val="clear" w:color="auto" w:fill="auto"/>
            <w:vAlign w:val="center"/>
          </w:tcPr>
          <w:p w14:paraId="4239CE89" w14:textId="6902482E"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Other</w:t>
            </w:r>
          </w:p>
          <w:p w14:paraId="2C4C27AD" w14:textId="3AA13EE3"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Resources</w:t>
            </w:r>
          </w:p>
        </w:tc>
        <w:tc>
          <w:tcPr>
            <w:tcW w:w="898" w:type="dxa"/>
            <w:shd w:val="clear" w:color="auto" w:fill="auto"/>
            <w:vAlign w:val="center"/>
          </w:tcPr>
          <w:p w14:paraId="454B100A" w14:textId="50FA65EF"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Total</w:t>
            </w:r>
          </w:p>
        </w:tc>
        <w:tc>
          <w:tcPr>
            <w:tcW w:w="897" w:type="dxa"/>
            <w:shd w:val="clear" w:color="auto" w:fill="auto"/>
            <w:noWrap/>
            <w:vAlign w:val="center"/>
          </w:tcPr>
          <w:p w14:paraId="55C04CDC" w14:textId="77777777"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Regular</w:t>
            </w:r>
          </w:p>
          <w:p w14:paraId="685A6089" w14:textId="4D516990"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Resources</w:t>
            </w:r>
          </w:p>
        </w:tc>
        <w:tc>
          <w:tcPr>
            <w:tcW w:w="897" w:type="dxa"/>
            <w:shd w:val="clear" w:color="auto" w:fill="auto"/>
            <w:vAlign w:val="center"/>
          </w:tcPr>
          <w:p w14:paraId="474BAAC1" w14:textId="1797E966"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Other</w:t>
            </w:r>
          </w:p>
          <w:p w14:paraId="1F488399" w14:textId="3CE2881A"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Resources</w:t>
            </w:r>
          </w:p>
        </w:tc>
        <w:tc>
          <w:tcPr>
            <w:tcW w:w="898" w:type="dxa"/>
            <w:shd w:val="clear" w:color="auto" w:fill="auto"/>
            <w:vAlign w:val="center"/>
          </w:tcPr>
          <w:p w14:paraId="74195971" w14:textId="598C2D0D"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r w:rsidRPr="004B5ABC">
              <w:rPr>
                <w:rFonts w:eastAsia="Times New Roman"/>
                <w:color w:val="000000"/>
                <w:spacing w:val="0"/>
                <w:w w:val="100"/>
                <w:kern w:val="0"/>
                <w:sz w:val="16"/>
                <w:szCs w:val="16"/>
              </w:rPr>
              <w:t>Total</w:t>
            </w:r>
          </w:p>
        </w:tc>
        <w:tc>
          <w:tcPr>
            <w:tcW w:w="868" w:type="dxa"/>
            <w:vMerge/>
            <w:shd w:val="clear" w:color="auto" w:fill="auto"/>
            <w:noWrap/>
            <w:vAlign w:val="center"/>
          </w:tcPr>
          <w:p w14:paraId="6E3662A6" w14:textId="1C9DFDAB"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p>
        </w:tc>
        <w:tc>
          <w:tcPr>
            <w:tcW w:w="878" w:type="dxa"/>
            <w:vMerge/>
            <w:shd w:val="clear" w:color="auto" w:fill="auto"/>
            <w:noWrap/>
            <w:vAlign w:val="center"/>
          </w:tcPr>
          <w:p w14:paraId="37737650" w14:textId="77777777" w:rsidR="004B5ABC" w:rsidRPr="004B5ABC" w:rsidRDefault="004B5ABC" w:rsidP="008E08D6">
            <w:pPr>
              <w:keepNext/>
              <w:suppressAutoHyphens w:val="0"/>
              <w:spacing w:line="240" w:lineRule="auto"/>
              <w:jc w:val="center"/>
              <w:rPr>
                <w:rFonts w:eastAsia="Times New Roman"/>
                <w:color w:val="000000"/>
                <w:spacing w:val="0"/>
                <w:w w:val="100"/>
                <w:kern w:val="0"/>
                <w:sz w:val="16"/>
                <w:szCs w:val="16"/>
              </w:rPr>
            </w:pPr>
          </w:p>
        </w:tc>
      </w:tr>
      <w:tr w:rsidR="00866202" w:rsidRPr="000E57AE" w14:paraId="2F2A94CF" w14:textId="77777777" w:rsidTr="000F1AB0">
        <w:trPr>
          <w:trHeight w:val="228"/>
        </w:trPr>
        <w:tc>
          <w:tcPr>
            <w:tcW w:w="1996" w:type="dxa"/>
            <w:shd w:val="clear" w:color="auto" w:fill="auto"/>
            <w:noWrap/>
            <w:vAlign w:val="center"/>
          </w:tcPr>
          <w:p w14:paraId="728B6CEF" w14:textId="635AE248" w:rsidR="00866202" w:rsidRPr="004B5ABC" w:rsidRDefault="00866202" w:rsidP="004B5ABC">
            <w:pPr>
              <w:keepNext/>
              <w:suppressAutoHyphens w:val="0"/>
              <w:spacing w:line="240" w:lineRule="auto"/>
              <w:rPr>
                <w:rFonts w:eastAsia="Times New Roman"/>
                <w:b/>
                <w:bCs/>
                <w:color w:val="000000"/>
                <w:spacing w:val="0"/>
                <w:w w:val="100"/>
                <w:kern w:val="0"/>
                <w:sz w:val="16"/>
                <w:szCs w:val="16"/>
              </w:rPr>
            </w:pPr>
            <w:r w:rsidRPr="004B5ABC">
              <w:rPr>
                <w:rFonts w:eastAsia="Times New Roman"/>
                <w:b/>
                <w:bCs/>
                <w:color w:val="000000"/>
                <w:spacing w:val="0"/>
                <w:w w:val="100"/>
                <w:kern w:val="0"/>
                <w:sz w:val="16"/>
                <w:szCs w:val="16"/>
              </w:rPr>
              <w:t>Donor Country Governments</w:t>
            </w:r>
          </w:p>
        </w:tc>
        <w:tc>
          <w:tcPr>
            <w:tcW w:w="884" w:type="dxa"/>
            <w:shd w:val="clear" w:color="auto" w:fill="auto"/>
            <w:noWrap/>
            <w:vAlign w:val="center"/>
          </w:tcPr>
          <w:p w14:paraId="69DF0EAC" w14:textId="60C9882C"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594</w:t>
            </w:r>
          </w:p>
        </w:tc>
        <w:tc>
          <w:tcPr>
            <w:tcW w:w="910" w:type="dxa"/>
            <w:shd w:val="clear" w:color="auto" w:fill="auto"/>
            <w:vAlign w:val="center"/>
          </w:tcPr>
          <w:p w14:paraId="00BF4373" w14:textId="76FEE94A"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1,463</w:t>
            </w:r>
          </w:p>
        </w:tc>
        <w:tc>
          <w:tcPr>
            <w:tcW w:w="898" w:type="dxa"/>
            <w:shd w:val="clear" w:color="auto" w:fill="auto"/>
            <w:vAlign w:val="center"/>
          </w:tcPr>
          <w:p w14:paraId="15A23021" w14:textId="05E78209"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2,057</w:t>
            </w:r>
          </w:p>
        </w:tc>
        <w:tc>
          <w:tcPr>
            <w:tcW w:w="897" w:type="dxa"/>
            <w:shd w:val="clear" w:color="auto" w:fill="auto"/>
            <w:noWrap/>
            <w:vAlign w:val="center"/>
          </w:tcPr>
          <w:p w14:paraId="2D42D472" w14:textId="47D676EE"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610</w:t>
            </w:r>
          </w:p>
        </w:tc>
        <w:tc>
          <w:tcPr>
            <w:tcW w:w="897" w:type="dxa"/>
            <w:shd w:val="clear" w:color="auto" w:fill="auto"/>
            <w:vAlign w:val="center"/>
          </w:tcPr>
          <w:p w14:paraId="5C4715A0" w14:textId="52F1F4B8"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1,517</w:t>
            </w:r>
          </w:p>
        </w:tc>
        <w:tc>
          <w:tcPr>
            <w:tcW w:w="898" w:type="dxa"/>
            <w:shd w:val="clear" w:color="auto" w:fill="auto"/>
            <w:vAlign w:val="center"/>
          </w:tcPr>
          <w:p w14:paraId="2E1AA590" w14:textId="39280C2A"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2,127</w:t>
            </w:r>
          </w:p>
        </w:tc>
        <w:tc>
          <w:tcPr>
            <w:tcW w:w="868" w:type="dxa"/>
            <w:shd w:val="clear" w:color="auto" w:fill="auto"/>
            <w:noWrap/>
            <w:vAlign w:val="center"/>
          </w:tcPr>
          <w:p w14:paraId="77DCEBD5" w14:textId="3B5F083F"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(70)</w:t>
            </w:r>
          </w:p>
        </w:tc>
        <w:tc>
          <w:tcPr>
            <w:tcW w:w="878" w:type="dxa"/>
            <w:shd w:val="clear" w:color="auto" w:fill="auto"/>
            <w:noWrap/>
            <w:vAlign w:val="center"/>
          </w:tcPr>
          <w:p w14:paraId="71504316" w14:textId="6ADAC3C0"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(3%)</w:t>
            </w:r>
          </w:p>
        </w:tc>
      </w:tr>
      <w:tr w:rsidR="00866202" w:rsidRPr="000E57AE" w14:paraId="0565BD62" w14:textId="77777777" w:rsidTr="000F1AB0">
        <w:trPr>
          <w:trHeight w:val="228"/>
        </w:trPr>
        <w:tc>
          <w:tcPr>
            <w:tcW w:w="1996" w:type="dxa"/>
            <w:shd w:val="clear" w:color="auto" w:fill="auto"/>
            <w:noWrap/>
            <w:vAlign w:val="center"/>
          </w:tcPr>
          <w:p w14:paraId="0F9B9FBF" w14:textId="234BE797" w:rsidR="00866202" w:rsidRPr="004B5ABC" w:rsidRDefault="00866202" w:rsidP="004B5ABC">
            <w:pPr>
              <w:keepNext/>
              <w:suppressAutoHyphens w:val="0"/>
              <w:spacing w:line="240" w:lineRule="auto"/>
              <w:rPr>
                <w:rFonts w:eastAsia="Times New Roman"/>
                <w:b/>
                <w:bCs/>
                <w:color w:val="000000"/>
                <w:spacing w:val="0"/>
                <w:w w:val="100"/>
                <w:kern w:val="0"/>
                <w:sz w:val="16"/>
                <w:szCs w:val="16"/>
              </w:rPr>
            </w:pPr>
            <w:r w:rsidRPr="004B5ABC">
              <w:rPr>
                <w:rFonts w:eastAsia="Times New Roman"/>
                <w:b/>
                <w:bCs/>
                <w:color w:val="000000"/>
                <w:spacing w:val="0"/>
                <w:w w:val="100"/>
                <w:kern w:val="0"/>
                <w:sz w:val="16"/>
                <w:szCs w:val="16"/>
              </w:rPr>
              <w:t>Programme Country Governments</w:t>
            </w:r>
          </w:p>
        </w:tc>
        <w:tc>
          <w:tcPr>
            <w:tcW w:w="884" w:type="dxa"/>
            <w:shd w:val="clear" w:color="auto" w:fill="auto"/>
            <w:noWrap/>
            <w:vAlign w:val="center"/>
          </w:tcPr>
          <w:p w14:paraId="604C0DFE" w14:textId="28286E8B"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22</w:t>
            </w:r>
          </w:p>
        </w:tc>
        <w:tc>
          <w:tcPr>
            <w:tcW w:w="910" w:type="dxa"/>
            <w:shd w:val="clear" w:color="auto" w:fill="auto"/>
            <w:vAlign w:val="center"/>
          </w:tcPr>
          <w:p w14:paraId="1947296D" w14:textId="35A1B24F"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84</w:t>
            </w:r>
            <w:r w:rsidR="00BE40AF">
              <w:rPr>
                <w:rFonts w:eastAsia="Times New Roman"/>
                <w:color w:val="000000"/>
                <w:spacing w:val="0"/>
                <w:w w:val="100"/>
                <w:kern w:val="0"/>
                <w:sz w:val="16"/>
                <w:szCs w:val="16"/>
              </w:rPr>
              <w:t>5</w:t>
            </w:r>
          </w:p>
        </w:tc>
        <w:tc>
          <w:tcPr>
            <w:tcW w:w="898" w:type="dxa"/>
            <w:shd w:val="clear" w:color="auto" w:fill="auto"/>
            <w:vAlign w:val="center"/>
          </w:tcPr>
          <w:p w14:paraId="02AC16D1" w14:textId="673ADB4D"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867</w:t>
            </w:r>
          </w:p>
        </w:tc>
        <w:tc>
          <w:tcPr>
            <w:tcW w:w="897" w:type="dxa"/>
            <w:shd w:val="clear" w:color="auto" w:fill="auto"/>
            <w:noWrap/>
            <w:vAlign w:val="center"/>
          </w:tcPr>
          <w:p w14:paraId="60C1BE89" w14:textId="424CD146"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13</w:t>
            </w:r>
          </w:p>
        </w:tc>
        <w:tc>
          <w:tcPr>
            <w:tcW w:w="897" w:type="dxa"/>
            <w:shd w:val="clear" w:color="auto" w:fill="auto"/>
            <w:vAlign w:val="center"/>
          </w:tcPr>
          <w:p w14:paraId="7A22D3F1" w14:textId="53F64D2D"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1,071</w:t>
            </w:r>
          </w:p>
        </w:tc>
        <w:tc>
          <w:tcPr>
            <w:tcW w:w="898" w:type="dxa"/>
            <w:shd w:val="clear" w:color="auto" w:fill="auto"/>
            <w:vAlign w:val="center"/>
          </w:tcPr>
          <w:p w14:paraId="740650F6" w14:textId="59626F8B"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1,084</w:t>
            </w:r>
          </w:p>
        </w:tc>
        <w:tc>
          <w:tcPr>
            <w:tcW w:w="868" w:type="dxa"/>
            <w:shd w:val="clear" w:color="auto" w:fill="auto"/>
            <w:noWrap/>
            <w:vAlign w:val="center"/>
          </w:tcPr>
          <w:p w14:paraId="03B771E1" w14:textId="732F61FE"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(217)</w:t>
            </w:r>
          </w:p>
        </w:tc>
        <w:tc>
          <w:tcPr>
            <w:tcW w:w="878" w:type="dxa"/>
            <w:shd w:val="clear" w:color="auto" w:fill="auto"/>
            <w:noWrap/>
            <w:vAlign w:val="center"/>
          </w:tcPr>
          <w:p w14:paraId="2F986BA1" w14:textId="38A4E80A"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(20%)</w:t>
            </w:r>
          </w:p>
        </w:tc>
      </w:tr>
      <w:tr w:rsidR="00866202" w:rsidRPr="000E57AE" w14:paraId="76C187D5" w14:textId="77777777" w:rsidTr="000F1AB0">
        <w:trPr>
          <w:trHeight w:val="228"/>
        </w:trPr>
        <w:tc>
          <w:tcPr>
            <w:tcW w:w="1996" w:type="dxa"/>
            <w:shd w:val="clear" w:color="auto" w:fill="auto"/>
            <w:noWrap/>
            <w:vAlign w:val="center"/>
          </w:tcPr>
          <w:p w14:paraId="2B1F0D6D" w14:textId="16A93EB4" w:rsidR="00866202" w:rsidRPr="004B5ABC" w:rsidRDefault="00866202" w:rsidP="004B5ABC">
            <w:pPr>
              <w:keepNext/>
              <w:suppressAutoHyphens w:val="0"/>
              <w:spacing w:line="240" w:lineRule="auto"/>
              <w:rPr>
                <w:rFonts w:eastAsia="Times New Roman"/>
                <w:b/>
                <w:bCs/>
                <w:color w:val="000000"/>
                <w:spacing w:val="0"/>
                <w:w w:val="100"/>
                <w:kern w:val="0"/>
                <w:sz w:val="16"/>
                <w:szCs w:val="16"/>
              </w:rPr>
            </w:pPr>
            <w:r w:rsidRPr="004B5ABC">
              <w:rPr>
                <w:rFonts w:eastAsia="Times New Roman"/>
                <w:b/>
                <w:bCs/>
                <w:color w:val="000000"/>
                <w:spacing w:val="0"/>
                <w:w w:val="100"/>
                <w:kern w:val="0"/>
                <w:sz w:val="16"/>
                <w:szCs w:val="16"/>
              </w:rPr>
              <w:t>Multilateral Partners</w:t>
            </w:r>
          </w:p>
        </w:tc>
        <w:tc>
          <w:tcPr>
            <w:tcW w:w="884" w:type="dxa"/>
            <w:shd w:val="clear" w:color="auto" w:fill="auto"/>
            <w:noWrap/>
            <w:vAlign w:val="center"/>
          </w:tcPr>
          <w:p w14:paraId="6152EA9C" w14:textId="221FA2FC"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w:t>
            </w:r>
          </w:p>
        </w:tc>
        <w:tc>
          <w:tcPr>
            <w:tcW w:w="910" w:type="dxa"/>
            <w:shd w:val="clear" w:color="auto" w:fill="auto"/>
            <w:vAlign w:val="center"/>
          </w:tcPr>
          <w:p w14:paraId="36C86F81" w14:textId="2DEFF516"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1,872</w:t>
            </w:r>
          </w:p>
        </w:tc>
        <w:tc>
          <w:tcPr>
            <w:tcW w:w="898" w:type="dxa"/>
            <w:shd w:val="clear" w:color="auto" w:fill="auto"/>
            <w:vAlign w:val="center"/>
          </w:tcPr>
          <w:p w14:paraId="3B721C8A" w14:textId="3D492E38"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1,872</w:t>
            </w:r>
          </w:p>
        </w:tc>
        <w:tc>
          <w:tcPr>
            <w:tcW w:w="897" w:type="dxa"/>
            <w:shd w:val="clear" w:color="auto" w:fill="auto"/>
            <w:noWrap/>
            <w:vAlign w:val="center"/>
          </w:tcPr>
          <w:p w14:paraId="44FF3E9C" w14:textId="199548BC"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w:t>
            </w:r>
          </w:p>
        </w:tc>
        <w:tc>
          <w:tcPr>
            <w:tcW w:w="897" w:type="dxa"/>
            <w:shd w:val="clear" w:color="auto" w:fill="auto"/>
            <w:vAlign w:val="center"/>
          </w:tcPr>
          <w:p w14:paraId="3CABC3A4" w14:textId="2D6A5D51"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1,962</w:t>
            </w:r>
          </w:p>
        </w:tc>
        <w:tc>
          <w:tcPr>
            <w:tcW w:w="898" w:type="dxa"/>
            <w:shd w:val="clear" w:color="auto" w:fill="auto"/>
            <w:vAlign w:val="center"/>
          </w:tcPr>
          <w:p w14:paraId="0BE20F11" w14:textId="20CB4355"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1,962</w:t>
            </w:r>
          </w:p>
        </w:tc>
        <w:tc>
          <w:tcPr>
            <w:tcW w:w="868" w:type="dxa"/>
            <w:shd w:val="clear" w:color="auto" w:fill="auto"/>
            <w:noWrap/>
            <w:vAlign w:val="center"/>
          </w:tcPr>
          <w:p w14:paraId="0F11BBA5" w14:textId="0D36AB07"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(90)</w:t>
            </w:r>
          </w:p>
        </w:tc>
        <w:tc>
          <w:tcPr>
            <w:tcW w:w="878" w:type="dxa"/>
            <w:shd w:val="clear" w:color="auto" w:fill="auto"/>
            <w:noWrap/>
            <w:vAlign w:val="center"/>
          </w:tcPr>
          <w:p w14:paraId="36585BAB" w14:textId="195D91A6"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(5%)</w:t>
            </w:r>
          </w:p>
        </w:tc>
      </w:tr>
      <w:tr w:rsidR="00866202" w:rsidRPr="000E57AE" w14:paraId="75CB9769" w14:textId="77777777" w:rsidTr="000F1AB0">
        <w:trPr>
          <w:trHeight w:val="228"/>
        </w:trPr>
        <w:tc>
          <w:tcPr>
            <w:tcW w:w="1996" w:type="dxa"/>
            <w:shd w:val="clear" w:color="auto" w:fill="auto"/>
            <w:noWrap/>
            <w:vAlign w:val="center"/>
          </w:tcPr>
          <w:p w14:paraId="7984F8FA" w14:textId="254075E7" w:rsidR="00866202" w:rsidRPr="004B5ABC" w:rsidRDefault="008E08D6" w:rsidP="004B5ABC">
            <w:pPr>
              <w:keepNext/>
              <w:suppressAutoHyphens w:val="0"/>
              <w:spacing w:line="240" w:lineRule="auto"/>
              <w:rPr>
                <w:rFonts w:eastAsia="Times New Roman"/>
                <w:b/>
                <w:bCs/>
                <w:color w:val="000000"/>
                <w:spacing w:val="0"/>
                <w:w w:val="100"/>
                <w:kern w:val="0"/>
                <w:sz w:val="16"/>
                <w:szCs w:val="16"/>
              </w:rPr>
            </w:pPr>
            <w:r w:rsidRPr="004B5ABC">
              <w:rPr>
                <w:rFonts w:eastAsia="Times New Roman"/>
                <w:b/>
                <w:bCs/>
                <w:color w:val="000000"/>
                <w:spacing w:val="0"/>
                <w:w w:val="100"/>
                <w:kern w:val="0"/>
                <w:sz w:val="16"/>
                <w:szCs w:val="16"/>
              </w:rPr>
              <w:t>Total</w:t>
            </w:r>
          </w:p>
        </w:tc>
        <w:tc>
          <w:tcPr>
            <w:tcW w:w="884" w:type="dxa"/>
            <w:shd w:val="clear" w:color="auto" w:fill="auto"/>
            <w:noWrap/>
            <w:vAlign w:val="center"/>
          </w:tcPr>
          <w:p w14:paraId="7D507FBC" w14:textId="0BBA4223"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616</w:t>
            </w:r>
            <w:r w:rsidR="00AA75E9" w:rsidRPr="00A157A7">
              <w:rPr>
                <w:rStyle w:val="FootnoteReference"/>
                <w:rFonts w:eastAsia="Times New Roman"/>
                <w:sz w:val="18"/>
                <w:szCs w:val="18"/>
              </w:rPr>
              <w:footnoteReference w:id="4"/>
            </w:r>
          </w:p>
        </w:tc>
        <w:tc>
          <w:tcPr>
            <w:tcW w:w="910" w:type="dxa"/>
            <w:shd w:val="clear" w:color="auto" w:fill="auto"/>
            <w:vAlign w:val="center"/>
          </w:tcPr>
          <w:p w14:paraId="3721E5AA" w14:textId="043BF347"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4,180</w:t>
            </w:r>
          </w:p>
        </w:tc>
        <w:tc>
          <w:tcPr>
            <w:tcW w:w="898" w:type="dxa"/>
            <w:shd w:val="clear" w:color="auto" w:fill="auto"/>
            <w:vAlign w:val="center"/>
          </w:tcPr>
          <w:p w14:paraId="73B0DA22" w14:textId="5AD322DB"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4,796</w:t>
            </w:r>
          </w:p>
        </w:tc>
        <w:tc>
          <w:tcPr>
            <w:tcW w:w="897" w:type="dxa"/>
            <w:shd w:val="clear" w:color="auto" w:fill="auto"/>
            <w:noWrap/>
            <w:vAlign w:val="center"/>
          </w:tcPr>
          <w:p w14:paraId="14414550" w14:textId="3EC3CEEA"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623</w:t>
            </w:r>
          </w:p>
        </w:tc>
        <w:tc>
          <w:tcPr>
            <w:tcW w:w="897" w:type="dxa"/>
            <w:shd w:val="clear" w:color="auto" w:fill="auto"/>
            <w:vAlign w:val="center"/>
          </w:tcPr>
          <w:p w14:paraId="39788949" w14:textId="161FFA98"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4,550</w:t>
            </w:r>
          </w:p>
        </w:tc>
        <w:tc>
          <w:tcPr>
            <w:tcW w:w="898" w:type="dxa"/>
            <w:shd w:val="clear" w:color="auto" w:fill="auto"/>
            <w:vAlign w:val="center"/>
          </w:tcPr>
          <w:p w14:paraId="55E30BAA" w14:textId="3C224538"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5,173</w:t>
            </w:r>
          </w:p>
        </w:tc>
        <w:tc>
          <w:tcPr>
            <w:tcW w:w="868" w:type="dxa"/>
            <w:shd w:val="clear" w:color="auto" w:fill="auto"/>
            <w:noWrap/>
            <w:vAlign w:val="center"/>
          </w:tcPr>
          <w:p w14:paraId="270CC4D6" w14:textId="53E18060"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(377)</w:t>
            </w:r>
          </w:p>
        </w:tc>
        <w:tc>
          <w:tcPr>
            <w:tcW w:w="878" w:type="dxa"/>
            <w:shd w:val="clear" w:color="auto" w:fill="auto"/>
            <w:noWrap/>
            <w:vAlign w:val="center"/>
          </w:tcPr>
          <w:p w14:paraId="2FE8171E" w14:textId="1BB7D9D3" w:rsidR="00866202" w:rsidRPr="004B5ABC" w:rsidRDefault="004B5ABC" w:rsidP="004B5ABC">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(7%)</w:t>
            </w:r>
          </w:p>
        </w:tc>
      </w:tr>
    </w:tbl>
    <w:p w14:paraId="02F218CC" w14:textId="1A2D855C" w:rsidR="00CA529F" w:rsidRPr="00C40704" w:rsidRDefault="00CA529F">
      <w:pPr>
        <w:suppressAutoHyphens w:val="0"/>
        <w:spacing w:line="240" w:lineRule="auto"/>
        <w:rPr>
          <w:b/>
          <w:lang w:val="en-US"/>
        </w:rPr>
      </w:pPr>
    </w:p>
    <w:p w14:paraId="3D573CA5" w14:textId="5A5CA668" w:rsidR="00966D33" w:rsidRPr="009D13F9" w:rsidRDefault="003E2000" w:rsidP="0040364B">
      <w:pPr>
        <w:keepNext/>
        <w:tabs>
          <w:tab w:val="left" w:pos="1260"/>
          <w:tab w:val="left" w:pos="1530"/>
        </w:tabs>
        <w:suppressAutoHyphens w:val="0"/>
        <w:spacing w:line="240" w:lineRule="auto"/>
        <w:jc w:val="center"/>
        <w:rPr>
          <w:b/>
          <w:highlight w:val="yellow"/>
        </w:rPr>
      </w:pPr>
      <w:r w:rsidRPr="5D788B90">
        <w:rPr>
          <w:b/>
          <w:bCs/>
        </w:rPr>
        <w:t xml:space="preserve">Figure </w:t>
      </w:r>
      <w:r w:rsidR="004D4DCC">
        <w:rPr>
          <w:b/>
          <w:bCs/>
        </w:rPr>
        <w:t>III</w:t>
      </w:r>
      <w:r w:rsidR="00442030">
        <w:rPr>
          <w:b/>
          <w:bCs/>
        </w:rPr>
        <w:t xml:space="preserve"> (</w:t>
      </w:r>
      <w:r w:rsidR="001703E6">
        <w:rPr>
          <w:b/>
          <w:bCs/>
        </w:rPr>
        <w:t>a</w:t>
      </w:r>
      <w:r w:rsidR="00442030">
        <w:rPr>
          <w:b/>
          <w:bCs/>
        </w:rPr>
        <w:t>)</w:t>
      </w:r>
      <w:r w:rsidRPr="5D788B90">
        <w:rPr>
          <w:b/>
          <w:bCs/>
        </w:rPr>
        <w:t xml:space="preserve">. </w:t>
      </w:r>
      <w:r w:rsidR="00E63925">
        <w:rPr>
          <w:b/>
          <w:bCs/>
        </w:rPr>
        <w:t xml:space="preserve">Annual </w:t>
      </w:r>
      <w:r w:rsidR="009B3563">
        <w:rPr>
          <w:b/>
          <w:bCs/>
        </w:rPr>
        <w:t>c</w:t>
      </w:r>
      <w:r w:rsidRPr="5D788B90">
        <w:rPr>
          <w:b/>
          <w:bCs/>
        </w:rPr>
        <w:t>ontributions by funding partners, 201</w:t>
      </w:r>
      <w:r w:rsidR="003710B5" w:rsidRPr="5D788B90">
        <w:rPr>
          <w:b/>
          <w:bCs/>
        </w:rPr>
        <w:t>9</w:t>
      </w:r>
    </w:p>
    <w:p w14:paraId="71EB135C" w14:textId="2F68CC15" w:rsidR="006B0A3A" w:rsidRDefault="006B0A3A" w:rsidP="006B0A3A">
      <w:pPr>
        <w:keepNext/>
        <w:tabs>
          <w:tab w:val="left" w:pos="1260"/>
          <w:tab w:val="left" w:pos="1530"/>
        </w:tabs>
        <w:suppressAutoHyphens w:val="0"/>
        <w:spacing w:line="240" w:lineRule="auto"/>
        <w:jc w:val="center"/>
        <w:rPr>
          <w:b/>
        </w:rPr>
      </w:pPr>
      <w:r w:rsidRPr="006F3826">
        <w:rPr>
          <w:i/>
        </w:rPr>
        <w:t xml:space="preserve">(in millions of </w:t>
      </w:r>
      <w:r>
        <w:rPr>
          <w:i/>
        </w:rPr>
        <w:t xml:space="preserve">United States </w:t>
      </w:r>
      <w:r w:rsidRPr="006F3826">
        <w:rPr>
          <w:i/>
        </w:rPr>
        <w:t>dollars)</w:t>
      </w:r>
    </w:p>
    <w:p w14:paraId="2B68A846" w14:textId="24A699FF" w:rsidR="00C16895" w:rsidRPr="00C40704" w:rsidRDefault="00C16895" w:rsidP="00C16895">
      <w:pPr>
        <w:suppressAutoHyphens w:val="0"/>
        <w:spacing w:line="240" w:lineRule="auto"/>
        <w:rPr>
          <w:b/>
          <w:lang w:val="en-US"/>
        </w:rPr>
      </w:pPr>
      <w:bookmarkStart w:id="244" w:name="_Toc46221132"/>
      <w:bookmarkStart w:id="245" w:name="_Toc46399197"/>
      <w:bookmarkStart w:id="246" w:name="_Toc39596242"/>
      <w:bookmarkStart w:id="247" w:name="_Toc40281191"/>
      <w:bookmarkStart w:id="248" w:name="_Toc40281350"/>
      <w:bookmarkStart w:id="249" w:name="_Toc44499877"/>
      <w:bookmarkStart w:id="250" w:name="_Toc44603225"/>
      <w:bookmarkStart w:id="251" w:name="_Toc44606538"/>
      <w:bookmarkStart w:id="252" w:name="_Toc45297424"/>
      <w:bookmarkStart w:id="253" w:name="_Hlk11936923"/>
      <w:r>
        <w:rPr>
          <w:noProof/>
        </w:rPr>
        <w:drawing>
          <wp:anchor distT="0" distB="0" distL="114300" distR="114300" simplePos="0" relativeHeight="251658250" behindDoc="1" locked="0" layoutInCell="1" allowOverlap="1" wp14:anchorId="2A42D82C" wp14:editId="73AB8787">
            <wp:simplePos x="0" y="0"/>
            <wp:positionH relativeFrom="column">
              <wp:posOffset>437515</wp:posOffset>
            </wp:positionH>
            <wp:positionV relativeFrom="paragraph">
              <wp:posOffset>77470</wp:posOffset>
            </wp:positionV>
            <wp:extent cx="5979795" cy="2828925"/>
            <wp:effectExtent l="0" t="0" r="1905" b="9525"/>
            <wp:wrapTight wrapText="bothSides">
              <wp:wrapPolygon edited="0">
                <wp:start x="0" y="0"/>
                <wp:lineTo x="0" y="21527"/>
                <wp:lineTo x="21538" y="21527"/>
                <wp:lineTo x="2153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4551"/>
                    <a:stretch/>
                  </pic:blipFill>
                  <pic:spPr bwMode="auto">
                    <a:xfrm>
                      <a:off x="0" y="0"/>
                      <a:ext cx="5979795" cy="2828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4A3AA1" w14:textId="31D86F5E" w:rsidR="006A1825" w:rsidRPr="00FA1EE2" w:rsidRDefault="006A1825" w:rsidP="00C16895">
      <w:pPr>
        <w:pStyle w:val="H4"/>
        <w:keepLines w:val="0"/>
        <w:tabs>
          <w:tab w:val="clear" w:pos="1742"/>
          <w:tab w:val="left" w:pos="1440"/>
          <w:tab w:val="left" w:pos="1620"/>
        </w:tabs>
        <w:spacing w:before="240" w:after="240" w:line="240" w:lineRule="auto"/>
        <w:ind w:left="979" w:firstLine="0"/>
        <w:outlineLvl w:val="2"/>
      </w:pPr>
      <w:r w:rsidRPr="00FA1EE2">
        <w:t>Government contributions to local office costs</w:t>
      </w:r>
      <w:bookmarkEnd w:id="244"/>
      <w:bookmarkEnd w:id="245"/>
      <w:r w:rsidRPr="00FA1EE2">
        <w:t xml:space="preserve"> </w:t>
      </w:r>
    </w:p>
    <w:p w14:paraId="4A940235" w14:textId="512C441A" w:rsidR="006A1825" w:rsidRPr="00FA1EE2" w:rsidRDefault="00E63890" w:rsidP="00C16895">
      <w:pPr>
        <w:pStyle w:val="SingleTxt"/>
        <w:keepNext/>
        <w:numPr>
          <w:ilvl w:val="0"/>
          <w:numId w:val="5"/>
        </w:numPr>
        <w:tabs>
          <w:tab w:val="clear" w:pos="1742"/>
          <w:tab w:val="clear" w:pos="2218"/>
          <w:tab w:val="left" w:pos="1530"/>
        </w:tabs>
        <w:spacing w:before="240" w:after="240" w:line="240" w:lineRule="auto"/>
      </w:pPr>
      <w:r>
        <w:t>Annual g</w:t>
      </w:r>
      <w:r w:rsidR="006A1825" w:rsidRPr="00FA1EE2">
        <w:t>overnment contributions to local office costs (GLOC) are an important source of revenue and can take the form of in-kind or cash contributions by host governments.</w:t>
      </w:r>
      <w:r w:rsidR="006A1825" w:rsidRPr="00FA1EE2" w:rsidDel="00736A50">
        <w:t xml:space="preserve"> </w:t>
      </w:r>
      <w:r w:rsidR="00603234">
        <w:t xml:space="preserve">In the low and middle-income </w:t>
      </w:r>
      <w:r w:rsidR="00DB1518">
        <w:t xml:space="preserve">countries </w:t>
      </w:r>
      <w:r w:rsidR="00603234">
        <w:t xml:space="preserve">categories, </w:t>
      </w:r>
      <w:r w:rsidR="006A1825" w:rsidRPr="00DE2E51">
        <w:t>$</w:t>
      </w:r>
      <w:r w:rsidR="008E3161" w:rsidRPr="00DE2E51">
        <w:t>26</w:t>
      </w:r>
      <w:r w:rsidR="006A1825" w:rsidRPr="00DE2E51">
        <w:t xml:space="preserve"> million was received in 201</w:t>
      </w:r>
      <w:r w:rsidR="00F46480" w:rsidRPr="00DE2E51">
        <w:t>9</w:t>
      </w:r>
      <w:r w:rsidR="00D52465">
        <w:t xml:space="preserve"> (2018</w:t>
      </w:r>
      <w:r w:rsidR="00B80CA7">
        <w:t xml:space="preserve">: </w:t>
      </w:r>
      <w:r w:rsidR="00513919">
        <w:t>33</w:t>
      </w:r>
      <w:r w:rsidR="00D52465">
        <w:t xml:space="preserve"> million)</w:t>
      </w:r>
      <w:r w:rsidR="007B61F2">
        <w:t xml:space="preserve">, </w:t>
      </w:r>
      <w:r w:rsidR="006A1825" w:rsidRPr="00FA1EE2">
        <w:t>consisting of cash contributions of $</w:t>
      </w:r>
      <w:r w:rsidR="009D2F19">
        <w:t>18</w:t>
      </w:r>
      <w:r w:rsidR="006A1825" w:rsidRPr="00FA1EE2">
        <w:t xml:space="preserve"> million</w:t>
      </w:r>
      <w:r w:rsidR="009D2F19">
        <w:t xml:space="preserve"> ($</w:t>
      </w:r>
      <w:r w:rsidR="008D087C">
        <w:t xml:space="preserve">13 million for 2019 targets and $5 million against arrears) and </w:t>
      </w:r>
      <w:r w:rsidR="006A1825" w:rsidRPr="00FA1EE2">
        <w:t>in-kind contributions of $</w:t>
      </w:r>
      <w:r w:rsidR="00513919">
        <w:t>8</w:t>
      </w:r>
      <w:r w:rsidR="006A1825" w:rsidRPr="00FA1EE2">
        <w:t xml:space="preserve"> million for premises and utilities</w:t>
      </w:r>
      <w:r w:rsidR="009D2F19">
        <w:t>.</w:t>
      </w:r>
      <w:r w:rsidR="006A1825" w:rsidRPr="00FA1EE2">
        <w:t xml:space="preserve"> The top 10 contributors are shown in figure </w:t>
      </w:r>
      <w:r w:rsidR="004D4DCC">
        <w:t>III</w:t>
      </w:r>
      <w:r w:rsidR="00442030">
        <w:t xml:space="preserve"> (</w:t>
      </w:r>
      <w:r w:rsidR="001703E6">
        <w:t>b</w:t>
      </w:r>
      <w:r w:rsidR="00442030">
        <w:t>)</w:t>
      </w:r>
      <w:r w:rsidR="006A1825" w:rsidRPr="00FA1EE2">
        <w:t xml:space="preserve">. </w:t>
      </w:r>
    </w:p>
    <w:p w14:paraId="228EF7E9" w14:textId="55F7ACC5" w:rsidR="006A1825" w:rsidRPr="006A1825" w:rsidRDefault="006A1825" w:rsidP="009D4BB3">
      <w:pPr>
        <w:keepNext/>
        <w:tabs>
          <w:tab w:val="left" w:pos="1260"/>
          <w:tab w:val="left" w:pos="1530"/>
        </w:tabs>
        <w:suppressAutoHyphens w:val="0"/>
        <w:spacing w:line="240" w:lineRule="auto"/>
        <w:jc w:val="center"/>
        <w:rPr>
          <w:rFonts w:eastAsiaTheme="minorHAnsi"/>
          <w:b/>
        </w:rPr>
      </w:pPr>
      <w:r w:rsidRPr="006A1825">
        <w:rPr>
          <w:rFonts w:eastAsiaTheme="minorHAnsi"/>
          <w:b/>
        </w:rPr>
        <w:t xml:space="preserve">Figure </w:t>
      </w:r>
      <w:r w:rsidR="004D4DCC">
        <w:rPr>
          <w:rFonts w:eastAsiaTheme="minorHAnsi"/>
          <w:b/>
        </w:rPr>
        <w:t>II</w:t>
      </w:r>
      <w:r w:rsidR="00442030">
        <w:rPr>
          <w:rFonts w:eastAsiaTheme="minorHAnsi"/>
          <w:b/>
        </w:rPr>
        <w:t>I (</w:t>
      </w:r>
      <w:r w:rsidR="001703E6">
        <w:rPr>
          <w:rFonts w:eastAsiaTheme="minorHAnsi"/>
          <w:b/>
        </w:rPr>
        <w:t>b</w:t>
      </w:r>
      <w:r w:rsidR="00442030">
        <w:rPr>
          <w:rFonts w:eastAsiaTheme="minorHAnsi"/>
          <w:b/>
        </w:rPr>
        <w:t>)</w:t>
      </w:r>
      <w:r w:rsidRPr="006A1825">
        <w:rPr>
          <w:rFonts w:eastAsiaTheme="minorHAnsi"/>
          <w:b/>
        </w:rPr>
        <w:t xml:space="preserve">. </w:t>
      </w:r>
      <w:r w:rsidR="00783861">
        <w:rPr>
          <w:rFonts w:eastAsiaTheme="minorHAnsi"/>
          <w:b/>
        </w:rPr>
        <w:t xml:space="preserve">Annual </w:t>
      </w:r>
      <w:r w:rsidRPr="006A1825">
        <w:rPr>
          <w:rFonts w:eastAsiaTheme="minorHAnsi"/>
          <w:b/>
        </w:rPr>
        <w:t>GLOC contributions by top 10 host governments, 201</w:t>
      </w:r>
      <w:r w:rsidR="00B218FB">
        <w:rPr>
          <w:rFonts w:eastAsiaTheme="minorHAnsi"/>
          <w:b/>
        </w:rPr>
        <w:t>9</w:t>
      </w:r>
    </w:p>
    <w:p w14:paraId="61C95DFD" w14:textId="5BF6E23D" w:rsidR="006A1825" w:rsidRPr="0036107E" w:rsidRDefault="00C16895" w:rsidP="009D4BB3">
      <w:pPr>
        <w:keepNext/>
        <w:tabs>
          <w:tab w:val="left" w:pos="1267"/>
          <w:tab w:val="left" w:pos="1620"/>
          <w:tab w:val="left" w:pos="2218"/>
          <w:tab w:val="left" w:pos="2693"/>
          <w:tab w:val="left" w:pos="3182"/>
          <w:tab w:val="left" w:pos="3658"/>
          <w:tab w:val="left" w:pos="4133"/>
          <w:tab w:val="left" w:pos="4622"/>
          <w:tab w:val="left" w:pos="5098"/>
          <w:tab w:val="left" w:pos="5573"/>
          <w:tab w:val="left" w:pos="6048"/>
        </w:tabs>
        <w:spacing w:after="120"/>
        <w:ind w:left="1260" w:right="1267"/>
        <w:jc w:val="both"/>
        <w:rPr>
          <w:rFonts w:eastAsiaTheme="minorHAnsi"/>
          <w:bCs/>
          <w:spacing w:val="2"/>
        </w:rPr>
      </w:pPr>
      <w:r>
        <w:rPr>
          <w:noProof/>
        </w:rPr>
        <w:drawing>
          <wp:anchor distT="0" distB="0" distL="114300" distR="114300" simplePos="0" relativeHeight="251658243" behindDoc="1" locked="0" layoutInCell="1" allowOverlap="1" wp14:anchorId="2AD0A9C1" wp14:editId="7267F387">
            <wp:simplePos x="0" y="0"/>
            <wp:positionH relativeFrom="column">
              <wp:posOffset>466725</wp:posOffset>
            </wp:positionH>
            <wp:positionV relativeFrom="paragraph">
              <wp:posOffset>187325</wp:posOffset>
            </wp:positionV>
            <wp:extent cx="5705475" cy="2362200"/>
            <wp:effectExtent l="0" t="0" r="9525" b="0"/>
            <wp:wrapSquare wrapText="bothSides"/>
            <wp:docPr id="758228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5705475" cy="2362200"/>
                    </a:xfrm>
                    <a:prstGeom prst="rect">
                      <a:avLst/>
                    </a:prstGeom>
                  </pic:spPr>
                </pic:pic>
              </a:graphicData>
            </a:graphic>
            <wp14:sizeRelH relativeFrom="page">
              <wp14:pctWidth>0</wp14:pctWidth>
            </wp14:sizeRelH>
            <wp14:sizeRelV relativeFrom="page">
              <wp14:pctHeight>0</wp14:pctHeight>
            </wp14:sizeRelV>
          </wp:anchor>
        </w:drawing>
      </w:r>
      <w:r w:rsidR="006A1825" w:rsidRPr="006A1825">
        <w:rPr>
          <w:rFonts w:eastAsiaTheme="minorHAnsi"/>
          <w:b/>
          <w:spacing w:val="2"/>
        </w:rPr>
        <w:tab/>
      </w:r>
      <w:r w:rsidR="006A1825" w:rsidRPr="006A1825">
        <w:rPr>
          <w:rFonts w:eastAsiaTheme="minorHAnsi"/>
          <w:b/>
          <w:spacing w:val="2"/>
        </w:rPr>
        <w:tab/>
      </w:r>
      <w:r w:rsidR="006A1825" w:rsidRPr="006A1825">
        <w:rPr>
          <w:rFonts w:eastAsiaTheme="minorHAnsi"/>
          <w:b/>
          <w:spacing w:val="2"/>
        </w:rPr>
        <w:tab/>
      </w:r>
      <w:r w:rsidR="006A1825" w:rsidRPr="006A1825">
        <w:rPr>
          <w:rFonts w:eastAsiaTheme="minorHAnsi"/>
          <w:b/>
          <w:spacing w:val="2"/>
        </w:rPr>
        <w:tab/>
      </w:r>
      <w:r w:rsidR="006A1825" w:rsidRPr="006A1825">
        <w:rPr>
          <w:rFonts w:eastAsiaTheme="minorHAnsi"/>
          <w:b/>
          <w:spacing w:val="2"/>
        </w:rPr>
        <w:tab/>
      </w:r>
      <w:r w:rsidR="006A1825" w:rsidRPr="006A1825">
        <w:rPr>
          <w:rFonts w:eastAsiaTheme="minorHAnsi"/>
          <w:b/>
          <w:spacing w:val="2"/>
        </w:rPr>
        <w:tab/>
      </w:r>
      <w:r w:rsidR="006A1825" w:rsidRPr="2044B914">
        <w:rPr>
          <w:rFonts w:eastAsiaTheme="minorEastAsia"/>
        </w:rPr>
        <w:t xml:space="preserve"> (in millions of dollars)</w:t>
      </w:r>
    </w:p>
    <w:p w14:paraId="636FF774" w14:textId="2B304CBF" w:rsidR="006A1825" w:rsidRPr="00FA1EE2" w:rsidRDefault="006A1825" w:rsidP="00B074D9">
      <w:pPr>
        <w:pStyle w:val="SingleTxt"/>
        <w:numPr>
          <w:ilvl w:val="0"/>
          <w:numId w:val="5"/>
        </w:numPr>
        <w:tabs>
          <w:tab w:val="clear" w:pos="1742"/>
          <w:tab w:val="clear" w:pos="2218"/>
          <w:tab w:val="left" w:pos="1530"/>
        </w:tabs>
        <w:spacing w:before="240" w:after="240" w:line="240" w:lineRule="auto"/>
      </w:pPr>
      <w:r w:rsidRPr="00FA1EE2">
        <w:t xml:space="preserve">Tables 8(a), 8(b) and 8(c) in </w:t>
      </w:r>
      <w:r w:rsidR="00E63890">
        <w:t>appendix VI</w:t>
      </w:r>
      <w:r w:rsidRPr="00FA1EE2">
        <w:t xml:space="preserve"> provide information on 201</w:t>
      </w:r>
      <w:r w:rsidR="00D57D61">
        <w:t>9</w:t>
      </w:r>
      <w:r w:rsidRPr="00FA1EE2">
        <w:t xml:space="preserve"> government cash contributions to local office costs in regular resources by countries in low and middle-income categories, cumulative arrears, and contributions towards arrears. </w:t>
      </w:r>
    </w:p>
    <w:p w14:paraId="5974FB8D" w14:textId="77777777" w:rsidR="006A1825" w:rsidRPr="00FA1EE2" w:rsidRDefault="006A1825" w:rsidP="00FA1EE2">
      <w:pPr>
        <w:pStyle w:val="H4"/>
        <w:tabs>
          <w:tab w:val="clear" w:pos="1742"/>
          <w:tab w:val="left" w:pos="1440"/>
          <w:tab w:val="left" w:pos="1620"/>
        </w:tabs>
        <w:spacing w:before="240" w:after="240" w:line="240" w:lineRule="auto"/>
        <w:ind w:left="983" w:firstLine="0"/>
        <w:outlineLvl w:val="2"/>
      </w:pPr>
      <w:bookmarkStart w:id="254" w:name="_Toc46221133"/>
      <w:bookmarkStart w:id="255" w:name="_Toc46399198"/>
      <w:bookmarkStart w:id="256" w:name="_Hlk12016568"/>
      <w:r w:rsidRPr="00FA1EE2">
        <w:t>Net contributor country contributions</w:t>
      </w:r>
      <w:bookmarkEnd w:id="254"/>
      <w:bookmarkEnd w:id="255"/>
    </w:p>
    <w:p w14:paraId="77E324F7" w14:textId="65D2C4AE" w:rsidR="006A1825" w:rsidRPr="009D4BB3" w:rsidRDefault="006A1825" w:rsidP="00B074D9">
      <w:pPr>
        <w:pStyle w:val="SingleTxt"/>
        <w:numPr>
          <w:ilvl w:val="0"/>
          <w:numId w:val="5"/>
        </w:numPr>
        <w:tabs>
          <w:tab w:val="clear" w:pos="1742"/>
          <w:tab w:val="clear" w:pos="2218"/>
          <w:tab w:val="left" w:pos="1530"/>
        </w:tabs>
        <w:spacing w:before="240" w:after="240" w:line="240" w:lineRule="auto"/>
      </w:pPr>
      <w:r w:rsidRPr="009D4BB3">
        <w:t>Net contributor programme country governments contributed $</w:t>
      </w:r>
      <w:r w:rsidR="006947F0">
        <w:t>8</w:t>
      </w:r>
      <w:r w:rsidRPr="009D4BB3">
        <w:t xml:space="preserve"> million</w:t>
      </w:r>
      <w:r w:rsidR="00795EF4">
        <w:t xml:space="preserve">, the same level </w:t>
      </w:r>
      <w:r w:rsidR="00AF5C82">
        <w:t xml:space="preserve">as </w:t>
      </w:r>
      <w:r w:rsidR="0040200C">
        <w:t>2018</w:t>
      </w:r>
      <w:r w:rsidR="00795EF4">
        <w:t>.</w:t>
      </w:r>
      <w:r w:rsidRPr="009D4BB3">
        <w:t xml:space="preserve"> (See details in </w:t>
      </w:r>
      <w:r w:rsidR="00E63890">
        <w:t>appendix VI</w:t>
      </w:r>
      <w:r w:rsidRPr="009D4BB3">
        <w:t>).</w:t>
      </w:r>
    </w:p>
    <w:p w14:paraId="600E0247" w14:textId="77777777" w:rsidR="006A1825" w:rsidRPr="00FA1EE2" w:rsidRDefault="006A1825" w:rsidP="00FA1EE2">
      <w:pPr>
        <w:pStyle w:val="H4"/>
        <w:tabs>
          <w:tab w:val="clear" w:pos="1742"/>
          <w:tab w:val="left" w:pos="1440"/>
          <w:tab w:val="left" w:pos="1620"/>
        </w:tabs>
        <w:spacing w:before="240" w:after="240" w:line="240" w:lineRule="auto"/>
        <w:ind w:left="983" w:firstLine="0"/>
        <w:outlineLvl w:val="2"/>
      </w:pPr>
      <w:bookmarkStart w:id="257" w:name="_Toc46221134"/>
      <w:bookmarkStart w:id="258" w:name="_Toc46399199"/>
      <w:r w:rsidRPr="00FA1EE2">
        <w:t>Upper-middle income country contributions</w:t>
      </w:r>
      <w:bookmarkEnd w:id="257"/>
      <w:bookmarkEnd w:id="258"/>
    </w:p>
    <w:p w14:paraId="147A4306" w14:textId="3F89F5B7" w:rsidR="006A1825" w:rsidRPr="009D4BB3" w:rsidRDefault="006A1825" w:rsidP="00B074D9">
      <w:pPr>
        <w:pStyle w:val="SingleTxt"/>
        <w:numPr>
          <w:ilvl w:val="0"/>
          <w:numId w:val="5"/>
        </w:numPr>
        <w:tabs>
          <w:tab w:val="clear" w:pos="1742"/>
          <w:tab w:val="clear" w:pos="2218"/>
          <w:tab w:val="left" w:pos="1530"/>
        </w:tabs>
        <w:spacing w:before="240" w:after="240" w:line="240" w:lineRule="auto"/>
      </w:pPr>
      <w:r w:rsidRPr="009D4BB3">
        <w:t>Contributions from Upper-middle income programme countries with GNI per capita above $6,660 contributed $</w:t>
      </w:r>
      <w:r w:rsidR="007A7911">
        <w:t>9</w:t>
      </w:r>
      <w:r w:rsidRPr="009D4BB3">
        <w:t xml:space="preserve"> million, </w:t>
      </w:r>
      <w:r w:rsidR="007A7911">
        <w:t xml:space="preserve">also </w:t>
      </w:r>
      <w:r w:rsidR="00723FB6">
        <w:t xml:space="preserve">at </w:t>
      </w:r>
      <w:r w:rsidR="007A7911">
        <w:t xml:space="preserve">the same level </w:t>
      </w:r>
      <w:r w:rsidR="00AF5C82">
        <w:t xml:space="preserve">as </w:t>
      </w:r>
      <w:r w:rsidR="00723FB6">
        <w:t>2018</w:t>
      </w:r>
      <w:r w:rsidRPr="009D4BB3">
        <w:t xml:space="preserve">. (See details provided in </w:t>
      </w:r>
      <w:r w:rsidR="00E63890">
        <w:t>appendix VI</w:t>
      </w:r>
      <w:r w:rsidRPr="009D4BB3">
        <w:t xml:space="preserve">). </w:t>
      </w:r>
    </w:p>
    <w:p w14:paraId="25BDE8DC" w14:textId="51AB0973" w:rsidR="007C4920" w:rsidRPr="009E5F63" w:rsidRDefault="007C4920" w:rsidP="00FE544A">
      <w:pPr>
        <w:pStyle w:val="H4"/>
        <w:tabs>
          <w:tab w:val="clear" w:pos="1742"/>
          <w:tab w:val="left" w:pos="1440"/>
          <w:tab w:val="left" w:pos="1620"/>
        </w:tabs>
        <w:spacing w:before="240" w:after="240" w:line="240" w:lineRule="auto"/>
        <w:ind w:left="1008" w:firstLine="0"/>
        <w:outlineLvl w:val="2"/>
      </w:pPr>
      <w:bookmarkStart w:id="259" w:name="_Toc46221135"/>
      <w:bookmarkStart w:id="260" w:name="_Toc46399200"/>
      <w:bookmarkEnd w:id="256"/>
      <w:r w:rsidRPr="000E57AE">
        <w:t>Investment revenue</w:t>
      </w:r>
      <w:bookmarkEnd w:id="246"/>
      <w:bookmarkEnd w:id="247"/>
      <w:bookmarkEnd w:id="248"/>
      <w:bookmarkEnd w:id="249"/>
      <w:bookmarkEnd w:id="250"/>
      <w:bookmarkEnd w:id="251"/>
      <w:bookmarkEnd w:id="252"/>
      <w:bookmarkEnd w:id="259"/>
      <w:bookmarkEnd w:id="260"/>
    </w:p>
    <w:bookmarkEnd w:id="253"/>
    <w:p w14:paraId="019B1160" w14:textId="2AA45688" w:rsidR="003F0C38" w:rsidRDefault="003F0C38"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0E57AE">
        <w:t xml:space="preserve">Total investment revenue </w:t>
      </w:r>
      <w:r w:rsidR="00916DA8" w:rsidRPr="000E57AE">
        <w:t>rose in 201</w:t>
      </w:r>
      <w:r w:rsidR="007600A4">
        <w:t>9</w:t>
      </w:r>
      <w:r w:rsidR="00916DA8" w:rsidRPr="000E57AE">
        <w:t xml:space="preserve"> </w:t>
      </w:r>
      <w:r w:rsidRPr="000E57AE">
        <w:t>to $</w:t>
      </w:r>
      <w:r w:rsidR="00CF4642">
        <w:t>167</w:t>
      </w:r>
      <w:r w:rsidRPr="000E57AE">
        <w:t xml:space="preserve"> million (201</w:t>
      </w:r>
      <w:r w:rsidR="00CF4642">
        <w:t>8</w:t>
      </w:r>
      <w:r w:rsidR="00220D90">
        <w:t xml:space="preserve"> (restated)</w:t>
      </w:r>
      <w:r w:rsidRPr="000E57AE">
        <w:t xml:space="preserve">: </w:t>
      </w:r>
      <w:r w:rsidR="00375980" w:rsidRPr="000E57AE">
        <w:t>$</w:t>
      </w:r>
      <w:r w:rsidR="00220D90">
        <w:t>134</w:t>
      </w:r>
      <w:r w:rsidRPr="000E57AE">
        <w:t xml:space="preserve"> million). Th</w:t>
      </w:r>
      <w:r w:rsidR="00916DA8" w:rsidRPr="000E57AE">
        <w:t>is</w:t>
      </w:r>
      <w:r w:rsidRPr="000E57AE">
        <w:t xml:space="preserve"> increase of $</w:t>
      </w:r>
      <w:r w:rsidR="00472C2B">
        <w:t>33</w:t>
      </w:r>
      <w:r w:rsidRPr="000E57AE">
        <w:t xml:space="preserve"> million </w:t>
      </w:r>
      <w:r w:rsidR="00463DA9" w:rsidRPr="000E57AE">
        <w:t>(</w:t>
      </w:r>
      <w:r w:rsidR="00472C2B">
        <w:t>25</w:t>
      </w:r>
      <w:r w:rsidR="0078286C" w:rsidRPr="000E57AE">
        <w:t xml:space="preserve"> per cent</w:t>
      </w:r>
      <w:r w:rsidR="00463DA9" w:rsidRPr="000E57AE">
        <w:t xml:space="preserve">) </w:t>
      </w:r>
      <w:r w:rsidR="009F72A2">
        <w:t xml:space="preserve">was a result of </w:t>
      </w:r>
      <w:r w:rsidR="0087687D" w:rsidRPr="0087687D">
        <w:t xml:space="preserve">increasing interest rates and UNDP’s ability to re-invest maturing investments at higher rates.  </w:t>
      </w:r>
    </w:p>
    <w:p w14:paraId="46641602" w14:textId="1AFE6AFA" w:rsidR="00ED4FEC" w:rsidRPr="000E57AE" w:rsidRDefault="00ED4FEC"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24231D">
        <w:rPr>
          <w:i/>
          <w:iCs/>
        </w:rPr>
        <w:t>Hedging programme</w:t>
      </w:r>
      <w:r>
        <w:t xml:space="preserve"> - </w:t>
      </w:r>
      <w:r w:rsidRPr="0024231D">
        <w:t>UNDP’s hedging strategy resulted in a foreign exchange gain of $1 million (2018: $18 million loss). Enhanced programme budgeting and strengthened multi</w:t>
      </w:r>
      <w:r w:rsidR="00A42B8D">
        <w:t>-</w:t>
      </w:r>
      <w:r w:rsidRPr="0024231D">
        <w:t xml:space="preserve">year partnership frameworks will continue to help align inflows and outflows in foreign currencies and contribute to the reduction of currency risk exposure.    </w:t>
      </w:r>
      <w:r w:rsidRPr="0087687D">
        <w:t xml:space="preserve"> </w:t>
      </w:r>
    </w:p>
    <w:p w14:paraId="34F62DFF" w14:textId="77777777" w:rsidR="00E95B4E" w:rsidRPr="009E5F63" w:rsidRDefault="00A92795" w:rsidP="00FE544A">
      <w:pPr>
        <w:pStyle w:val="H4"/>
        <w:tabs>
          <w:tab w:val="clear" w:pos="1742"/>
          <w:tab w:val="left" w:pos="1440"/>
          <w:tab w:val="left" w:pos="1620"/>
        </w:tabs>
        <w:spacing w:before="240" w:after="240" w:line="240" w:lineRule="auto"/>
        <w:ind w:left="1008" w:firstLine="0"/>
        <w:outlineLvl w:val="2"/>
      </w:pPr>
      <w:bookmarkStart w:id="261" w:name="_Toc39596243"/>
      <w:bookmarkStart w:id="262" w:name="_Toc40281192"/>
      <w:bookmarkStart w:id="263" w:name="_Toc40281351"/>
      <w:bookmarkStart w:id="264" w:name="_Toc44499878"/>
      <w:bookmarkStart w:id="265" w:name="_Toc44603226"/>
      <w:bookmarkStart w:id="266" w:name="_Toc44606539"/>
      <w:bookmarkStart w:id="267" w:name="_Toc45297425"/>
      <w:bookmarkStart w:id="268" w:name="_Toc46221136"/>
      <w:bookmarkStart w:id="269" w:name="_Toc46399201"/>
      <w:r w:rsidRPr="000E57AE">
        <w:t xml:space="preserve">Other </w:t>
      </w:r>
      <w:r w:rsidR="00E95B4E" w:rsidRPr="000E57AE">
        <w:t>revenue</w:t>
      </w:r>
      <w:bookmarkEnd w:id="261"/>
      <w:bookmarkEnd w:id="262"/>
      <w:bookmarkEnd w:id="263"/>
      <w:bookmarkEnd w:id="264"/>
      <w:bookmarkEnd w:id="265"/>
      <w:bookmarkEnd w:id="266"/>
      <w:bookmarkEnd w:id="267"/>
      <w:bookmarkEnd w:id="268"/>
      <w:bookmarkEnd w:id="269"/>
    </w:p>
    <w:p w14:paraId="634F6A39" w14:textId="1294BAD4" w:rsidR="000A16B4" w:rsidRPr="000E57AE" w:rsidRDefault="00763E87"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0E57AE">
        <w:t xml:space="preserve">Other revenue </w:t>
      </w:r>
      <w:r w:rsidR="00AE0615">
        <w:t>totalled</w:t>
      </w:r>
      <w:r w:rsidRPr="000E57AE">
        <w:t xml:space="preserve"> </w:t>
      </w:r>
      <w:r w:rsidRPr="00B24C67">
        <w:t>$44</w:t>
      </w:r>
      <w:r w:rsidR="002B640E">
        <w:t>5</w:t>
      </w:r>
      <w:r w:rsidRPr="00B24C67">
        <w:t xml:space="preserve"> million (2018 (restated): $45</w:t>
      </w:r>
      <w:r w:rsidR="002B640E">
        <w:t>6</w:t>
      </w:r>
      <w:r w:rsidRPr="00B24C67">
        <w:t xml:space="preserve"> million),</w:t>
      </w:r>
      <w:r w:rsidRPr="000E57AE">
        <w:t xml:space="preserve"> mainly </w:t>
      </w:r>
      <w:r>
        <w:t xml:space="preserve">consisting of: </w:t>
      </w:r>
      <w:r w:rsidRPr="000E57AE">
        <w:t xml:space="preserve">cost recovery revenue of </w:t>
      </w:r>
      <w:r w:rsidRPr="00D76B4C">
        <w:t xml:space="preserve">$354 million; for instance, </w:t>
      </w:r>
      <w:r w:rsidRPr="005B3E02">
        <w:t xml:space="preserve">$58 million revenue for </w:t>
      </w:r>
      <w:r>
        <w:t>providing service</w:t>
      </w:r>
      <w:r w:rsidR="00FF7362">
        <w:t xml:space="preserve">s to </w:t>
      </w:r>
      <w:r w:rsidR="00DC68B6" w:rsidRPr="005B3E02">
        <w:t xml:space="preserve">the </w:t>
      </w:r>
      <w:r w:rsidR="004D1B05" w:rsidRPr="005B3E02">
        <w:t>United Nations system</w:t>
      </w:r>
      <w:r w:rsidR="00DC68B6" w:rsidRPr="005B3E02">
        <w:t>;</w:t>
      </w:r>
      <w:r w:rsidR="004D1B05" w:rsidRPr="005B3E02">
        <w:t xml:space="preserve"> and miscellaneous revenue</w:t>
      </w:r>
      <w:r w:rsidR="00DC68B6" w:rsidRPr="005B3E02">
        <w:t>,</w:t>
      </w:r>
      <w:r w:rsidR="004D1B05" w:rsidRPr="005B3E02">
        <w:t xml:space="preserve"> such as </w:t>
      </w:r>
      <w:r w:rsidR="00D25006" w:rsidRPr="005B3E02">
        <w:t>foreign exchange gains</w:t>
      </w:r>
      <w:r w:rsidR="00C81BD4" w:rsidRPr="005B3E02">
        <w:t>.</w:t>
      </w:r>
    </w:p>
    <w:p w14:paraId="78AB0932" w14:textId="77777777" w:rsidR="00A1057B" w:rsidRPr="003367B9" w:rsidRDefault="00A1057B" w:rsidP="00FE544A">
      <w:pPr>
        <w:pStyle w:val="H4"/>
        <w:tabs>
          <w:tab w:val="clear" w:pos="1267"/>
          <w:tab w:val="clear" w:pos="1742"/>
          <w:tab w:val="left" w:pos="1260"/>
          <w:tab w:val="left" w:pos="1440"/>
          <w:tab w:val="left" w:pos="1620"/>
        </w:tabs>
        <w:spacing w:before="240" w:after="240" w:line="240" w:lineRule="auto"/>
        <w:ind w:left="1008" w:firstLine="0"/>
        <w:outlineLvl w:val="2"/>
      </w:pPr>
      <w:bookmarkStart w:id="270" w:name="_Toc39596244"/>
      <w:bookmarkStart w:id="271" w:name="_Toc40281193"/>
      <w:bookmarkStart w:id="272" w:name="_Toc40281352"/>
      <w:bookmarkStart w:id="273" w:name="_Toc44499879"/>
      <w:bookmarkStart w:id="274" w:name="_Toc44603227"/>
      <w:bookmarkStart w:id="275" w:name="_Toc44606540"/>
      <w:bookmarkStart w:id="276" w:name="_Toc45297426"/>
      <w:bookmarkStart w:id="277" w:name="_Toc46221137"/>
      <w:bookmarkStart w:id="278" w:name="_Toc46399202"/>
      <w:r w:rsidRPr="003367B9">
        <w:t>Cost-recovery</w:t>
      </w:r>
      <w:bookmarkEnd w:id="270"/>
      <w:bookmarkEnd w:id="271"/>
      <w:bookmarkEnd w:id="272"/>
      <w:bookmarkEnd w:id="273"/>
      <w:bookmarkEnd w:id="274"/>
      <w:bookmarkEnd w:id="275"/>
      <w:bookmarkEnd w:id="276"/>
      <w:bookmarkEnd w:id="277"/>
      <w:bookmarkEnd w:id="278"/>
      <w:r w:rsidRPr="003367B9">
        <w:t xml:space="preserve"> </w:t>
      </w:r>
    </w:p>
    <w:p w14:paraId="38E1CB71" w14:textId="77777777" w:rsidR="00A1057B" w:rsidRPr="003367B9" w:rsidRDefault="00A1057B"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3367B9">
        <w:t xml:space="preserve">UNDP made every effort to recover the general management </w:t>
      </w:r>
      <w:r w:rsidR="00EC5363" w:rsidRPr="003367B9">
        <w:t xml:space="preserve">support </w:t>
      </w:r>
      <w:r w:rsidRPr="003367B9">
        <w:t>and implementation costs associated with the delivery of other resources-funded programmes and projects and with United Nations entities.</w:t>
      </w:r>
    </w:p>
    <w:p w14:paraId="0B120D1F" w14:textId="2E04AA41" w:rsidR="00916C5F" w:rsidRPr="003367B9" w:rsidRDefault="00916C5F"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3367B9">
        <w:t xml:space="preserve">UNDP recovered $240 million through general management support service fees, $1 million higher than in 2018, suggesting that incentives to help country offices improve revenue management were effective. Total cost recovery revenue decreased by 3 per cent to $354 million, (2018: $365 million), reflecting a change in mix of resources. Table 3 shows the breakdown of these revenues. </w:t>
      </w:r>
    </w:p>
    <w:p w14:paraId="32989ED6" w14:textId="14D35D8C" w:rsidR="00A1057B" w:rsidRPr="008F3B8D" w:rsidRDefault="00A1057B" w:rsidP="003F5F37">
      <w:pPr>
        <w:pStyle w:val="H23"/>
        <w:jc w:val="center"/>
        <w:outlineLvl w:val="9"/>
      </w:pPr>
      <w:r w:rsidRPr="000E57AE">
        <w:t xml:space="preserve">                   </w:t>
      </w:r>
      <w:r w:rsidRPr="008F3B8D">
        <w:t xml:space="preserve">Table </w:t>
      </w:r>
      <w:r w:rsidR="00FA1E51" w:rsidRPr="008F3B8D">
        <w:t>3</w:t>
      </w:r>
      <w:r w:rsidRPr="008F3B8D">
        <w:t>. Cost recovery, 201</w:t>
      </w:r>
      <w:r w:rsidR="00B01329" w:rsidRPr="008F3B8D">
        <w:t>9</w:t>
      </w:r>
    </w:p>
    <w:p w14:paraId="24124991" w14:textId="298E7E96" w:rsidR="00A1057B" w:rsidRPr="008F3B8D" w:rsidRDefault="00A1057B" w:rsidP="003F5F37">
      <w:pPr>
        <w:pStyle w:val="SingleTxt"/>
        <w:keepNext/>
        <w:keepLines/>
        <w:spacing w:after="0" w:line="200" w:lineRule="exact"/>
        <w:jc w:val="center"/>
        <w:rPr>
          <w:i/>
          <w:spacing w:val="2"/>
        </w:rPr>
      </w:pPr>
      <w:r w:rsidRPr="008F3B8D">
        <w:rPr>
          <w:i/>
          <w:spacing w:val="2"/>
        </w:rPr>
        <w:t xml:space="preserve">(in millions of </w:t>
      </w:r>
      <w:r w:rsidR="00DC68B6" w:rsidRPr="008F3B8D">
        <w:rPr>
          <w:i/>
          <w:spacing w:val="2"/>
        </w:rPr>
        <w:t xml:space="preserve">United States </w:t>
      </w:r>
      <w:r w:rsidRPr="008F3B8D">
        <w:rPr>
          <w:i/>
          <w:spacing w:val="2"/>
        </w:rPr>
        <w:t>dollars)</w:t>
      </w:r>
    </w:p>
    <w:p w14:paraId="6C9D00A3" w14:textId="77777777" w:rsidR="007C75F6" w:rsidRPr="008F3B8D" w:rsidRDefault="007C75F6" w:rsidP="003F5F37">
      <w:pPr>
        <w:pStyle w:val="SingleTxt"/>
        <w:keepNext/>
        <w:keepLines/>
        <w:spacing w:after="0" w:line="200" w:lineRule="exact"/>
        <w:jc w:val="center"/>
        <w:rPr>
          <w:b/>
          <w:spacing w:val="2"/>
        </w:rPr>
      </w:pPr>
    </w:p>
    <w:tbl>
      <w:tblPr>
        <w:tblW w:w="7231" w:type="dxa"/>
        <w:tblInd w:w="1452" w:type="dxa"/>
        <w:tblLook w:val="04A0" w:firstRow="1" w:lastRow="0" w:firstColumn="1" w:lastColumn="0" w:noHBand="0" w:noVBand="1"/>
      </w:tblPr>
      <w:tblGrid>
        <w:gridCol w:w="3753"/>
        <w:gridCol w:w="1236"/>
        <w:gridCol w:w="1236"/>
        <w:gridCol w:w="1006"/>
      </w:tblGrid>
      <w:tr w:rsidR="007C75F6" w:rsidRPr="008F3B8D" w14:paraId="473B5FAD" w14:textId="77777777" w:rsidTr="00FA1E51">
        <w:trPr>
          <w:trHeight w:val="315"/>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E598F" w14:textId="77777777" w:rsidR="007C75F6" w:rsidRPr="008F3B8D" w:rsidRDefault="007C75F6" w:rsidP="003F5F37">
            <w:pPr>
              <w:keepNext/>
              <w:suppressAutoHyphens w:val="0"/>
              <w:spacing w:line="240" w:lineRule="auto"/>
              <w:rPr>
                <w:rFonts w:eastAsia="Times New Roman"/>
                <w:b/>
                <w:bCs/>
                <w:spacing w:val="0"/>
                <w:w w:val="100"/>
                <w:kern w:val="0"/>
                <w:sz w:val="16"/>
                <w:szCs w:val="16"/>
              </w:rPr>
            </w:pP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5A9B08A6" w14:textId="77777777" w:rsidR="007C75F6" w:rsidRPr="008F3B8D" w:rsidRDefault="007C75F6" w:rsidP="003F5F37">
            <w:pPr>
              <w:keepNext/>
              <w:suppressAutoHyphens w:val="0"/>
              <w:spacing w:line="240" w:lineRule="auto"/>
              <w:jc w:val="center"/>
              <w:rPr>
                <w:rFonts w:eastAsia="Times New Roman"/>
                <w:b/>
                <w:bCs/>
                <w:spacing w:val="0"/>
                <w:w w:val="100"/>
                <w:kern w:val="0"/>
                <w:sz w:val="16"/>
                <w:szCs w:val="16"/>
              </w:rPr>
            </w:pPr>
            <w:r w:rsidRPr="008F3B8D">
              <w:rPr>
                <w:rFonts w:eastAsia="Times New Roman"/>
                <w:b/>
                <w:bCs/>
                <w:spacing w:val="0"/>
                <w:w w:val="100"/>
                <w:kern w:val="0"/>
                <w:sz w:val="16"/>
                <w:szCs w:val="16"/>
              </w:rPr>
              <w:t>Programme and project delivery</w:t>
            </w:r>
          </w:p>
          <w:p w14:paraId="332EB5F7" w14:textId="77777777" w:rsidR="00DC68B6" w:rsidRPr="008F3B8D" w:rsidRDefault="00DC68B6" w:rsidP="003F5F37">
            <w:pPr>
              <w:keepNext/>
              <w:suppressAutoHyphens w:val="0"/>
              <w:spacing w:line="240" w:lineRule="auto"/>
              <w:jc w:val="center"/>
              <w:rPr>
                <w:rFonts w:eastAsia="Times New Roman"/>
                <w:b/>
                <w:bCs/>
                <w:spacing w:val="0"/>
                <w:w w:val="100"/>
                <w:kern w:val="0"/>
                <w:sz w:val="16"/>
                <w:szCs w:val="16"/>
              </w:rPr>
            </w:pP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2207979A" w14:textId="77777777" w:rsidR="007C75F6" w:rsidRPr="008F3B8D" w:rsidRDefault="007C75F6" w:rsidP="003F5F37">
            <w:pPr>
              <w:keepNext/>
              <w:suppressAutoHyphens w:val="0"/>
              <w:spacing w:line="240" w:lineRule="auto"/>
              <w:jc w:val="center"/>
              <w:rPr>
                <w:rFonts w:eastAsia="Times New Roman"/>
                <w:b/>
                <w:bCs/>
                <w:spacing w:val="0"/>
                <w:w w:val="100"/>
                <w:kern w:val="0"/>
                <w:sz w:val="16"/>
                <w:szCs w:val="16"/>
              </w:rPr>
            </w:pPr>
            <w:r w:rsidRPr="008F3B8D">
              <w:rPr>
                <w:rFonts w:eastAsia="Times New Roman"/>
                <w:b/>
                <w:bCs/>
                <w:spacing w:val="0"/>
                <w:w w:val="100"/>
                <w:kern w:val="0"/>
                <w:sz w:val="16"/>
                <w:szCs w:val="16"/>
              </w:rPr>
              <w:t>Reimbursable support services</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184FC4BE" w14:textId="77777777" w:rsidR="007C75F6" w:rsidRPr="008F3B8D" w:rsidRDefault="007C75F6" w:rsidP="003F5F37">
            <w:pPr>
              <w:keepNext/>
              <w:suppressAutoHyphens w:val="0"/>
              <w:spacing w:line="240" w:lineRule="auto"/>
              <w:jc w:val="center"/>
              <w:rPr>
                <w:rFonts w:eastAsia="Times New Roman"/>
                <w:b/>
                <w:bCs/>
                <w:spacing w:val="0"/>
                <w:w w:val="100"/>
                <w:kern w:val="0"/>
                <w:sz w:val="16"/>
                <w:szCs w:val="16"/>
              </w:rPr>
            </w:pPr>
            <w:r w:rsidRPr="008F3B8D">
              <w:rPr>
                <w:rFonts w:eastAsia="Times New Roman"/>
                <w:b/>
                <w:bCs/>
                <w:spacing w:val="0"/>
                <w:w w:val="100"/>
                <w:kern w:val="0"/>
                <w:sz w:val="16"/>
                <w:szCs w:val="16"/>
              </w:rPr>
              <w:t>Total</w:t>
            </w:r>
          </w:p>
        </w:tc>
      </w:tr>
      <w:tr w:rsidR="007C75F6" w:rsidRPr="008F3B8D" w14:paraId="64CD6B89" w14:textId="77777777" w:rsidTr="00FA1E51">
        <w:trPr>
          <w:trHeight w:val="225"/>
        </w:trPr>
        <w:tc>
          <w:tcPr>
            <w:tcW w:w="3753" w:type="dxa"/>
            <w:tcBorders>
              <w:top w:val="nil"/>
              <w:left w:val="nil"/>
              <w:bottom w:val="nil"/>
              <w:right w:val="nil"/>
            </w:tcBorders>
            <w:shd w:val="clear" w:color="auto" w:fill="auto"/>
            <w:noWrap/>
            <w:vAlign w:val="center"/>
            <w:hideMark/>
          </w:tcPr>
          <w:p w14:paraId="4BD24198" w14:textId="77777777" w:rsidR="007C75F6" w:rsidRPr="008F3B8D" w:rsidRDefault="007C75F6" w:rsidP="003F5F37">
            <w:pPr>
              <w:keepNext/>
              <w:suppressAutoHyphens w:val="0"/>
              <w:spacing w:line="240" w:lineRule="auto"/>
              <w:rPr>
                <w:rFonts w:eastAsia="Times New Roman"/>
                <w:b/>
                <w:bCs/>
                <w:i/>
                <w:iCs/>
                <w:spacing w:val="0"/>
                <w:w w:val="100"/>
                <w:kern w:val="0"/>
                <w:sz w:val="16"/>
                <w:szCs w:val="16"/>
              </w:rPr>
            </w:pPr>
            <w:r w:rsidRPr="008F3B8D">
              <w:rPr>
                <w:rFonts w:eastAsia="Times New Roman"/>
                <w:b/>
                <w:bCs/>
                <w:i/>
                <w:iCs/>
                <w:spacing w:val="0"/>
                <w:w w:val="100"/>
                <w:kern w:val="0"/>
                <w:sz w:val="16"/>
                <w:szCs w:val="16"/>
              </w:rPr>
              <w:t>Revenue</w:t>
            </w:r>
          </w:p>
        </w:tc>
        <w:tc>
          <w:tcPr>
            <w:tcW w:w="1236" w:type="dxa"/>
            <w:tcBorders>
              <w:top w:val="nil"/>
              <w:left w:val="nil"/>
              <w:bottom w:val="nil"/>
              <w:right w:val="nil"/>
            </w:tcBorders>
            <w:shd w:val="clear" w:color="auto" w:fill="auto"/>
            <w:noWrap/>
            <w:vAlign w:val="center"/>
            <w:hideMark/>
          </w:tcPr>
          <w:p w14:paraId="5C2B4493" w14:textId="77777777" w:rsidR="007C75F6" w:rsidRPr="008F3B8D" w:rsidRDefault="007C75F6" w:rsidP="003F5F37">
            <w:pPr>
              <w:keepNext/>
              <w:suppressAutoHyphens w:val="0"/>
              <w:spacing w:line="240" w:lineRule="auto"/>
              <w:rPr>
                <w:rFonts w:eastAsia="Times New Roman"/>
                <w:b/>
                <w:bCs/>
                <w:i/>
                <w:iCs/>
                <w:spacing w:val="0"/>
                <w:w w:val="100"/>
                <w:kern w:val="0"/>
                <w:sz w:val="16"/>
                <w:szCs w:val="16"/>
              </w:rPr>
            </w:pPr>
          </w:p>
        </w:tc>
        <w:tc>
          <w:tcPr>
            <w:tcW w:w="1236" w:type="dxa"/>
            <w:tcBorders>
              <w:top w:val="nil"/>
              <w:left w:val="nil"/>
              <w:bottom w:val="nil"/>
              <w:right w:val="nil"/>
            </w:tcBorders>
            <w:shd w:val="clear" w:color="auto" w:fill="auto"/>
            <w:noWrap/>
            <w:vAlign w:val="center"/>
            <w:hideMark/>
          </w:tcPr>
          <w:p w14:paraId="02F2ABE0" w14:textId="77777777" w:rsidR="007C75F6" w:rsidRPr="008F3B8D" w:rsidRDefault="007C75F6" w:rsidP="003F5F37">
            <w:pPr>
              <w:keepNext/>
              <w:suppressAutoHyphens w:val="0"/>
              <w:spacing w:line="240" w:lineRule="auto"/>
              <w:jc w:val="center"/>
              <w:rPr>
                <w:rFonts w:eastAsia="Times New Roman"/>
                <w:spacing w:val="0"/>
                <w:w w:val="100"/>
                <w:kern w:val="0"/>
              </w:rPr>
            </w:pPr>
          </w:p>
        </w:tc>
        <w:tc>
          <w:tcPr>
            <w:tcW w:w="1006" w:type="dxa"/>
            <w:tcBorders>
              <w:top w:val="nil"/>
              <w:left w:val="nil"/>
              <w:bottom w:val="nil"/>
              <w:right w:val="nil"/>
            </w:tcBorders>
            <w:shd w:val="clear" w:color="auto" w:fill="auto"/>
            <w:noWrap/>
            <w:vAlign w:val="center"/>
            <w:hideMark/>
          </w:tcPr>
          <w:p w14:paraId="32B85624" w14:textId="77777777" w:rsidR="007C75F6" w:rsidRPr="008F3B8D" w:rsidRDefault="007C75F6" w:rsidP="003F5F37">
            <w:pPr>
              <w:keepNext/>
              <w:suppressAutoHyphens w:val="0"/>
              <w:spacing w:line="240" w:lineRule="auto"/>
              <w:jc w:val="center"/>
              <w:rPr>
                <w:rFonts w:eastAsia="Times New Roman"/>
                <w:spacing w:val="0"/>
                <w:w w:val="100"/>
                <w:kern w:val="0"/>
              </w:rPr>
            </w:pPr>
          </w:p>
        </w:tc>
      </w:tr>
      <w:tr w:rsidR="007C75F6" w:rsidRPr="008F3B8D" w14:paraId="0044D28E" w14:textId="77777777" w:rsidTr="00FA1E51">
        <w:trPr>
          <w:trHeight w:val="225"/>
        </w:trPr>
        <w:tc>
          <w:tcPr>
            <w:tcW w:w="3753" w:type="dxa"/>
            <w:tcBorders>
              <w:top w:val="single" w:sz="4" w:space="0" w:color="auto"/>
              <w:left w:val="single" w:sz="4" w:space="0" w:color="auto"/>
              <w:bottom w:val="nil"/>
              <w:right w:val="nil"/>
            </w:tcBorders>
            <w:shd w:val="clear" w:color="auto" w:fill="auto"/>
            <w:noWrap/>
            <w:vAlign w:val="center"/>
            <w:hideMark/>
          </w:tcPr>
          <w:p w14:paraId="37A34A0D" w14:textId="0A710D9A" w:rsidR="007C75F6" w:rsidRPr="008F3B8D" w:rsidRDefault="007C75F6" w:rsidP="003F5F37">
            <w:pPr>
              <w:keepNext/>
              <w:suppressAutoHyphens w:val="0"/>
              <w:spacing w:line="240" w:lineRule="auto"/>
              <w:rPr>
                <w:rFonts w:eastAsia="Times New Roman"/>
                <w:spacing w:val="0"/>
                <w:w w:val="100"/>
                <w:kern w:val="0"/>
                <w:sz w:val="16"/>
                <w:szCs w:val="16"/>
              </w:rPr>
            </w:pPr>
            <w:r w:rsidRPr="008F3B8D">
              <w:rPr>
                <w:rFonts w:eastAsia="Times New Roman"/>
                <w:spacing w:val="0"/>
                <w:w w:val="100"/>
                <w:kern w:val="0"/>
                <w:sz w:val="16"/>
                <w:szCs w:val="16"/>
              </w:rPr>
              <w:t>General management support services</w:t>
            </w:r>
          </w:p>
        </w:tc>
        <w:tc>
          <w:tcPr>
            <w:tcW w:w="1236" w:type="dxa"/>
            <w:tcBorders>
              <w:top w:val="single" w:sz="4" w:space="0" w:color="auto"/>
              <w:left w:val="single" w:sz="4" w:space="0" w:color="auto"/>
              <w:bottom w:val="nil"/>
              <w:right w:val="single" w:sz="4" w:space="0" w:color="auto"/>
            </w:tcBorders>
            <w:shd w:val="clear" w:color="auto" w:fill="auto"/>
            <w:noWrap/>
            <w:vAlign w:val="center"/>
            <w:hideMark/>
          </w:tcPr>
          <w:p w14:paraId="0E5CA20D" w14:textId="0BB884D3"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2</w:t>
            </w:r>
            <w:r w:rsidR="00460CE5" w:rsidRPr="008F3B8D">
              <w:rPr>
                <w:rFonts w:eastAsia="Times New Roman"/>
                <w:spacing w:val="0"/>
                <w:w w:val="100"/>
                <w:kern w:val="0"/>
                <w:sz w:val="16"/>
                <w:szCs w:val="16"/>
              </w:rPr>
              <w:t>40</w:t>
            </w:r>
            <w:r w:rsidRPr="008F3B8D">
              <w:rPr>
                <w:rFonts w:eastAsia="Times New Roman"/>
                <w:spacing w:val="0"/>
                <w:w w:val="100"/>
                <w:kern w:val="0"/>
                <w:sz w:val="16"/>
                <w:szCs w:val="16"/>
              </w:rPr>
              <w:t xml:space="preserve"> </w:t>
            </w:r>
          </w:p>
        </w:tc>
        <w:tc>
          <w:tcPr>
            <w:tcW w:w="1236" w:type="dxa"/>
            <w:tcBorders>
              <w:top w:val="single" w:sz="4" w:space="0" w:color="auto"/>
              <w:left w:val="nil"/>
              <w:bottom w:val="nil"/>
              <w:right w:val="single" w:sz="4" w:space="0" w:color="auto"/>
            </w:tcBorders>
            <w:shd w:val="clear" w:color="auto" w:fill="auto"/>
            <w:noWrap/>
            <w:vAlign w:val="center"/>
            <w:hideMark/>
          </w:tcPr>
          <w:p w14:paraId="12C19196" w14:textId="77777777"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   </w:t>
            </w:r>
          </w:p>
        </w:tc>
        <w:tc>
          <w:tcPr>
            <w:tcW w:w="1006" w:type="dxa"/>
            <w:tcBorders>
              <w:top w:val="single" w:sz="4" w:space="0" w:color="auto"/>
              <w:left w:val="nil"/>
              <w:bottom w:val="nil"/>
              <w:right w:val="single" w:sz="4" w:space="0" w:color="auto"/>
            </w:tcBorders>
            <w:shd w:val="clear" w:color="auto" w:fill="auto"/>
            <w:noWrap/>
            <w:vAlign w:val="center"/>
            <w:hideMark/>
          </w:tcPr>
          <w:p w14:paraId="26FAD833" w14:textId="40CC58A3"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2</w:t>
            </w:r>
            <w:r w:rsidR="000F34B9" w:rsidRPr="008F3B8D">
              <w:rPr>
                <w:rFonts w:eastAsia="Times New Roman"/>
                <w:spacing w:val="0"/>
                <w:w w:val="100"/>
                <w:kern w:val="0"/>
                <w:sz w:val="16"/>
                <w:szCs w:val="16"/>
              </w:rPr>
              <w:t>40</w:t>
            </w:r>
            <w:r w:rsidRPr="008F3B8D">
              <w:rPr>
                <w:rFonts w:eastAsia="Times New Roman"/>
                <w:spacing w:val="0"/>
                <w:w w:val="100"/>
                <w:kern w:val="0"/>
                <w:sz w:val="16"/>
                <w:szCs w:val="16"/>
              </w:rPr>
              <w:t xml:space="preserve"> </w:t>
            </w:r>
          </w:p>
        </w:tc>
      </w:tr>
      <w:tr w:rsidR="007C75F6" w:rsidRPr="008F3B8D" w14:paraId="0829F9A7" w14:textId="77777777" w:rsidTr="00FA1E51">
        <w:trPr>
          <w:trHeight w:val="225"/>
        </w:trPr>
        <w:tc>
          <w:tcPr>
            <w:tcW w:w="3753" w:type="dxa"/>
            <w:tcBorders>
              <w:top w:val="nil"/>
              <w:left w:val="single" w:sz="4" w:space="0" w:color="auto"/>
              <w:bottom w:val="nil"/>
              <w:right w:val="nil"/>
            </w:tcBorders>
            <w:shd w:val="clear" w:color="auto" w:fill="auto"/>
            <w:noWrap/>
            <w:vAlign w:val="center"/>
            <w:hideMark/>
          </w:tcPr>
          <w:p w14:paraId="6B4E43A3" w14:textId="23197FE0" w:rsidR="007C75F6" w:rsidRPr="008F3B8D" w:rsidRDefault="007C75F6" w:rsidP="003F5F37">
            <w:pPr>
              <w:keepNext/>
              <w:suppressAutoHyphens w:val="0"/>
              <w:spacing w:line="240" w:lineRule="auto"/>
              <w:rPr>
                <w:rFonts w:eastAsia="Times New Roman"/>
                <w:spacing w:val="0"/>
                <w:w w:val="100"/>
                <w:kern w:val="0"/>
                <w:sz w:val="16"/>
                <w:szCs w:val="16"/>
              </w:rPr>
            </w:pPr>
            <w:r w:rsidRPr="008F3B8D">
              <w:rPr>
                <w:rFonts w:eastAsia="Times New Roman"/>
                <w:spacing w:val="0"/>
                <w:w w:val="100"/>
                <w:kern w:val="0"/>
                <w:sz w:val="16"/>
                <w:szCs w:val="16"/>
              </w:rPr>
              <w:t xml:space="preserve">United Nations organizations </w:t>
            </w:r>
            <w:r w:rsidR="00DC68B6" w:rsidRPr="008F3B8D">
              <w:rPr>
                <w:rFonts w:eastAsia="Times New Roman"/>
                <w:spacing w:val="0"/>
                <w:w w:val="100"/>
                <w:kern w:val="0"/>
                <w:sz w:val="16"/>
                <w:szCs w:val="16"/>
              </w:rPr>
              <w:t xml:space="preserve">– </w:t>
            </w:r>
            <w:r w:rsidRPr="008F3B8D">
              <w:rPr>
                <w:rFonts w:eastAsia="Times New Roman"/>
                <w:spacing w:val="0"/>
                <w:w w:val="100"/>
                <w:kern w:val="0"/>
                <w:sz w:val="16"/>
                <w:szCs w:val="16"/>
              </w:rPr>
              <w:t>reimbursable services</w:t>
            </w:r>
          </w:p>
        </w:tc>
        <w:tc>
          <w:tcPr>
            <w:tcW w:w="1236" w:type="dxa"/>
            <w:tcBorders>
              <w:top w:val="nil"/>
              <w:left w:val="single" w:sz="4" w:space="0" w:color="auto"/>
              <w:bottom w:val="nil"/>
              <w:right w:val="single" w:sz="4" w:space="0" w:color="auto"/>
            </w:tcBorders>
            <w:shd w:val="clear" w:color="auto" w:fill="auto"/>
            <w:noWrap/>
            <w:vAlign w:val="center"/>
            <w:hideMark/>
          </w:tcPr>
          <w:p w14:paraId="3485AAF2" w14:textId="638D24C7"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w:t>
            </w:r>
            <w:r w:rsidR="00460CE5" w:rsidRPr="008F3B8D">
              <w:rPr>
                <w:rFonts w:eastAsia="Times New Roman"/>
                <w:spacing w:val="0"/>
                <w:w w:val="100"/>
                <w:kern w:val="0"/>
                <w:sz w:val="16"/>
                <w:szCs w:val="16"/>
              </w:rPr>
              <w:t>30</w:t>
            </w:r>
            <w:r w:rsidRPr="008F3B8D">
              <w:rPr>
                <w:rFonts w:eastAsia="Times New Roman"/>
                <w:spacing w:val="0"/>
                <w:w w:val="100"/>
                <w:kern w:val="0"/>
                <w:sz w:val="16"/>
                <w:szCs w:val="16"/>
              </w:rPr>
              <w:t xml:space="preserve"> </w:t>
            </w:r>
          </w:p>
        </w:tc>
        <w:tc>
          <w:tcPr>
            <w:tcW w:w="1236" w:type="dxa"/>
            <w:tcBorders>
              <w:top w:val="nil"/>
              <w:left w:val="nil"/>
              <w:bottom w:val="nil"/>
              <w:right w:val="single" w:sz="4" w:space="0" w:color="auto"/>
            </w:tcBorders>
            <w:shd w:val="clear" w:color="auto" w:fill="auto"/>
            <w:noWrap/>
            <w:vAlign w:val="center"/>
            <w:hideMark/>
          </w:tcPr>
          <w:p w14:paraId="06FBC8FB" w14:textId="38C8C454"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w:t>
            </w:r>
            <w:r w:rsidR="000F34B9" w:rsidRPr="008F3B8D">
              <w:rPr>
                <w:rFonts w:eastAsia="Times New Roman"/>
                <w:spacing w:val="0"/>
                <w:w w:val="100"/>
                <w:kern w:val="0"/>
                <w:sz w:val="16"/>
                <w:szCs w:val="16"/>
              </w:rPr>
              <w:t>28</w:t>
            </w:r>
            <w:r w:rsidRPr="008F3B8D">
              <w:rPr>
                <w:rFonts w:eastAsia="Times New Roman"/>
                <w:spacing w:val="0"/>
                <w:w w:val="100"/>
                <w:kern w:val="0"/>
                <w:sz w:val="16"/>
                <w:szCs w:val="16"/>
              </w:rPr>
              <w:t xml:space="preserve"> </w:t>
            </w:r>
          </w:p>
        </w:tc>
        <w:tc>
          <w:tcPr>
            <w:tcW w:w="1006" w:type="dxa"/>
            <w:tcBorders>
              <w:top w:val="nil"/>
              <w:left w:val="nil"/>
              <w:bottom w:val="nil"/>
              <w:right w:val="single" w:sz="4" w:space="0" w:color="auto"/>
            </w:tcBorders>
            <w:shd w:val="clear" w:color="auto" w:fill="auto"/>
            <w:noWrap/>
            <w:vAlign w:val="center"/>
            <w:hideMark/>
          </w:tcPr>
          <w:p w14:paraId="0459E81B" w14:textId="0920A2C9"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5</w:t>
            </w:r>
            <w:r w:rsidR="000F34B9" w:rsidRPr="008F3B8D">
              <w:rPr>
                <w:rFonts w:eastAsia="Times New Roman"/>
                <w:spacing w:val="0"/>
                <w:w w:val="100"/>
                <w:kern w:val="0"/>
                <w:sz w:val="16"/>
                <w:szCs w:val="16"/>
              </w:rPr>
              <w:t>8</w:t>
            </w:r>
            <w:r w:rsidRPr="008F3B8D">
              <w:rPr>
                <w:rFonts w:eastAsia="Times New Roman"/>
                <w:spacing w:val="0"/>
                <w:w w:val="100"/>
                <w:kern w:val="0"/>
                <w:sz w:val="16"/>
                <w:szCs w:val="16"/>
              </w:rPr>
              <w:t xml:space="preserve"> </w:t>
            </w:r>
          </w:p>
        </w:tc>
      </w:tr>
      <w:tr w:rsidR="007C75F6" w:rsidRPr="008F3B8D" w14:paraId="4D88BE9D" w14:textId="77777777" w:rsidTr="00FA1E51">
        <w:trPr>
          <w:trHeight w:val="225"/>
        </w:trPr>
        <w:tc>
          <w:tcPr>
            <w:tcW w:w="3753" w:type="dxa"/>
            <w:tcBorders>
              <w:top w:val="nil"/>
              <w:left w:val="single" w:sz="4" w:space="0" w:color="auto"/>
              <w:bottom w:val="nil"/>
              <w:right w:val="nil"/>
            </w:tcBorders>
            <w:shd w:val="clear" w:color="auto" w:fill="auto"/>
            <w:noWrap/>
            <w:vAlign w:val="center"/>
            <w:hideMark/>
          </w:tcPr>
          <w:p w14:paraId="4D5B24BA" w14:textId="77777777" w:rsidR="007C75F6" w:rsidRPr="008F3B8D" w:rsidRDefault="007C75F6" w:rsidP="003F5F37">
            <w:pPr>
              <w:keepNext/>
              <w:suppressAutoHyphens w:val="0"/>
              <w:spacing w:line="240" w:lineRule="auto"/>
              <w:rPr>
                <w:rFonts w:eastAsia="Times New Roman"/>
                <w:spacing w:val="0"/>
                <w:w w:val="100"/>
                <w:kern w:val="0"/>
                <w:sz w:val="16"/>
                <w:szCs w:val="16"/>
              </w:rPr>
            </w:pPr>
            <w:r w:rsidRPr="008F3B8D">
              <w:rPr>
                <w:rFonts w:eastAsia="Times New Roman"/>
                <w:spacing w:val="0"/>
                <w:w w:val="100"/>
                <w:kern w:val="0"/>
                <w:sz w:val="16"/>
                <w:szCs w:val="16"/>
              </w:rPr>
              <w:t>Administrative agent fees</w:t>
            </w:r>
          </w:p>
        </w:tc>
        <w:tc>
          <w:tcPr>
            <w:tcW w:w="1236" w:type="dxa"/>
            <w:tcBorders>
              <w:top w:val="nil"/>
              <w:left w:val="single" w:sz="4" w:space="0" w:color="auto"/>
              <w:bottom w:val="nil"/>
              <w:right w:val="single" w:sz="4" w:space="0" w:color="auto"/>
            </w:tcBorders>
            <w:shd w:val="clear" w:color="auto" w:fill="auto"/>
            <w:noWrap/>
            <w:vAlign w:val="center"/>
            <w:hideMark/>
          </w:tcPr>
          <w:p w14:paraId="3C9CE217" w14:textId="77777777"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8 </w:t>
            </w:r>
          </w:p>
        </w:tc>
        <w:tc>
          <w:tcPr>
            <w:tcW w:w="1236" w:type="dxa"/>
            <w:tcBorders>
              <w:top w:val="nil"/>
              <w:left w:val="nil"/>
              <w:bottom w:val="nil"/>
              <w:right w:val="single" w:sz="4" w:space="0" w:color="auto"/>
            </w:tcBorders>
            <w:shd w:val="clear" w:color="auto" w:fill="auto"/>
            <w:noWrap/>
            <w:vAlign w:val="center"/>
            <w:hideMark/>
          </w:tcPr>
          <w:p w14:paraId="699A631F" w14:textId="77777777"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   </w:t>
            </w:r>
          </w:p>
        </w:tc>
        <w:tc>
          <w:tcPr>
            <w:tcW w:w="1006" w:type="dxa"/>
            <w:tcBorders>
              <w:top w:val="nil"/>
              <w:left w:val="nil"/>
              <w:bottom w:val="nil"/>
              <w:right w:val="single" w:sz="4" w:space="0" w:color="auto"/>
            </w:tcBorders>
            <w:shd w:val="clear" w:color="auto" w:fill="auto"/>
            <w:noWrap/>
            <w:vAlign w:val="center"/>
            <w:hideMark/>
          </w:tcPr>
          <w:p w14:paraId="62D98323" w14:textId="77777777"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8 </w:t>
            </w:r>
          </w:p>
        </w:tc>
      </w:tr>
      <w:tr w:rsidR="007C75F6" w:rsidRPr="008F3B8D" w14:paraId="3EA42B88" w14:textId="77777777" w:rsidTr="00FA1E51">
        <w:trPr>
          <w:trHeight w:val="225"/>
        </w:trPr>
        <w:tc>
          <w:tcPr>
            <w:tcW w:w="3753" w:type="dxa"/>
            <w:tcBorders>
              <w:top w:val="nil"/>
              <w:left w:val="single" w:sz="4" w:space="0" w:color="auto"/>
              <w:bottom w:val="nil"/>
              <w:right w:val="nil"/>
            </w:tcBorders>
            <w:shd w:val="clear" w:color="auto" w:fill="auto"/>
            <w:noWrap/>
            <w:vAlign w:val="center"/>
            <w:hideMark/>
          </w:tcPr>
          <w:p w14:paraId="12057244" w14:textId="77777777" w:rsidR="007C75F6" w:rsidRPr="008F3B8D" w:rsidRDefault="007C75F6" w:rsidP="003F5F37">
            <w:pPr>
              <w:keepNext/>
              <w:suppressAutoHyphens w:val="0"/>
              <w:spacing w:line="240" w:lineRule="auto"/>
              <w:rPr>
                <w:rFonts w:eastAsia="Times New Roman"/>
                <w:spacing w:val="0"/>
                <w:w w:val="100"/>
                <w:kern w:val="0"/>
                <w:sz w:val="16"/>
                <w:szCs w:val="16"/>
              </w:rPr>
            </w:pPr>
            <w:r w:rsidRPr="008F3B8D">
              <w:rPr>
                <w:rFonts w:eastAsia="Times New Roman"/>
                <w:spacing w:val="0"/>
                <w:w w:val="100"/>
                <w:kern w:val="0"/>
                <w:sz w:val="16"/>
                <w:szCs w:val="16"/>
              </w:rPr>
              <w:t xml:space="preserve">NCC contributions </w:t>
            </w:r>
          </w:p>
        </w:tc>
        <w:tc>
          <w:tcPr>
            <w:tcW w:w="1236" w:type="dxa"/>
            <w:tcBorders>
              <w:top w:val="nil"/>
              <w:left w:val="single" w:sz="4" w:space="0" w:color="auto"/>
              <w:bottom w:val="nil"/>
              <w:right w:val="single" w:sz="4" w:space="0" w:color="auto"/>
            </w:tcBorders>
            <w:shd w:val="clear" w:color="auto" w:fill="auto"/>
            <w:noWrap/>
            <w:vAlign w:val="center"/>
            <w:hideMark/>
          </w:tcPr>
          <w:p w14:paraId="75FD5D63" w14:textId="4411AB72"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w:t>
            </w:r>
            <w:r w:rsidR="00046A06" w:rsidRPr="008F3B8D">
              <w:rPr>
                <w:rFonts w:eastAsia="Times New Roman"/>
                <w:spacing w:val="0"/>
                <w:w w:val="100"/>
                <w:kern w:val="0"/>
                <w:sz w:val="16"/>
                <w:szCs w:val="16"/>
              </w:rPr>
              <w:t>8</w:t>
            </w:r>
            <w:r w:rsidRPr="008F3B8D">
              <w:rPr>
                <w:rFonts w:eastAsia="Times New Roman"/>
                <w:spacing w:val="0"/>
                <w:w w:val="100"/>
                <w:kern w:val="0"/>
                <w:sz w:val="16"/>
                <w:szCs w:val="16"/>
              </w:rPr>
              <w:t xml:space="preserve"> </w:t>
            </w:r>
          </w:p>
        </w:tc>
        <w:tc>
          <w:tcPr>
            <w:tcW w:w="1236" w:type="dxa"/>
            <w:tcBorders>
              <w:top w:val="nil"/>
              <w:left w:val="nil"/>
              <w:bottom w:val="nil"/>
              <w:right w:val="single" w:sz="4" w:space="0" w:color="auto"/>
            </w:tcBorders>
            <w:shd w:val="clear" w:color="auto" w:fill="auto"/>
            <w:noWrap/>
            <w:vAlign w:val="center"/>
            <w:hideMark/>
          </w:tcPr>
          <w:p w14:paraId="13F49222" w14:textId="77777777"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   </w:t>
            </w:r>
          </w:p>
        </w:tc>
        <w:tc>
          <w:tcPr>
            <w:tcW w:w="1006" w:type="dxa"/>
            <w:tcBorders>
              <w:top w:val="nil"/>
              <w:left w:val="nil"/>
              <w:bottom w:val="nil"/>
              <w:right w:val="single" w:sz="4" w:space="0" w:color="auto"/>
            </w:tcBorders>
            <w:shd w:val="clear" w:color="auto" w:fill="auto"/>
            <w:noWrap/>
            <w:vAlign w:val="center"/>
            <w:hideMark/>
          </w:tcPr>
          <w:p w14:paraId="2896DCDF" w14:textId="74EB179E"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w:t>
            </w:r>
            <w:r w:rsidR="008F3B8D" w:rsidRPr="008F3B8D">
              <w:rPr>
                <w:rFonts w:eastAsia="Times New Roman"/>
                <w:spacing w:val="0"/>
                <w:w w:val="100"/>
                <w:kern w:val="0"/>
                <w:sz w:val="16"/>
                <w:szCs w:val="16"/>
              </w:rPr>
              <w:t>8</w:t>
            </w:r>
            <w:r w:rsidRPr="008F3B8D">
              <w:rPr>
                <w:rFonts w:eastAsia="Times New Roman"/>
                <w:spacing w:val="0"/>
                <w:w w:val="100"/>
                <w:kern w:val="0"/>
                <w:sz w:val="16"/>
                <w:szCs w:val="16"/>
              </w:rPr>
              <w:t xml:space="preserve"> </w:t>
            </w:r>
          </w:p>
        </w:tc>
      </w:tr>
      <w:tr w:rsidR="007C75F6" w:rsidRPr="008F3B8D" w14:paraId="690CB877" w14:textId="77777777" w:rsidTr="00FA1E51">
        <w:trPr>
          <w:trHeight w:val="225"/>
        </w:trPr>
        <w:tc>
          <w:tcPr>
            <w:tcW w:w="3753" w:type="dxa"/>
            <w:tcBorders>
              <w:top w:val="nil"/>
              <w:left w:val="single" w:sz="4" w:space="0" w:color="auto"/>
              <w:bottom w:val="nil"/>
              <w:right w:val="nil"/>
            </w:tcBorders>
            <w:shd w:val="clear" w:color="auto" w:fill="auto"/>
            <w:noWrap/>
            <w:vAlign w:val="center"/>
          </w:tcPr>
          <w:p w14:paraId="3B26D60D" w14:textId="244B6CCC" w:rsidR="007C75F6" w:rsidRPr="008F3B8D" w:rsidRDefault="007C75F6" w:rsidP="003F5F37">
            <w:pPr>
              <w:keepNext/>
              <w:suppressAutoHyphens w:val="0"/>
              <w:spacing w:line="240" w:lineRule="auto"/>
              <w:rPr>
                <w:rFonts w:eastAsia="Times New Roman"/>
                <w:spacing w:val="0"/>
                <w:w w:val="100"/>
                <w:kern w:val="0"/>
                <w:sz w:val="16"/>
                <w:szCs w:val="16"/>
              </w:rPr>
            </w:pPr>
            <w:r w:rsidRPr="008F3B8D">
              <w:rPr>
                <w:rFonts w:eastAsia="Times New Roman"/>
                <w:spacing w:val="0"/>
                <w:w w:val="100"/>
                <w:kern w:val="0"/>
                <w:sz w:val="16"/>
                <w:szCs w:val="16"/>
              </w:rPr>
              <w:t>U</w:t>
            </w:r>
            <w:r w:rsidR="00DC68B6" w:rsidRPr="008F3B8D">
              <w:rPr>
                <w:rFonts w:eastAsia="Times New Roman"/>
                <w:spacing w:val="0"/>
                <w:w w:val="100"/>
                <w:kern w:val="0"/>
                <w:sz w:val="16"/>
                <w:szCs w:val="16"/>
              </w:rPr>
              <w:t xml:space="preserve">pper </w:t>
            </w:r>
            <w:r w:rsidRPr="008F3B8D">
              <w:rPr>
                <w:rFonts w:eastAsia="Times New Roman"/>
                <w:spacing w:val="0"/>
                <w:w w:val="100"/>
                <w:kern w:val="0"/>
                <w:sz w:val="16"/>
                <w:szCs w:val="16"/>
              </w:rPr>
              <w:t>MIC contributions</w:t>
            </w:r>
          </w:p>
        </w:tc>
        <w:tc>
          <w:tcPr>
            <w:tcW w:w="1236" w:type="dxa"/>
            <w:tcBorders>
              <w:top w:val="nil"/>
              <w:left w:val="single" w:sz="4" w:space="0" w:color="auto"/>
              <w:bottom w:val="nil"/>
              <w:right w:val="single" w:sz="4" w:space="0" w:color="auto"/>
            </w:tcBorders>
            <w:shd w:val="clear" w:color="auto" w:fill="auto"/>
            <w:noWrap/>
            <w:vAlign w:val="center"/>
          </w:tcPr>
          <w:p w14:paraId="5BEE7BCD" w14:textId="79F5F51E" w:rsidR="007C75F6" w:rsidRPr="008F3B8D" w:rsidRDefault="00046A0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9</w:t>
            </w:r>
          </w:p>
        </w:tc>
        <w:tc>
          <w:tcPr>
            <w:tcW w:w="1236" w:type="dxa"/>
            <w:tcBorders>
              <w:top w:val="nil"/>
              <w:left w:val="nil"/>
              <w:bottom w:val="nil"/>
              <w:right w:val="single" w:sz="4" w:space="0" w:color="auto"/>
            </w:tcBorders>
            <w:shd w:val="clear" w:color="auto" w:fill="auto"/>
            <w:noWrap/>
            <w:vAlign w:val="center"/>
          </w:tcPr>
          <w:p w14:paraId="67104176" w14:textId="77777777"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w:t>
            </w:r>
          </w:p>
        </w:tc>
        <w:tc>
          <w:tcPr>
            <w:tcW w:w="1006" w:type="dxa"/>
            <w:tcBorders>
              <w:top w:val="nil"/>
              <w:left w:val="nil"/>
              <w:bottom w:val="nil"/>
              <w:right w:val="single" w:sz="4" w:space="0" w:color="auto"/>
            </w:tcBorders>
            <w:shd w:val="clear" w:color="auto" w:fill="auto"/>
            <w:noWrap/>
            <w:vAlign w:val="center"/>
          </w:tcPr>
          <w:p w14:paraId="75AC2B79" w14:textId="6BC96F51" w:rsidR="007C75F6" w:rsidRPr="008F3B8D" w:rsidRDefault="008F3B8D"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9</w:t>
            </w:r>
          </w:p>
        </w:tc>
      </w:tr>
      <w:tr w:rsidR="007C75F6" w:rsidRPr="008F3B8D" w14:paraId="672D6A2E" w14:textId="77777777" w:rsidTr="00FA1E51">
        <w:trPr>
          <w:trHeight w:val="225"/>
        </w:trPr>
        <w:tc>
          <w:tcPr>
            <w:tcW w:w="3753" w:type="dxa"/>
            <w:tcBorders>
              <w:top w:val="nil"/>
              <w:left w:val="single" w:sz="4" w:space="0" w:color="auto"/>
              <w:bottom w:val="nil"/>
              <w:right w:val="nil"/>
            </w:tcBorders>
            <w:shd w:val="clear" w:color="auto" w:fill="auto"/>
            <w:noWrap/>
            <w:vAlign w:val="center"/>
            <w:hideMark/>
          </w:tcPr>
          <w:p w14:paraId="280DA2A5" w14:textId="77777777" w:rsidR="007C75F6" w:rsidRPr="008F3B8D" w:rsidRDefault="007C75F6" w:rsidP="003F5F37">
            <w:pPr>
              <w:keepNext/>
              <w:suppressAutoHyphens w:val="0"/>
              <w:spacing w:line="240" w:lineRule="auto"/>
              <w:rPr>
                <w:rFonts w:eastAsia="Times New Roman"/>
                <w:spacing w:val="0"/>
                <w:w w:val="100"/>
                <w:kern w:val="0"/>
                <w:sz w:val="16"/>
                <w:szCs w:val="16"/>
              </w:rPr>
            </w:pPr>
            <w:r w:rsidRPr="008F3B8D">
              <w:rPr>
                <w:rFonts w:eastAsia="Times New Roman"/>
                <w:spacing w:val="0"/>
                <w:w w:val="100"/>
                <w:kern w:val="0"/>
                <w:sz w:val="16"/>
                <w:szCs w:val="16"/>
              </w:rPr>
              <w:t>Interest</w:t>
            </w:r>
          </w:p>
        </w:tc>
        <w:tc>
          <w:tcPr>
            <w:tcW w:w="1236" w:type="dxa"/>
            <w:tcBorders>
              <w:top w:val="nil"/>
              <w:left w:val="single" w:sz="4" w:space="0" w:color="auto"/>
              <w:bottom w:val="nil"/>
              <w:right w:val="single" w:sz="4" w:space="0" w:color="auto"/>
            </w:tcBorders>
            <w:shd w:val="clear" w:color="auto" w:fill="auto"/>
            <w:noWrap/>
            <w:vAlign w:val="center"/>
            <w:hideMark/>
          </w:tcPr>
          <w:p w14:paraId="2E255F9F" w14:textId="29C0542A"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w:t>
            </w:r>
            <w:r w:rsidR="00460CE5" w:rsidRPr="008F3B8D">
              <w:rPr>
                <w:rFonts w:eastAsia="Times New Roman"/>
                <w:spacing w:val="0"/>
                <w:w w:val="100"/>
                <w:kern w:val="0"/>
                <w:sz w:val="16"/>
                <w:szCs w:val="16"/>
              </w:rPr>
              <w:t>11</w:t>
            </w:r>
            <w:r w:rsidRPr="008F3B8D">
              <w:rPr>
                <w:rFonts w:eastAsia="Times New Roman"/>
                <w:spacing w:val="0"/>
                <w:w w:val="100"/>
                <w:kern w:val="0"/>
                <w:sz w:val="16"/>
                <w:szCs w:val="16"/>
              </w:rPr>
              <w:t xml:space="preserve"> </w:t>
            </w:r>
          </w:p>
        </w:tc>
        <w:tc>
          <w:tcPr>
            <w:tcW w:w="1236" w:type="dxa"/>
            <w:tcBorders>
              <w:top w:val="nil"/>
              <w:left w:val="nil"/>
              <w:bottom w:val="nil"/>
              <w:right w:val="single" w:sz="4" w:space="0" w:color="auto"/>
            </w:tcBorders>
            <w:shd w:val="clear" w:color="auto" w:fill="auto"/>
            <w:noWrap/>
            <w:vAlign w:val="center"/>
            <w:hideMark/>
          </w:tcPr>
          <w:p w14:paraId="6AD21BC5" w14:textId="77777777"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   </w:t>
            </w:r>
          </w:p>
        </w:tc>
        <w:tc>
          <w:tcPr>
            <w:tcW w:w="1006" w:type="dxa"/>
            <w:tcBorders>
              <w:top w:val="nil"/>
              <w:left w:val="nil"/>
              <w:bottom w:val="nil"/>
              <w:right w:val="single" w:sz="4" w:space="0" w:color="auto"/>
            </w:tcBorders>
            <w:shd w:val="clear" w:color="auto" w:fill="auto"/>
            <w:noWrap/>
            <w:vAlign w:val="center"/>
            <w:hideMark/>
          </w:tcPr>
          <w:p w14:paraId="19803993" w14:textId="36222873"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w:t>
            </w:r>
            <w:r w:rsidR="000F34B9" w:rsidRPr="008F3B8D">
              <w:rPr>
                <w:rFonts w:eastAsia="Times New Roman"/>
                <w:spacing w:val="0"/>
                <w:w w:val="100"/>
                <w:kern w:val="0"/>
                <w:sz w:val="16"/>
                <w:szCs w:val="16"/>
              </w:rPr>
              <w:t>11</w:t>
            </w:r>
            <w:r w:rsidRPr="008F3B8D">
              <w:rPr>
                <w:rFonts w:eastAsia="Times New Roman"/>
                <w:spacing w:val="0"/>
                <w:w w:val="100"/>
                <w:kern w:val="0"/>
                <w:sz w:val="16"/>
                <w:szCs w:val="16"/>
              </w:rPr>
              <w:t xml:space="preserve"> </w:t>
            </w:r>
          </w:p>
        </w:tc>
      </w:tr>
      <w:tr w:rsidR="007C75F6" w:rsidRPr="008F3B8D" w14:paraId="6E27E76A" w14:textId="77777777" w:rsidTr="00FA1E51">
        <w:trPr>
          <w:trHeight w:val="225"/>
        </w:trPr>
        <w:tc>
          <w:tcPr>
            <w:tcW w:w="3753" w:type="dxa"/>
            <w:tcBorders>
              <w:top w:val="nil"/>
              <w:left w:val="single" w:sz="4" w:space="0" w:color="auto"/>
              <w:bottom w:val="single" w:sz="4" w:space="0" w:color="auto"/>
              <w:right w:val="nil"/>
            </w:tcBorders>
            <w:shd w:val="clear" w:color="auto" w:fill="auto"/>
            <w:noWrap/>
            <w:vAlign w:val="center"/>
            <w:hideMark/>
          </w:tcPr>
          <w:p w14:paraId="544F663D" w14:textId="77777777" w:rsidR="007C75F6" w:rsidRPr="008F3B8D" w:rsidRDefault="007C75F6" w:rsidP="003F5F37">
            <w:pPr>
              <w:keepNext/>
              <w:suppressAutoHyphens w:val="0"/>
              <w:spacing w:line="240" w:lineRule="auto"/>
              <w:rPr>
                <w:rFonts w:eastAsia="Times New Roman"/>
                <w:spacing w:val="0"/>
                <w:w w:val="100"/>
                <w:kern w:val="0"/>
                <w:sz w:val="16"/>
                <w:szCs w:val="16"/>
              </w:rPr>
            </w:pPr>
            <w:r w:rsidRPr="008F3B8D">
              <w:rPr>
                <w:rFonts w:eastAsia="Times New Roman"/>
                <w:spacing w:val="0"/>
                <w:w w:val="100"/>
                <w:kern w:val="0"/>
                <w:sz w:val="16"/>
                <w:szCs w:val="16"/>
              </w:rPr>
              <w:t>Other</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051211D9" w14:textId="04AE56D4"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w:t>
            </w:r>
            <w:r w:rsidR="000C7443">
              <w:rPr>
                <w:rFonts w:eastAsia="Times New Roman"/>
                <w:spacing w:val="0"/>
                <w:w w:val="100"/>
                <w:kern w:val="0"/>
                <w:sz w:val="16"/>
                <w:szCs w:val="16"/>
              </w:rPr>
              <w:t>20</w:t>
            </w:r>
            <w:r w:rsidRPr="008F3B8D">
              <w:rPr>
                <w:rFonts w:eastAsia="Times New Roman"/>
                <w:spacing w:val="0"/>
                <w:w w:val="100"/>
                <w:kern w:val="0"/>
                <w:sz w:val="16"/>
                <w:szCs w:val="16"/>
              </w:rPr>
              <w:t xml:space="preserve"> </w:t>
            </w:r>
          </w:p>
        </w:tc>
        <w:tc>
          <w:tcPr>
            <w:tcW w:w="1236" w:type="dxa"/>
            <w:tcBorders>
              <w:top w:val="nil"/>
              <w:left w:val="nil"/>
              <w:bottom w:val="single" w:sz="4" w:space="0" w:color="auto"/>
              <w:right w:val="single" w:sz="4" w:space="0" w:color="auto"/>
            </w:tcBorders>
            <w:shd w:val="clear" w:color="auto" w:fill="auto"/>
            <w:noWrap/>
            <w:vAlign w:val="center"/>
            <w:hideMark/>
          </w:tcPr>
          <w:p w14:paraId="21436396" w14:textId="77777777"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   </w:t>
            </w:r>
          </w:p>
        </w:tc>
        <w:tc>
          <w:tcPr>
            <w:tcW w:w="1006" w:type="dxa"/>
            <w:tcBorders>
              <w:top w:val="nil"/>
              <w:left w:val="nil"/>
              <w:bottom w:val="single" w:sz="4" w:space="0" w:color="auto"/>
              <w:right w:val="single" w:sz="4" w:space="0" w:color="auto"/>
            </w:tcBorders>
            <w:shd w:val="clear" w:color="auto" w:fill="auto"/>
            <w:noWrap/>
            <w:vAlign w:val="center"/>
            <w:hideMark/>
          </w:tcPr>
          <w:p w14:paraId="31503C59" w14:textId="70BEF31A" w:rsidR="007C75F6" w:rsidRPr="008F3B8D" w:rsidRDefault="007C75F6" w:rsidP="00B05ED0">
            <w:pPr>
              <w:keepNext/>
              <w:suppressAutoHyphens w:val="0"/>
              <w:spacing w:line="240" w:lineRule="auto"/>
              <w:jc w:val="right"/>
              <w:rPr>
                <w:rFonts w:eastAsia="Times New Roman"/>
                <w:spacing w:val="0"/>
                <w:w w:val="100"/>
                <w:kern w:val="0"/>
                <w:sz w:val="16"/>
                <w:szCs w:val="16"/>
              </w:rPr>
            </w:pPr>
            <w:r w:rsidRPr="008F3B8D">
              <w:rPr>
                <w:rFonts w:eastAsia="Times New Roman"/>
                <w:spacing w:val="0"/>
                <w:w w:val="100"/>
                <w:kern w:val="0"/>
                <w:sz w:val="16"/>
                <w:szCs w:val="16"/>
              </w:rPr>
              <w:t xml:space="preserve">              </w:t>
            </w:r>
            <w:r w:rsidR="000C7443">
              <w:rPr>
                <w:rFonts w:eastAsia="Times New Roman"/>
                <w:spacing w:val="0"/>
                <w:w w:val="100"/>
                <w:kern w:val="0"/>
                <w:sz w:val="16"/>
                <w:szCs w:val="16"/>
              </w:rPr>
              <w:t>20</w:t>
            </w:r>
            <w:r w:rsidRPr="008F3B8D">
              <w:rPr>
                <w:rFonts w:eastAsia="Times New Roman"/>
                <w:spacing w:val="0"/>
                <w:w w:val="100"/>
                <w:kern w:val="0"/>
                <w:sz w:val="16"/>
                <w:szCs w:val="16"/>
              </w:rPr>
              <w:t xml:space="preserve"> </w:t>
            </w:r>
          </w:p>
        </w:tc>
      </w:tr>
      <w:tr w:rsidR="007C75F6" w:rsidRPr="008F3B8D" w14:paraId="741EA4DB" w14:textId="77777777" w:rsidTr="00FA1E51">
        <w:trPr>
          <w:trHeight w:val="284"/>
        </w:trPr>
        <w:tc>
          <w:tcPr>
            <w:tcW w:w="3753" w:type="dxa"/>
            <w:tcBorders>
              <w:top w:val="nil"/>
              <w:left w:val="single" w:sz="4" w:space="0" w:color="auto"/>
              <w:bottom w:val="single" w:sz="4" w:space="0" w:color="auto"/>
              <w:right w:val="nil"/>
            </w:tcBorders>
            <w:shd w:val="clear" w:color="auto" w:fill="auto"/>
            <w:noWrap/>
            <w:vAlign w:val="center"/>
            <w:hideMark/>
          </w:tcPr>
          <w:p w14:paraId="0BE5B97C" w14:textId="77777777" w:rsidR="007C75F6" w:rsidRPr="008F3B8D" w:rsidRDefault="007C75F6" w:rsidP="003F5F37">
            <w:pPr>
              <w:keepNext/>
              <w:suppressAutoHyphens w:val="0"/>
              <w:spacing w:line="240" w:lineRule="auto"/>
              <w:rPr>
                <w:rFonts w:eastAsia="Times New Roman"/>
                <w:b/>
                <w:bCs/>
                <w:spacing w:val="0"/>
                <w:w w:val="100"/>
                <w:kern w:val="0"/>
                <w:sz w:val="16"/>
                <w:szCs w:val="16"/>
              </w:rPr>
            </w:pPr>
            <w:r w:rsidRPr="008F3B8D">
              <w:rPr>
                <w:rFonts w:eastAsia="Times New Roman"/>
                <w:b/>
                <w:bCs/>
                <w:spacing w:val="0"/>
                <w:w w:val="100"/>
                <w:kern w:val="0"/>
                <w:sz w:val="16"/>
                <w:szCs w:val="16"/>
              </w:rPr>
              <w:t>Total revenue</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14:paraId="070973C9" w14:textId="4CF6A276" w:rsidR="007C75F6" w:rsidRPr="008F3B8D" w:rsidRDefault="007C75F6" w:rsidP="00B05ED0">
            <w:pPr>
              <w:keepNext/>
              <w:suppressAutoHyphens w:val="0"/>
              <w:spacing w:line="240" w:lineRule="auto"/>
              <w:jc w:val="right"/>
              <w:rPr>
                <w:rFonts w:eastAsia="Times New Roman"/>
                <w:b/>
                <w:bCs/>
                <w:spacing w:val="0"/>
                <w:w w:val="100"/>
                <w:kern w:val="0"/>
                <w:sz w:val="16"/>
                <w:szCs w:val="16"/>
              </w:rPr>
            </w:pPr>
            <w:r w:rsidRPr="008F3B8D">
              <w:rPr>
                <w:rFonts w:eastAsia="Times New Roman"/>
                <w:b/>
                <w:bCs/>
                <w:spacing w:val="0"/>
                <w:w w:val="100"/>
                <w:kern w:val="0"/>
                <w:sz w:val="16"/>
                <w:szCs w:val="16"/>
              </w:rPr>
              <w:t xml:space="preserve">                 3</w:t>
            </w:r>
            <w:r w:rsidR="000F34B9" w:rsidRPr="008F3B8D">
              <w:rPr>
                <w:rFonts w:eastAsia="Times New Roman"/>
                <w:b/>
                <w:bCs/>
                <w:spacing w:val="0"/>
                <w:w w:val="100"/>
                <w:kern w:val="0"/>
                <w:sz w:val="16"/>
                <w:szCs w:val="16"/>
              </w:rPr>
              <w:t>26</w:t>
            </w:r>
            <w:r w:rsidRPr="008F3B8D">
              <w:rPr>
                <w:rFonts w:eastAsia="Times New Roman"/>
                <w:b/>
                <w:bCs/>
                <w:spacing w:val="0"/>
                <w:w w:val="100"/>
                <w:kern w:val="0"/>
                <w:sz w:val="16"/>
                <w:szCs w:val="16"/>
              </w:rPr>
              <w:t xml:space="preserve"> </w:t>
            </w:r>
          </w:p>
        </w:tc>
        <w:tc>
          <w:tcPr>
            <w:tcW w:w="1236" w:type="dxa"/>
            <w:tcBorders>
              <w:top w:val="nil"/>
              <w:left w:val="nil"/>
              <w:bottom w:val="single" w:sz="4" w:space="0" w:color="auto"/>
              <w:right w:val="single" w:sz="4" w:space="0" w:color="auto"/>
            </w:tcBorders>
            <w:shd w:val="clear" w:color="auto" w:fill="auto"/>
            <w:noWrap/>
            <w:vAlign w:val="center"/>
            <w:hideMark/>
          </w:tcPr>
          <w:p w14:paraId="10ABA02B" w14:textId="2CC369E7" w:rsidR="007C75F6" w:rsidRPr="008F3B8D" w:rsidRDefault="007C75F6" w:rsidP="00B05ED0">
            <w:pPr>
              <w:keepNext/>
              <w:suppressAutoHyphens w:val="0"/>
              <w:spacing w:line="240" w:lineRule="auto"/>
              <w:jc w:val="right"/>
              <w:rPr>
                <w:rFonts w:eastAsia="Times New Roman"/>
                <w:b/>
                <w:bCs/>
                <w:spacing w:val="0"/>
                <w:w w:val="100"/>
                <w:kern w:val="0"/>
                <w:sz w:val="16"/>
                <w:szCs w:val="16"/>
              </w:rPr>
            </w:pPr>
            <w:r w:rsidRPr="008F3B8D">
              <w:rPr>
                <w:rFonts w:eastAsia="Times New Roman"/>
                <w:b/>
                <w:bCs/>
                <w:spacing w:val="0"/>
                <w:w w:val="100"/>
                <w:kern w:val="0"/>
                <w:sz w:val="16"/>
                <w:szCs w:val="16"/>
              </w:rPr>
              <w:t xml:space="preserve">                   </w:t>
            </w:r>
            <w:r w:rsidR="000F34B9" w:rsidRPr="008F3B8D">
              <w:rPr>
                <w:rFonts w:eastAsia="Times New Roman"/>
                <w:b/>
                <w:bCs/>
                <w:spacing w:val="0"/>
                <w:w w:val="100"/>
                <w:kern w:val="0"/>
                <w:sz w:val="16"/>
                <w:szCs w:val="16"/>
              </w:rPr>
              <w:t>28</w:t>
            </w:r>
            <w:r w:rsidRPr="008F3B8D">
              <w:rPr>
                <w:rFonts w:eastAsia="Times New Roman"/>
                <w:b/>
                <w:bCs/>
                <w:spacing w:val="0"/>
                <w:w w:val="100"/>
                <w:kern w:val="0"/>
                <w:sz w:val="16"/>
                <w:szCs w:val="16"/>
              </w:rPr>
              <w:t xml:space="preserve"> </w:t>
            </w:r>
          </w:p>
        </w:tc>
        <w:tc>
          <w:tcPr>
            <w:tcW w:w="1006" w:type="dxa"/>
            <w:tcBorders>
              <w:top w:val="nil"/>
              <w:left w:val="nil"/>
              <w:bottom w:val="single" w:sz="4" w:space="0" w:color="auto"/>
              <w:right w:val="single" w:sz="4" w:space="0" w:color="auto"/>
            </w:tcBorders>
            <w:shd w:val="clear" w:color="auto" w:fill="auto"/>
            <w:noWrap/>
            <w:vAlign w:val="center"/>
            <w:hideMark/>
          </w:tcPr>
          <w:p w14:paraId="232C434D" w14:textId="5FC27F02" w:rsidR="007C75F6" w:rsidRPr="008F3B8D" w:rsidRDefault="007C75F6" w:rsidP="00B05ED0">
            <w:pPr>
              <w:keepNext/>
              <w:suppressAutoHyphens w:val="0"/>
              <w:spacing w:line="240" w:lineRule="auto"/>
              <w:jc w:val="right"/>
              <w:rPr>
                <w:rFonts w:eastAsia="Times New Roman"/>
                <w:b/>
                <w:bCs/>
                <w:spacing w:val="0"/>
                <w:w w:val="100"/>
                <w:kern w:val="0"/>
                <w:sz w:val="16"/>
                <w:szCs w:val="16"/>
              </w:rPr>
            </w:pPr>
            <w:r w:rsidRPr="008F3B8D">
              <w:rPr>
                <w:rFonts w:eastAsia="Times New Roman"/>
                <w:b/>
                <w:bCs/>
                <w:spacing w:val="0"/>
                <w:w w:val="100"/>
                <w:kern w:val="0"/>
                <w:sz w:val="16"/>
                <w:szCs w:val="16"/>
              </w:rPr>
              <w:t xml:space="preserve">            3</w:t>
            </w:r>
            <w:r w:rsidR="000F34B9" w:rsidRPr="008F3B8D">
              <w:rPr>
                <w:rFonts w:eastAsia="Times New Roman"/>
                <w:b/>
                <w:bCs/>
                <w:spacing w:val="0"/>
                <w:w w:val="100"/>
                <w:kern w:val="0"/>
                <w:sz w:val="16"/>
                <w:szCs w:val="16"/>
              </w:rPr>
              <w:t>54</w:t>
            </w:r>
            <w:r w:rsidRPr="008F3B8D">
              <w:rPr>
                <w:rFonts w:eastAsia="Times New Roman"/>
                <w:b/>
                <w:bCs/>
                <w:spacing w:val="0"/>
                <w:w w:val="100"/>
                <w:kern w:val="0"/>
                <w:sz w:val="16"/>
                <w:szCs w:val="16"/>
              </w:rPr>
              <w:t xml:space="preserve"> </w:t>
            </w:r>
          </w:p>
        </w:tc>
      </w:tr>
      <w:tr w:rsidR="007C75F6" w:rsidRPr="008F3B8D" w14:paraId="5EA1642E" w14:textId="77777777" w:rsidTr="00FA1E51">
        <w:trPr>
          <w:trHeight w:val="225"/>
        </w:trPr>
        <w:tc>
          <w:tcPr>
            <w:tcW w:w="3753" w:type="dxa"/>
            <w:tcBorders>
              <w:top w:val="nil"/>
              <w:left w:val="nil"/>
              <w:bottom w:val="nil"/>
              <w:right w:val="nil"/>
            </w:tcBorders>
            <w:shd w:val="clear" w:color="auto" w:fill="auto"/>
            <w:noWrap/>
            <w:vAlign w:val="center"/>
            <w:hideMark/>
          </w:tcPr>
          <w:p w14:paraId="56A75520" w14:textId="77777777" w:rsidR="007C75F6" w:rsidRPr="008F3B8D" w:rsidRDefault="007C75F6" w:rsidP="003F5F37">
            <w:pPr>
              <w:keepNext/>
              <w:suppressAutoHyphens w:val="0"/>
              <w:spacing w:line="240" w:lineRule="auto"/>
              <w:rPr>
                <w:rFonts w:eastAsia="Times New Roman"/>
                <w:b/>
                <w:bCs/>
                <w:i/>
                <w:iCs/>
                <w:spacing w:val="0"/>
                <w:w w:val="100"/>
                <w:kern w:val="0"/>
                <w:sz w:val="16"/>
                <w:szCs w:val="16"/>
              </w:rPr>
            </w:pPr>
            <w:r w:rsidRPr="008F3B8D">
              <w:rPr>
                <w:rFonts w:eastAsia="Times New Roman"/>
                <w:b/>
                <w:bCs/>
                <w:i/>
                <w:iCs/>
                <w:spacing w:val="0"/>
                <w:w w:val="100"/>
                <w:kern w:val="0"/>
                <w:sz w:val="16"/>
                <w:szCs w:val="16"/>
              </w:rPr>
              <w:t>Expenditure</w:t>
            </w:r>
          </w:p>
        </w:tc>
        <w:tc>
          <w:tcPr>
            <w:tcW w:w="1236" w:type="dxa"/>
            <w:tcBorders>
              <w:top w:val="nil"/>
              <w:left w:val="nil"/>
              <w:bottom w:val="nil"/>
              <w:right w:val="nil"/>
            </w:tcBorders>
            <w:shd w:val="clear" w:color="auto" w:fill="auto"/>
            <w:noWrap/>
            <w:vAlign w:val="center"/>
            <w:hideMark/>
          </w:tcPr>
          <w:p w14:paraId="6C79984B" w14:textId="77777777" w:rsidR="007C75F6" w:rsidRPr="008F3B8D" w:rsidRDefault="007C75F6" w:rsidP="00B05ED0">
            <w:pPr>
              <w:keepNext/>
              <w:suppressAutoHyphens w:val="0"/>
              <w:spacing w:line="240" w:lineRule="auto"/>
              <w:jc w:val="right"/>
              <w:rPr>
                <w:rFonts w:eastAsia="Times New Roman"/>
                <w:b/>
                <w:bCs/>
                <w:i/>
                <w:iCs/>
                <w:spacing w:val="0"/>
                <w:w w:val="100"/>
                <w:kern w:val="0"/>
                <w:sz w:val="16"/>
                <w:szCs w:val="16"/>
              </w:rPr>
            </w:pPr>
          </w:p>
        </w:tc>
        <w:tc>
          <w:tcPr>
            <w:tcW w:w="1236" w:type="dxa"/>
            <w:tcBorders>
              <w:top w:val="nil"/>
              <w:left w:val="nil"/>
              <w:bottom w:val="nil"/>
              <w:right w:val="nil"/>
            </w:tcBorders>
            <w:shd w:val="clear" w:color="auto" w:fill="auto"/>
            <w:noWrap/>
            <w:vAlign w:val="center"/>
            <w:hideMark/>
          </w:tcPr>
          <w:p w14:paraId="0FD47620" w14:textId="77777777" w:rsidR="007C75F6" w:rsidRPr="008F3B8D" w:rsidRDefault="007C75F6" w:rsidP="00B05ED0">
            <w:pPr>
              <w:keepNext/>
              <w:suppressAutoHyphens w:val="0"/>
              <w:spacing w:line="240" w:lineRule="auto"/>
              <w:jc w:val="right"/>
              <w:rPr>
                <w:rFonts w:eastAsia="Times New Roman"/>
                <w:spacing w:val="0"/>
                <w:w w:val="100"/>
                <w:kern w:val="0"/>
              </w:rPr>
            </w:pPr>
          </w:p>
        </w:tc>
        <w:tc>
          <w:tcPr>
            <w:tcW w:w="1006" w:type="dxa"/>
            <w:tcBorders>
              <w:top w:val="nil"/>
              <w:left w:val="nil"/>
              <w:bottom w:val="nil"/>
              <w:right w:val="nil"/>
            </w:tcBorders>
            <w:shd w:val="clear" w:color="auto" w:fill="auto"/>
            <w:noWrap/>
            <w:vAlign w:val="center"/>
            <w:hideMark/>
          </w:tcPr>
          <w:p w14:paraId="64C46D49" w14:textId="77777777" w:rsidR="007C75F6" w:rsidRPr="008F3B8D" w:rsidRDefault="007C75F6" w:rsidP="00B05ED0">
            <w:pPr>
              <w:keepNext/>
              <w:suppressAutoHyphens w:val="0"/>
              <w:spacing w:line="240" w:lineRule="auto"/>
              <w:jc w:val="right"/>
              <w:rPr>
                <w:rFonts w:eastAsia="Times New Roman"/>
                <w:spacing w:val="0"/>
                <w:w w:val="100"/>
                <w:kern w:val="0"/>
              </w:rPr>
            </w:pPr>
          </w:p>
        </w:tc>
      </w:tr>
      <w:tr w:rsidR="007C75F6" w:rsidRPr="000E57AE" w14:paraId="7EAC4104" w14:textId="77777777" w:rsidTr="00FA1E51">
        <w:trPr>
          <w:trHeight w:val="284"/>
        </w:trPr>
        <w:tc>
          <w:tcPr>
            <w:tcW w:w="3753" w:type="dxa"/>
            <w:tcBorders>
              <w:top w:val="single" w:sz="4" w:space="0" w:color="auto"/>
              <w:left w:val="single" w:sz="4" w:space="0" w:color="auto"/>
              <w:bottom w:val="single" w:sz="4" w:space="0" w:color="auto"/>
              <w:right w:val="nil"/>
            </w:tcBorders>
            <w:shd w:val="clear" w:color="auto" w:fill="auto"/>
            <w:noWrap/>
            <w:vAlign w:val="center"/>
            <w:hideMark/>
          </w:tcPr>
          <w:p w14:paraId="708D30AB" w14:textId="77777777" w:rsidR="007C75F6" w:rsidRPr="008F3B8D" w:rsidRDefault="007C75F6" w:rsidP="003F5F37">
            <w:pPr>
              <w:keepNext/>
              <w:suppressAutoHyphens w:val="0"/>
              <w:spacing w:line="240" w:lineRule="auto"/>
              <w:rPr>
                <w:rFonts w:eastAsia="Times New Roman"/>
                <w:b/>
                <w:bCs/>
                <w:spacing w:val="0"/>
                <w:w w:val="100"/>
                <w:kern w:val="0"/>
                <w:sz w:val="16"/>
                <w:szCs w:val="16"/>
              </w:rPr>
            </w:pPr>
            <w:r w:rsidRPr="008F3B8D">
              <w:rPr>
                <w:rFonts w:eastAsia="Times New Roman"/>
                <w:b/>
                <w:bCs/>
                <w:spacing w:val="0"/>
                <w:w w:val="100"/>
                <w:kern w:val="0"/>
                <w:sz w:val="16"/>
                <w:szCs w:val="16"/>
              </w:rPr>
              <w:t>Total expenditure</w:t>
            </w:r>
          </w:p>
        </w:tc>
        <w:tc>
          <w:tcPr>
            <w:tcW w:w="1236" w:type="dxa"/>
            <w:tcBorders>
              <w:top w:val="single" w:sz="4" w:space="0" w:color="auto"/>
              <w:left w:val="single" w:sz="4" w:space="0" w:color="auto"/>
              <w:bottom w:val="single" w:sz="4" w:space="0" w:color="auto"/>
              <w:right w:val="nil"/>
            </w:tcBorders>
            <w:shd w:val="clear" w:color="auto" w:fill="auto"/>
            <w:noWrap/>
            <w:vAlign w:val="center"/>
            <w:hideMark/>
          </w:tcPr>
          <w:p w14:paraId="739108E7" w14:textId="438F637E" w:rsidR="007C75F6" w:rsidRPr="008F3B8D" w:rsidRDefault="007C75F6" w:rsidP="00B05ED0">
            <w:pPr>
              <w:keepNext/>
              <w:suppressAutoHyphens w:val="0"/>
              <w:spacing w:line="240" w:lineRule="auto"/>
              <w:jc w:val="right"/>
              <w:rPr>
                <w:rFonts w:eastAsia="Times New Roman"/>
                <w:b/>
                <w:bCs/>
                <w:spacing w:val="0"/>
                <w:w w:val="100"/>
                <w:kern w:val="0"/>
                <w:sz w:val="16"/>
                <w:szCs w:val="16"/>
              </w:rPr>
            </w:pPr>
            <w:r w:rsidRPr="008F3B8D">
              <w:rPr>
                <w:rFonts w:eastAsia="Times New Roman"/>
                <w:b/>
                <w:bCs/>
                <w:spacing w:val="0"/>
                <w:w w:val="100"/>
                <w:kern w:val="0"/>
                <w:sz w:val="16"/>
                <w:szCs w:val="16"/>
              </w:rPr>
              <w:t xml:space="preserve">                 </w:t>
            </w:r>
            <w:r w:rsidR="00C11427" w:rsidRPr="008F3B8D">
              <w:rPr>
                <w:rFonts w:eastAsia="Times New Roman"/>
                <w:b/>
                <w:bCs/>
                <w:spacing w:val="0"/>
                <w:w w:val="100"/>
                <w:kern w:val="0"/>
                <w:sz w:val="16"/>
                <w:szCs w:val="16"/>
              </w:rPr>
              <w:t>256</w:t>
            </w:r>
            <w:r w:rsidRPr="008F3B8D">
              <w:rPr>
                <w:rFonts w:eastAsia="Times New Roman"/>
                <w:b/>
                <w:bCs/>
                <w:spacing w:val="0"/>
                <w:w w:val="100"/>
                <w:kern w:val="0"/>
                <w:sz w:val="16"/>
                <w:szCs w:val="16"/>
              </w:rPr>
              <w:t xml:space="preserve">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F7EA1" w14:textId="6EE8A499" w:rsidR="007C75F6" w:rsidRPr="008F3B8D" w:rsidRDefault="007C75F6" w:rsidP="00B05ED0">
            <w:pPr>
              <w:keepNext/>
              <w:suppressAutoHyphens w:val="0"/>
              <w:spacing w:line="240" w:lineRule="auto"/>
              <w:jc w:val="right"/>
              <w:rPr>
                <w:rFonts w:eastAsia="Times New Roman"/>
                <w:b/>
                <w:bCs/>
                <w:spacing w:val="0"/>
                <w:w w:val="100"/>
                <w:kern w:val="0"/>
                <w:sz w:val="16"/>
                <w:szCs w:val="16"/>
              </w:rPr>
            </w:pPr>
            <w:r w:rsidRPr="008F3B8D">
              <w:rPr>
                <w:rFonts w:eastAsia="Times New Roman"/>
                <w:b/>
                <w:bCs/>
                <w:spacing w:val="0"/>
                <w:w w:val="100"/>
                <w:kern w:val="0"/>
                <w:sz w:val="16"/>
                <w:szCs w:val="16"/>
              </w:rPr>
              <w:t xml:space="preserve">                   </w:t>
            </w:r>
            <w:r w:rsidR="00C11427" w:rsidRPr="008F3B8D">
              <w:rPr>
                <w:rFonts w:eastAsia="Times New Roman"/>
                <w:b/>
                <w:bCs/>
                <w:spacing w:val="0"/>
                <w:w w:val="100"/>
                <w:kern w:val="0"/>
                <w:sz w:val="16"/>
                <w:szCs w:val="16"/>
              </w:rPr>
              <w:t>52</w:t>
            </w:r>
            <w:r w:rsidRPr="008F3B8D">
              <w:rPr>
                <w:rFonts w:eastAsia="Times New Roman"/>
                <w:b/>
                <w:bCs/>
                <w:spacing w:val="0"/>
                <w:w w:val="100"/>
                <w:kern w:val="0"/>
                <w:sz w:val="16"/>
                <w:szCs w:val="16"/>
              </w:rPr>
              <w:t xml:space="preserve"> </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5379B1F1" w14:textId="6DFF7AE3" w:rsidR="007C75F6" w:rsidRPr="000E57AE" w:rsidRDefault="007C75F6" w:rsidP="00B05ED0">
            <w:pPr>
              <w:keepNext/>
              <w:suppressAutoHyphens w:val="0"/>
              <w:spacing w:line="240" w:lineRule="auto"/>
              <w:jc w:val="right"/>
              <w:rPr>
                <w:rFonts w:eastAsia="Times New Roman"/>
                <w:b/>
                <w:bCs/>
                <w:spacing w:val="0"/>
                <w:w w:val="100"/>
                <w:kern w:val="0"/>
                <w:sz w:val="16"/>
                <w:szCs w:val="16"/>
              </w:rPr>
            </w:pPr>
            <w:r w:rsidRPr="008F3B8D">
              <w:rPr>
                <w:rFonts w:eastAsia="Times New Roman"/>
                <w:b/>
                <w:bCs/>
                <w:spacing w:val="0"/>
                <w:w w:val="100"/>
                <w:kern w:val="0"/>
                <w:sz w:val="16"/>
                <w:szCs w:val="16"/>
              </w:rPr>
              <w:t xml:space="preserve">            3</w:t>
            </w:r>
            <w:r w:rsidR="00C11427" w:rsidRPr="008F3B8D">
              <w:rPr>
                <w:rFonts w:eastAsia="Times New Roman"/>
                <w:b/>
                <w:bCs/>
                <w:spacing w:val="0"/>
                <w:w w:val="100"/>
                <w:kern w:val="0"/>
                <w:sz w:val="16"/>
                <w:szCs w:val="16"/>
              </w:rPr>
              <w:t>09</w:t>
            </w:r>
            <w:r w:rsidRPr="000E57AE">
              <w:rPr>
                <w:rFonts w:eastAsia="Times New Roman"/>
                <w:b/>
                <w:bCs/>
                <w:spacing w:val="0"/>
                <w:w w:val="100"/>
                <w:kern w:val="0"/>
                <w:sz w:val="16"/>
                <w:szCs w:val="16"/>
              </w:rPr>
              <w:t xml:space="preserve"> </w:t>
            </w:r>
          </w:p>
        </w:tc>
      </w:tr>
    </w:tbl>
    <w:p w14:paraId="11CF7663" w14:textId="722092E0" w:rsidR="00A1057B" w:rsidRPr="000E57AE" w:rsidRDefault="00A1057B" w:rsidP="00E82350">
      <w:pPr>
        <w:tabs>
          <w:tab w:val="left" w:pos="1470"/>
        </w:tabs>
        <w:suppressAutoHyphens w:val="0"/>
        <w:spacing w:line="240" w:lineRule="auto"/>
      </w:pPr>
    </w:p>
    <w:p w14:paraId="1E26066F" w14:textId="5155C723" w:rsidR="006A1235" w:rsidRPr="000E57AE" w:rsidRDefault="00370B8D" w:rsidP="009D4BB3">
      <w:pPr>
        <w:pStyle w:val="SingleTxt"/>
        <w:numPr>
          <w:ilvl w:val="0"/>
          <w:numId w:val="5"/>
        </w:numPr>
        <w:tabs>
          <w:tab w:val="clear" w:pos="1742"/>
          <w:tab w:val="clear" w:pos="2218"/>
          <w:tab w:val="left" w:pos="1530"/>
        </w:tabs>
        <w:spacing w:before="240" w:after="240" w:line="240" w:lineRule="auto"/>
      </w:pPr>
      <w:r w:rsidRPr="00145C88">
        <w:t xml:space="preserve">UNDP made every effort to attain full compliance with the cost recovery rate and seeks to further reduce the number of waivers. While infrequent, general management support waivers continue to be requested by funding partners. During 2019, no new waiver on the general management support fee was granted for new projects, but three waivers were renewed at previously approved reduced GMS rates. (DP/2020/9, annex III). The financial impact of these three waivers was estimated at $5.5 million in total. </w:t>
      </w:r>
    </w:p>
    <w:p w14:paraId="079A8292" w14:textId="00B15E87" w:rsidR="00CA2ECE" w:rsidRPr="009E5F63" w:rsidRDefault="00CA2ECE" w:rsidP="009E5F63">
      <w:pPr>
        <w:pStyle w:val="H1"/>
        <w:numPr>
          <w:ilvl w:val="1"/>
          <w:numId w:val="6"/>
        </w:numPr>
        <w:tabs>
          <w:tab w:val="clear" w:pos="1022"/>
          <w:tab w:val="clear" w:pos="1742"/>
          <w:tab w:val="right" w:pos="1440"/>
          <w:tab w:val="left" w:pos="1800"/>
        </w:tabs>
        <w:spacing w:before="240" w:after="240" w:line="240" w:lineRule="auto"/>
        <w:ind w:left="1152" w:right="0"/>
        <w:outlineLvl w:val="1"/>
      </w:pPr>
      <w:bookmarkStart w:id="279" w:name="_Toc46399203"/>
      <w:bookmarkStart w:id="280" w:name="_Hlk884380"/>
      <w:r w:rsidRPr="009E5F63">
        <w:t>Expenses</w:t>
      </w:r>
      <w:bookmarkEnd w:id="279"/>
    </w:p>
    <w:bookmarkEnd w:id="280"/>
    <w:p w14:paraId="21EC8460" w14:textId="6A9BABA3" w:rsidR="00B57790" w:rsidRPr="000E57AE" w:rsidRDefault="00AC0CBF" w:rsidP="009D4BB3">
      <w:pPr>
        <w:pStyle w:val="SingleTxt"/>
        <w:numPr>
          <w:ilvl w:val="0"/>
          <w:numId w:val="5"/>
        </w:numPr>
        <w:tabs>
          <w:tab w:val="clear" w:pos="1267"/>
          <w:tab w:val="clear" w:pos="1742"/>
          <w:tab w:val="clear" w:pos="2218"/>
          <w:tab w:val="left" w:pos="1260"/>
          <w:tab w:val="left" w:pos="1530"/>
        </w:tabs>
        <w:spacing w:before="240" w:after="240" w:line="240" w:lineRule="auto"/>
      </w:pPr>
      <w:r>
        <w:t>In 2019, t</w:t>
      </w:r>
      <w:r w:rsidR="00CA2ECE" w:rsidRPr="000E57AE">
        <w:t xml:space="preserve">otal expenses, </w:t>
      </w:r>
      <w:r w:rsidR="001D5BD9" w:rsidRPr="000E57AE">
        <w:t>after</w:t>
      </w:r>
      <w:r w:rsidR="00CA2ECE" w:rsidRPr="000E57AE">
        <w:t xml:space="preserve"> elimination, </w:t>
      </w:r>
      <w:r w:rsidR="00EC5470">
        <w:t>decreased</w:t>
      </w:r>
      <w:r w:rsidR="00A065A2">
        <w:t xml:space="preserve"> </w:t>
      </w:r>
      <w:r w:rsidR="00DC33F0">
        <w:t>by 3 per cent</w:t>
      </w:r>
      <w:r w:rsidR="00A065A2">
        <w:t xml:space="preserve"> or </w:t>
      </w:r>
      <w:r w:rsidR="00C70C0B">
        <w:t>173 million</w:t>
      </w:r>
      <w:r w:rsidR="00EA7E3F" w:rsidRPr="000E57AE">
        <w:t>, to $</w:t>
      </w:r>
      <w:r w:rsidR="002671F4">
        <w:t>4</w:t>
      </w:r>
      <w:r w:rsidR="004F6FE9">
        <w:t>.</w:t>
      </w:r>
      <w:r w:rsidR="002671F4">
        <w:t>9</w:t>
      </w:r>
      <w:r w:rsidR="001C67D0">
        <w:t xml:space="preserve"> billion</w:t>
      </w:r>
      <w:r w:rsidR="00EA7E3F" w:rsidRPr="000E57AE">
        <w:t xml:space="preserve"> (201</w:t>
      </w:r>
      <w:r w:rsidR="002671F4">
        <w:t>8</w:t>
      </w:r>
      <w:r w:rsidR="00147D8D">
        <w:t xml:space="preserve"> (restated)</w:t>
      </w:r>
      <w:r w:rsidR="00EA7E3F" w:rsidRPr="000E57AE">
        <w:t>: $5</w:t>
      </w:r>
      <w:r w:rsidR="004F6FE9">
        <w:t>.</w:t>
      </w:r>
      <w:r w:rsidR="001C67D0">
        <w:t xml:space="preserve">1 </w:t>
      </w:r>
      <w:r w:rsidR="00E7076F">
        <w:t>billion)</w:t>
      </w:r>
      <w:r w:rsidR="00A00A87">
        <w:t xml:space="preserve">. </w:t>
      </w:r>
    </w:p>
    <w:p w14:paraId="390EA5D2" w14:textId="7D986C34" w:rsidR="001B3551" w:rsidRDefault="00061BF3"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0E57AE">
        <w:t xml:space="preserve">Out of this total </w:t>
      </w:r>
      <w:r w:rsidR="00116D56">
        <w:t xml:space="preserve">of </w:t>
      </w:r>
      <w:r w:rsidRPr="000E57AE">
        <w:t>$</w:t>
      </w:r>
      <w:r w:rsidR="00B54A9A">
        <w:t>4</w:t>
      </w:r>
      <w:r w:rsidR="004F6FE9">
        <w:t>.</w:t>
      </w:r>
      <w:r w:rsidR="00B54A9A">
        <w:t>9</w:t>
      </w:r>
      <w:r w:rsidR="00267F19">
        <w:t xml:space="preserve"> </w:t>
      </w:r>
      <w:r w:rsidR="00E7076F">
        <w:t>billion,</w:t>
      </w:r>
      <w:r w:rsidRPr="000E57AE">
        <w:t xml:space="preserve"> $</w:t>
      </w:r>
      <w:r w:rsidR="00E01F19">
        <w:t>4</w:t>
      </w:r>
      <w:r w:rsidR="004F6FE9">
        <w:t>.</w:t>
      </w:r>
      <w:r w:rsidR="00E01F19">
        <w:t>3</w:t>
      </w:r>
      <w:r w:rsidRPr="000E57AE">
        <w:t xml:space="preserve"> </w:t>
      </w:r>
      <w:r w:rsidR="0022680B">
        <w:t>billion</w:t>
      </w:r>
      <w:r w:rsidRPr="000E57AE">
        <w:t xml:space="preserve"> was for programme expenses, which represents 8</w:t>
      </w:r>
      <w:r w:rsidR="00832DAB">
        <w:t>8</w:t>
      </w:r>
      <w:r w:rsidRPr="000E57AE">
        <w:t xml:space="preserve"> per cent</w:t>
      </w:r>
      <w:r w:rsidR="00A91025">
        <w:t xml:space="preserve"> of total expenses</w:t>
      </w:r>
      <w:r w:rsidRPr="000E57AE">
        <w:t>.</w:t>
      </w:r>
      <w:r w:rsidR="003F3A35">
        <w:t xml:space="preserve">  </w:t>
      </w:r>
      <w:r w:rsidRPr="000E57AE">
        <w:t>Th</w:t>
      </w:r>
      <w:r w:rsidR="008021C3" w:rsidRPr="000E57AE">
        <w:t xml:space="preserve">e amount of </w:t>
      </w:r>
      <w:r w:rsidRPr="000E57AE">
        <w:t>$</w:t>
      </w:r>
      <w:r w:rsidR="00D8158A">
        <w:t>5</w:t>
      </w:r>
      <w:r w:rsidR="004F6FE9">
        <w:t>.</w:t>
      </w:r>
      <w:r w:rsidR="00795AB1">
        <w:t>2</w:t>
      </w:r>
      <w:r w:rsidRPr="000E57AE">
        <w:t xml:space="preserve"> </w:t>
      </w:r>
      <w:r w:rsidR="00795AB1">
        <w:t>bi</w:t>
      </w:r>
      <w:r w:rsidRPr="000E57AE">
        <w:t>llion</w:t>
      </w:r>
      <w:r w:rsidR="008021C3" w:rsidRPr="000E57AE">
        <w:t>, before elimination</w:t>
      </w:r>
      <w:r w:rsidR="001F1170" w:rsidRPr="000E57AE">
        <w:t>,</w:t>
      </w:r>
      <w:r w:rsidRPr="000E57AE">
        <w:t xml:space="preserve"> is composed of $</w:t>
      </w:r>
      <w:r w:rsidR="00E463E0">
        <w:t>716</w:t>
      </w:r>
      <w:r w:rsidRPr="000E57AE">
        <w:t xml:space="preserve"> million for regular resources and $</w:t>
      </w:r>
      <w:r w:rsidR="006D1085">
        <w:t>4</w:t>
      </w:r>
      <w:r w:rsidR="004F6FE9">
        <w:t>.</w:t>
      </w:r>
      <w:r w:rsidR="00A83327">
        <w:t>5</w:t>
      </w:r>
      <w:r w:rsidR="00A24BE3">
        <w:t xml:space="preserve"> </w:t>
      </w:r>
      <w:r w:rsidR="00804048">
        <w:t>bi</w:t>
      </w:r>
      <w:r w:rsidRPr="000E57AE">
        <w:t>llion for other resources.</w:t>
      </w:r>
    </w:p>
    <w:p w14:paraId="01FC3592" w14:textId="50FF4F62" w:rsidR="00C27634" w:rsidRPr="000E57AE" w:rsidRDefault="00A95E43" w:rsidP="003F5F37">
      <w:pPr>
        <w:pStyle w:val="SingleTxt"/>
        <w:keepNext/>
        <w:tabs>
          <w:tab w:val="clear" w:pos="1267"/>
          <w:tab w:val="clear" w:pos="1742"/>
          <w:tab w:val="clear" w:pos="2218"/>
          <w:tab w:val="clear" w:pos="2693"/>
          <w:tab w:val="left" w:pos="1530"/>
          <w:tab w:val="left" w:pos="1620"/>
          <w:tab w:val="left" w:pos="1800"/>
        </w:tabs>
        <w:ind w:left="1526"/>
        <w:contextualSpacing/>
        <w:jc w:val="center"/>
        <w:rPr>
          <w:b/>
        </w:rPr>
      </w:pPr>
      <w:r w:rsidRPr="008B328A">
        <w:rPr>
          <w:b/>
        </w:rPr>
        <w:t xml:space="preserve">Table </w:t>
      </w:r>
      <w:r w:rsidR="00C9140A" w:rsidRPr="008B328A">
        <w:rPr>
          <w:b/>
        </w:rPr>
        <w:t>4</w:t>
      </w:r>
      <w:r w:rsidR="00536AF8" w:rsidRPr="008B328A">
        <w:rPr>
          <w:b/>
        </w:rPr>
        <w:t>. UNDP overall expenses, 201</w:t>
      </w:r>
      <w:r w:rsidR="006D1085" w:rsidRPr="008B328A">
        <w:rPr>
          <w:b/>
        </w:rPr>
        <w:t>9</w:t>
      </w:r>
    </w:p>
    <w:p w14:paraId="439FD211" w14:textId="412B8EC6" w:rsidR="00984D3A" w:rsidRPr="000F1D96" w:rsidRDefault="00984D3A" w:rsidP="003F5F37">
      <w:pPr>
        <w:pStyle w:val="SingleTxt"/>
        <w:keepNext/>
        <w:tabs>
          <w:tab w:val="clear" w:pos="1267"/>
          <w:tab w:val="clear" w:pos="1742"/>
          <w:tab w:val="clear" w:pos="2218"/>
          <w:tab w:val="clear" w:pos="2693"/>
          <w:tab w:val="left" w:pos="1530"/>
          <w:tab w:val="left" w:pos="1620"/>
          <w:tab w:val="left" w:pos="1800"/>
        </w:tabs>
        <w:ind w:left="1530"/>
        <w:jc w:val="center"/>
        <w:rPr>
          <w:i/>
          <w:sz w:val="18"/>
        </w:rPr>
      </w:pPr>
      <w:r w:rsidRPr="000F1D96">
        <w:rPr>
          <w:i/>
          <w:sz w:val="18"/>
        </w:rPr>
        <w:t xml:space="preserve">(in millions of </w:t>
      </w:r>
      <w:r w:rsidR="000F1D96">
        <w:rPr>
          <w:i/>
          <w:sz w:val="18"/>
        </w:rPr>
        <w:t xml:space="preserve">United States </w:t>
      </w:r>
      <w:r w:rsidRPr="000F1D96">
        <w:rPr>
          <w:i/>
          <w:sz w:val="18"/>
        </w:rPr>
        <w:t>dollars)</w:t>
      </w:r>
    </w:p>
    <w:tbl>
      <w:tblPr>
        <w:tblW w:w="7341" w:type="dxa"/>
        <w:tblInd w:w="1345" w:type="dxa"/>
        <w:tblLayout w:type="fixed"/>
        <w:tblLook w:val="04A0" w:firstRow="1" w:lastRow="0" w:firstColumn="1" w:lastColumn="0" w:noHBand="0" w:noVBand="1"/>
      </w:tblPr>
      <w:tblGrid>
        <w:gridCol w:w="3575"/>
        <w:gridCol w:w="936"/>
        <w:gridCol w:w="936"/>
        <w:gridCol w:w="936"/>
        <w:gridCol w:w="958"/>
      </w:tblGrid>
      <w:tr w:rsidR="006D1085" w:rsidRPr="000E57AE" w14:paraId="04EC4B35" w14:textId="77777777" w:rsidTr="00A11CE9">
        <w:trPr>
          <w:trHeight w:val="514"/>
        </w:trPr>
        <w:tc>
          <w:tcPr>
            <w:tcW w:w="3575" w:type="dxa"/>
            <w:tcBorders>
              <w:top w:val="single" w:sz="4" w:space="0" w:color="000000"/>
              <w:left w:val="single" w:sz="4" w:space="0" w:color="000000"/>
              <w:bottom w:val="single" w:sz="4" w:space="0" w:color="auto"/>
              <w:right w:val="single" w:sz="4" w:space="0" w:color="auto"/>
            </w:tcBorders>
            <w:shd w:val="clear" w:color="auto" w:fill="auto"/>
            <w:vAlign w:val="center"/>
            <w:hideMark/>
          </w:tcPr>
          <w:p w14:paraId="654AC093" w14:textId="77777777" w:rsidR="006D1085" w:rsidRPr="000E57AE" w:rsidRDefault="006D1085" w:rsidP="003F5F37">
            <w:pPr>
              <w:keepNext/>
              <w:suppressAutoHyphens w:val="0"/>
              <w:spacing w:line="240" w:lineRule="auto"/>
              <w:rPr>
                <w:rFonts w:eastAsia="Times New Roman"/>
                <w:i/>
                <w:iCs/>
                <w:color w:val="000000"/>
                <w:spacing w:val="0"/>
                <w:w w:val="100"/>
                <w:kern w:val="0"/>
                <w:sz w:val="16"/>
                <w:szCs w:val="16"/>
              </w:rPr>
            </w:pPr>
            <w:r w:rsidRPr="000E57AE">
              <w:rPr>
                <w:rFonts w:eastAsia="Times New Roman"/>
                <w:i/>
                <w:iCs/>
                <w:color w:val="000000"/>
                <w:spacing w:val="0"/>
                <w:w w:val="100"/>
                <w:kern w:val="0"/>
                <w:sz w:val="16"/>
                <w:szCs w:val="16"/>
              </w:rPr>
              <w:t>Resources</w:t>
            </w:r>
          </w:p>
        </w:tc>
        <w:tc>
          <w:tcPr>
            <w:tcW w:w="936" w:type="dxa"/>
            <w:tcBorders>
              <w:top w:val="single" w:sz="4" w:space="0" w:color="auto"/>
              <w:left w:val="single" w:sz="4" w:space="0" w:color="auto"/>
              <w:bottom w:val="single" w:sz="4" w:space="0" w:color="auto"/>
              <w:right w:val="single" w:sz="4" w:space="0" w:color="auto"/>
            </w:tcBorders>
            <w:vAlign w:val="center"/>
          </w:tcPr>
          <w:p w14:paraId="5697B6B5" w14:textId="002A8580" w:rsidR="006D1085" w:rsidRPr="000E57AE" w:rsidRDefault="006D1085" w:rsidP="006D1085">
            <w:pPr>
              <w:keepNext/>
              <w:suppressAutoHyphens w:val="0"/>
              <w:spacing w:line="240" w:lineRule="auto"/>
              <w:jc w:val="center"/>
              <w:rPr>
                <w:rFonts w:eastAsia="Times New Roman"/>
                <w:color w:val="000000"/>
                <w:spacing w:val="0"/>
                <w:w w:val="100"/>
                <w:kern w:val="0"/>
                <w:sz w:val="16"/>
                <w:szCs w:val="16"/>
              </w:rPr>
            </w:pPr>
            <w:r>
              <w:rPr>
                <w:rFonts w:eastAsia="Times New Roman"/>
                <w:color w:val="000000"/>
                <w:spacing w:val="0"/>
                <w:w w:val="100"/>
                <w:kern w:val="0"/>
                <w:sz w:val="16"/>
                <w:szCs w:val="16"/>
              </w:rPr>
              <w:t>2019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F2B6D" w14:textId="77777777" w:rsidR="006D1085" w:rsidRDefault="006D1085" w:rsidP="006D1085">
            <w:pPr>
              <w:keepNext/>
              <w:suppressAutoHyphens w:val="0"/>
              <w:spacing w:line="240" w:lineRule="auto"/>
              <w:jc w:val="center"/>
              <w:rPr>
                <w:rFonts w:eastAsia="Times New Roman"/>
                <w:color w:val="000000"/>
                <w:spacing w:val="0"/>
                <w:w w:val="100"/>
                <w:kern w:val="0"/>
                <w:sz w:val="16"/>
                <w:szCs w:val="16"/>
              </w:rPr>
            </w:pPr>
            <w:r w:rsidRPr="000E57AE">
              <w:rPr>
                <w:rFonts w:eastAsia="Times New Roman"/>
                <w:color w:val="000000"/>
                <w:spacing w:val="0"/>
                <w:w w:val="100"/>
                <w:kern w:val="0"/>
                <w:sz w:val="16"/>
                <w:szCs w:val="16"/>
              </w:rPr>
              <w:t>2018</w:t>
            </w:r>
          </w:p>
          <w:p w14:paraId="7FCAB58B" w14:textId="5B326CD9" w:rsidR="006D1085" w:rsidRPr="000E57AE" w:rsidRDefault="006D1085" w:rsidP="006D1085">
            <w:pPr>
              <w:keepNext/>
              <w:suppressAutoHyphens w:val="0"/>
              <w:spacing w:line="240" w:lineRule="auto"/>
              <w:jc w:val="center"/>
              <w:rPr>
                <w:rFonts w:eastAsia="Times New Roman"/>
                <w:color w:val="000000"/>
                <w:spacing w:val="0"/>
                <w:w w:val="100"/>
                <w:kern w:val="0"/>
                <w:sz w:val="16"/>
                <w:szCs w:val="16"/>
              </w:rPr>
            </w:pPr>
            <w:r>
              <w:rPr>
                <w:rFonts w:eastAsia="Times New Roman"/>
                <w:color w:val="000000"/>
                <w:spacing w:val="0"/>
                <w:w w:val="100"/>
                <w:kern w:val="0"/>
                <w:sz w:val="16"/>
                <w:szCs w:val="16"/>
              </w:rPr>
              <w:t>(restated)</w:t>
            </w:r>
          </w:p>
        </w:tc>
        <w:tc>
          <w:tcPr>
            <w:tcW w:w="93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C40501" w14:textId="77777777" w:rsidR="006D1085" w:rsidRPr="000E57AE" w:rsidRDefault="006D1085" w:rsidP="006D1085">
            <w:pPr>
              <w:keepNext/>
              <w:suppressAutoHyphens w:val="0"/>
              <w:spacing w:line="240" w:lineRule="auto"/>
              <w:jc w:val="center"/>
              <w:rPr>
                <w:rFonts w:eastAsia="Times New Roman"/>
                <w:i/>
                <w:iCs/>
                <w:color w:val="000000"/>
                <w:spacing w:val="0"/>
                <w:w w:val="100"/>
                <w:kern w:val="0"/>
                <w:sz w:val="16"/>
                <w:szCs w:val="16"/>
              </w:rPr>
            </w:pPr>
            <w:r w:rsidRPr="000E57AE">
              <w:rPr>
                <w:rFonts w:eastAsia="Times New Roman"/>
                <w:i/>
                <w:iCs/>
                <w:color w:val="000000"/>
                <w:spacing w:val="0"/>
                <w:w w:val="100"/>
                <w:kern w:val="0"/>
                <w:sz w:val="16"/>
                <w:szCs w:val="16"/>
              </w:rPr>
              <w:t>increase/ (decrease)</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6F0098A1" w14:textId="10C4C060" w:rsidR="006D1085" w:rsidRPr="000E57AE" w:rsidRDefault="006D1085" w:rsidP="006D1085">
            <w:pPr>
              <w:keepNext/>
              <w:suppressAutoHyphens w:val="0"/>
              <w:spacing w:line="240" w:lineRule="auto"/>
              <w:ind w:right="-9"/>
              <w:jc w:val="center"/>
              <w:rPr>
                <w:rFonts w:eastAsia="Times New Roman"/>
                <w:i/>
                <w:iCs/>
                <w:color w:val="000000"/>
                <w:spacing w:val="0"/>
                <w:w w:val="100"/>
                <w:kern w:val="0"/>
                <w:sz w:val="16"/>
                <w:szCs w:val="16"/>
              </w:rPr>
            </w:pPr>
            <w:r>
              <w:rPr>
                <w:rFonts w:eastAsia="Times New Roman"/>
                <w:i/>
                <w:iCs/>
                <w:color w:val="000000"/>
                <w:spacing w:val="0"/>
                <w:w w:val="100"/>
                <w:kern w:val="0"/>
                <w:sz w:val="16"/>
                <w:szCs w:val="16"/>
              </w:rPr>
              <w:t>Percentage</w:t>
            </w:r>
            <w:r w:rsidRPr="000E57AE">
              <w:rPr>
                <w:rFonts w:eastAsia="Times New Roman"/>
                <w:i/>
                <w:iCs/>
                <w:color w:val="000000"/>
                <w:spacing w:val="0"/>
                <w:w w:val="100"/>
                <w:kern w:val="0"/>
                <w:sz w:val="16"/>
                <w:szCs w:val="16"/>
              </w:rPr>
              <w:t xml:space="preserve"> change</w:t>
            </w:r>
          </w:p>
        </w:tc>
      </w:tr>
      <w:tr w:rsidR="006D1085" w:rsidRPr="000E57AE" w14:paraId="1354490B" w14:textId="77777777" w:rsidTr="00A11CE9">
        <w:trPr>
          <w:trHeight w:val="281"/>
        </w:trPr>
        <w:tc>
          <w:tcPr>
            <w:tcW w:w="3575" w:type="dxa"/>
            <w:tcBorders>
              <w:top w:val="nil"/>
              <w:left w:val="single" w:sz="4" w:space="0" w:color="auto"/>
              <w:bottom w:val="nil"/>
              <w:right w:val="nil"/>
            </w:tcBorders>
            <w:shd w:val="clear" w:color="auto" w:fill="auto"/>
            <w:noWrap/>
            <w:vAlign w:val="center"/>
            <w:hideMark/>
          </w:tcPr>
          <w:p w14:paraId="780DE753" w14:textId="77777777" w:rsidR="006D1085" w:rsidRPr="000E57AE" w:rsidRDefault="006D1085" w:rsidP="003F5F37">
            <w:pPr>
              <w:keepNext/>
              <w:suppressAutoHyphens w:val="0"/>
              <w:spacing w:line="240" w:lineRule="auto"/>
              <w:rPr>
                <w:rFonts w:eastAsia="Times New Roman"/>
                <w:b/>
                <w:bCs/>
                <w:color w:val="000000"/>
                <w:spacing w:val="0"/>
                <w:w w:val="100"/>
                <w:kern w:val="0"/>
                <w:sz w:val="16"/>
                <w:szCs w:val="16"/>
              </w:rPr>
            </w:pPr>
            <w:r w:rsidRPr="000E57AE">
              <w:rPr>
                <w:rFonts w:eastAsia="Times New Roman"/>
                <w:b/>
                <w:bCs/>
                <w:color w:val="000000"/>
                <w:spacing w:val="0"/>
                <w:w w:val="100"/>
                <w:kern w:val="0"/>
                <w:sz w:val="16"/>
                <w:szCs w:val="16"/>
              </w:rPr>
              <w:t xml:space="preserve">Expenses </w:t>
            </w:r>
          </w:p>
        </w:tc>
        <w:tc>
          <w:tcPr>
            <w:tcW w:w="936" w:type="dxa"/>
            <w:tcBorders>
              <w:top w:val="single" w:sz="4" w:space="0" w:color="auto"/>
              <w:left w:val="single" w:sz="4" w:space="0" w:color="auto"/>
              <w:bottom w:val="nil"/>
              <w:right w:val="single" w:sz="4" w:space="0" w:color="auto"/>
            </w:tcBorders>
          </w:tcPr>
          <w:p w14:paraId="3C4DBDC6" w14:textId="77777777" w:rsidR="006D1085" w:rsidRPr="000E57AE" w:rsidRDefault="006D1085" w:rsidP="003F5F37">
            <w:pPr>
              <w:keepNext/>
              <w:suppressAutoHyphens w:val="0"/>
              <w:spacing w:line="240" w:lineRule="auto"/>
              <w:rPr>
                <w:rFonts w:eastAsia="Times New Roman"/>
                <w:color w:val="000000"/>
                <w:spacing w:val="0"/>
                <w:w w:val="100"/>
                <w:kern w:val="0"/>
                <w:sz w:val="16"/>
                <w:szCs w:val="16"/>
              </w:rPr>
            </w:pPr>
          </w:p>
        </w:tc>
        <w:tc>
          <w:tcPr>
            <w:tcW w:w="936" w:type="dxa"/>
            <w:tcBorders>
              <w:top w:val="single" w:sz="4" w:space="0" w:color="auto"/>
              <w:left w:val="single" w:sz="4" w:space="0" w:color="auto"/>
              <w:bottom w:val="nil"/>
              <w:right w:val="single" w:sz="4" w:space="0" w:color="auto"/>
            </w:tcBorders>
            <w:shd w:val="clear" w:color="auto" w:fill="auto"/>
            <w:noWrap/>
            <w:vAlign w:val="bottom"/>
            <w:hideMark/>
          </w:tcPr>
          <w:p w14:paraId="48704866" w14:textId="7D017761" w:rsidR="006D1085" w:rsidRPr="000E57AE" w:rsidRDefault="006D1085" w:rsidP="003F5F37">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 </w:t>
            </w:r>
          </w:p>
        </w:tc>
        <w:tc>
          <w:tcPr>
            <w:tcW w:w="936" w:type="dxa"/>
            <w:tcBorders>
              <w:top w:val="nil"/>
              <w:left w:val="single" w:sz="4" w:space="0" w:color="000000"/>
              <w:bottom w:val="nil"/>
              <w:right w:val="single" w:sz="4" w:space="0" w:color="000000"/>
            </w:tcBorders>
            <w:shd w:val="clear" w:color="auto" w:fill="auto"/>
            <w:noWrap/>
            <w:vAlign w:val="bottom"/>
            <w:hideMark/>
          </w:tcPr>
          <w:p w14:paraId="1DD28FBB" w14:textId="77777777" w:rsidR="006D1085" w:rsidRPr="000E57AE" w:rsidRDefault="006D1085" w:rsidP="003F5F37">
            <w:pPr>
              <w:keepNext/>
              <w:suppressAutoHyphens w:val="0"/>
              <w:spacing w:line="240" w:lineRule="auto"/>
              <w:rPr>
                <w:rFonts w:eastAsia="Times New Roman"/>
                <w:color w:val="000000"/>
                <w:spacing w:val="0"/>
                <w:w w:val="100"/>
                <w:kern w:val="0"/>
                <w:sz w:val="14"/>
                <w:szCs w:val="14"/>
              </w:rPr>
            </w:pPr>
            <w:r w:rsidRPr="000E57AE">
              <w:rPr>
                <w:rFonts w:eastAsia="Times New Roman"/>
                <w:color w:val="000000"/>
                <w:spacing w:val="0"/>
                <w:w w:val="100"/>
                <w:kern w:val="0"/>
                <w:sz w:val="14"/>
                <w:szCs w:val="14"/>
              </w:rPr>
              <w:t> </w:t>
            </w:r>
          </w:p>
        </w:tc>
        <w:tc>
          <w:tcPr>
            <w:tcW w:w="958" w:type="dxa"/>
            <w:tcBorders>
              <w:top w:val="nil"/>
              <w:left w:val="nil"/>
              <w:bottom w:val="nil"/>
              <w:right w:val="single" w:sz="4" w:space="0" w:color="auto"/>
            </w:tcBorders>
            <w:shd w:val="clear" w:color="auto" w:fill="auto"/>
            <w:noWrap/>
            <w:vAlign w:val="bottom"/>
            <w:hideMark/>
          </w:tcPr>
          <w:p w14:paraId="31E0ACDC" w14:textId="77777777" w:rsidR="006D1085" w:rsidRPr="000E57AE" w:rsidRDefault="006D1085" w:rsidP="003F5F37">
            <w:pPr>
              <w:keepNext/>
              <w:suppressAutoHyphens w:val="0"/>
              <w:spacing w:line="240" w:lineRule="auto"/>
              <w:rPr>
                <w:rFonts w:eastAsia="Times New Roman"/>
                <w:color w:val="000000"/>
                <w:spacing w:val="0"/>
                <w:w w:val="100"/>
                <w:kern w:val="0"/>
                <w:sz w:val="14"/>
                <w:szCs w:val="14"/>
              </w:rPr>
            </w:pPr>
            <w:r w:rsidRPr="000E57AE">
              <w:rPr>
                <w:rFonts w:eastAsia="Times New Roman"/>
                <w:color w:val="000000"/>
                <w:spacing w:val="0"/>
                <w:w w:val="100"/>
                <w:kern w:val="0"/>
                <w:sz w:val="14"/>
                <w:szCs w:val="14"/>
              </w:rPr>
              <w:t> </w:t>
            </w:r>
          </w:p>
        </w:tc>
      </w:tr>
      <w:tr w:rsidR="006D1085" w:rsidRPr="000E57AE" w14:paraId="7CBA1051" w14:textId="77777777" w:rsidTr="00A11CE9">
        <w:trPr>
          <w:trHeight w:val="24"/>
        </w:trPr>
        <w:tc>
          <w:tcPr>
            <w:tcW w:w="3575" w:type="dxa"/>
            <w:tcBorders>
              <w:top w:val="nil"/>
              <w:left w:val="single" w:sz="4" w:space="0" w:color="auto"/>
              <w:bottom w:val="nil"/>
              <w:right w:val="nil"/>
            </w:tcBorders>
            <w:shd w:val="clear" w:color="auto" w:fill="auto"/>
            <w:noWrap/>
            <w:vAlign w:val="center"/>
            <w:hideMark/>
          </w:tcPr>
          <w:p w14:paraId="2382EBA9" w14:textId="77777777" w:rsidR="006D1085" w:rsidRPr="000E57AE" w:rsidRDefault="006D1085" w:rsidP="003F5F37">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Development activities</w:t>
            </w:r>
          </w:p>
        </w:tc>
        <w:tc>
          <w:tcPr>
            <w:tcW w:w="936" w:type="dxa"/>
            <w:tcBorders>
              <w:top w:val="nil"/>
              <w:left w:val="single" w:sz="4" w:space="0" w:color="auto"/>
              <w:bottom w:val="nil"/>
              <w:right w:val="single" w:sz="4" w:space="0" w:color="auto"/>
            </w:tcBorders>
          </w:tcPr>
          <w:p w14:paraId="3D28E684" w14:textId="77777777" w:rsidR="006D1085" w:rsidRPr="000E57AE" w:rsidRDefault="006D1085" w:rsidP="003F5F37">
            <w:pPr>
              <w:keepNext/>
              <w:suppressAutoHyphens w:val="0"/>
              <w:spacing w:line="240" w:lineRule="auto"/>
              <w:rPr>
                <w:rFonts w:eastAsia="Times New Roman"/>
                <w:color w:val="000000"/>
                <w:spacing w:val="0"/>
                <w:w w:val="100"/>
                <w:kern w:val="0"/>
                <w:sz w:val="16"/>
                <w:szCs w:val="16"/>
              </w:rPr>
            </w:pPr>
          </w:p>
        </w:tc>
        <w:tc>
          <w:tcPr>
            <w:tcW w:w="936" w:type="dxa"/>
            <w:tcBorders>
              <w:top w:val="nil"/>
              <w:left w:val="single" w:sz="4" w:space="0" w:color="auto"/>
              <w:bottom w:val="nil"/>
              <w:right w:val="single" w:sz="4" w:space="0" w:color="auto"/>
            </w:tcBorders>
            <w:shd w:val="clear" w:color="auto" w:fill="auto"/>
            <w:noWrap/>
            <w:vAlign w:val="bottom"/>
            <w:hideMark/>
          </w:tcPr>
          <w:p w14:paraId="709782DD" w14:textId="31524B8B" w:rsidR="006D1085" w:rsidRPr="000E57AE" w:rsidRDefault="006D1085" w:rsidP="003F5F37">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 </w:t>
            </w:r>
          </w:p>
        </w:tc>
        <w:tc>
          <w:tcPr>
            <w:tcW w:w="936" w:type="dxa"/>
            <w:tcBorders>
              <w:top w:val="nil"/>
              <w:left w:val="single" w:sz="4" w:space="0" w:color="000000"/>
              <w:bottom w:val="nil"/>
              <w:right w:val="single" w:sz="4" w:space="0" w:color="000000"/>
            </w:tcBorders>
            <w:shd w:val="clear" w:color="auto" w:fill="auto"/>
            <w:noWrap/>
            <w:vAlign w:val="bottom"/>
            <w:hideMark/>
          </w:tcPr>
          <w:p w14:paraId="13BC3FBA" w14:textId="77777777" w:rsidR="006D1085" w:rsidRPr="000E57AE" w:rsidRDefault="006D1085" w:rsidP="003F5F37">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 </w:t>
            </w:r>
          </w:p>
        </w:tc>
        <w:tc>
          <w:tcPr>
            <w:tcW w:w="958" w:type="dxa"/>
            <w:tcBorders>
              <w:top w:val="nil"/>
              <w:left w:val="nil"/>
              <w:bottom w:val="nil"/>
              <w:right w:val="single" w:sz="4" w:space="0" w:color="auto"/>
            </w:tcBorders>
            <w:shd w:val="clear" w:color="auto" w:fill="auto"/>
            <w:noWrap/>
            <w:vAlign w:val="bottom"/>
            <w:hideMark/>
          </w:tcPr>
          <w:p w14:paraId="37E58F5F" w14:textId="77777777" w:rsidR="006D1085" w:rsidRPr="000E57AE" w:rsidRDefault="006D1085" w:rsidP="003F5F37">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 </w:t>
            </w:r>
          </w:p>
        </w:tc>
      </w:tr>
      <w:tr w:rsidR="001E4ED5" w:rsidRPr="000E57AE" w14:paraId="5283B7C4" w14:textId="77777777" w:rsidTr="00A11CE9">
        <w:trPr>
          <w:trHeight w:val="24"/>
        </w:trPr>
        <w:tc>
          <w:tcPr>
            <w:tcW w:w="3575" w:type="dxa"/>
            <w:tcBorders>
              <w:top w:val="nil"/>
              <w:left w:val="single" w:sz="4" w:space="0" w:color="auto"/>
              <w:bottom w:val="nil"/>
              <w:right w:val="nil"/>
            </w:tcBorders>
            <w:shd w:val="clear" w:color="auto" w:fill="auto"/>
            <w:noWrap/>
            <w:vAlign w:val="center"/>
            <w:hideMark/>
          </w:tcPr>
          <w:p w14:paraId="0910E758" w14:textId="77777777" w:rsidR="001E4ED5" w:rsidRPr="000E57AE" w:rsidRDefault="001E4ED5" w:rsidP="001E4ED5">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 xml:space="preserve">     Programme</w:t>
            </w:r>
          </w:p>
        </w:tc>
        <w:tc>
          <w:tcPr>
            <w:tcW w:w="936" w:type="dxa"/>
            <w:tcBorders>
              <w:top w:val="nil"/>
              <w:left w:val="single" w:sz="4" w:space="0" w:color="auto"/>
              <w:bottom w:val="nil"/>
              <w:right w:val="single" w:sz="4" w:space="0" w:color="auto"/>
            </w:tcBorders>
          </w:tcPr>
          <w:p w14:paraId="10CF1D55" w14:textId="27416F5A" w:rsidR="001E4ED5" w:rsidRPr="00FB7AE3" w:rsidRDefault="001E4ED5" w:rsidP="001E4ED5">
            <w:pPr>
              <w:keepNext/>
              <w:suppressAutoHyphens w:val="0"/>
              <w:spacing w:line="240" w:lineRule="auto"/>
              <w:jc w:val="right"/>
              <w:rPr>
                <w:rFonts w:eastAsia="Times New Roman"/>
                <w:color w:val="000000"/>
                <w:spacing w:val="0"/>
                <w:w w:val="100"/>
                <w:kern w:val="0"/>
                <w:sz w:val="16"/>
                <w:szCs w:val="16"/>
              </w:rPr>
            </w:pPr>
            <w:r w:rsidRPr="00FB7AE3">
              <w:rPr>
                <w:sz w:val="16"/>
                <w:szCs w:val="16"/>
              </w:rPr>
              <w:t xml:space="preserve"> 4,323 </w:t>
            </w:r>
          </w:p>
        </w:tc>
        <w:tc>
          <w:tcPr>
            <w:tcW w:w="936" w:type="dxa"/>
            <w:tcBorders>
              <w:top w:val="nil"/>
              <w:left w:val="single" w:sz="4" w:space="0" w:color="auto"/>
              <w:bottom w:val="nil"/>
              <w:right w:val="single" w:sz="4" w:space="0" w:color="auto"/>
            </w:tcBorders>
            <w:shd w:val="clear" w:color="auto" w:fill="auto"/>
            <w:noWrap/>
            <w:vAlign w:val="bottom"/>
            <w:hideMark/>
          </w:tcPr>
          <w:p w14:paraId="6887CE71" w14:textId="7B268BD3" w:rsidR="001E4ED5" w:rsidRPr="000E57AE" w:rsidRDefault="001E4ED5" w:rsidP="001E4ED5">
            <w:pPr>
              <w:keepNext/>
              <w:suppressAutoHyphens w:val="0"/>
              <w:spacing w:line="240" w:lineRule="auto"/>
              <w:jc w:val="right"/>
              <w:rPr>
                <w:rFonts w:eastAsia="Times New Roman"/>
                <w:color w:val="000000"/>
                <w:spacing w:val="0"/>
                <w:w w:val="100"/>
                <w:kern w:val="0"/>
                <w:sz w:val="16"/>
                <w:szCs w:val="16"/>
              </w:rPr>
            </w:pPr>
            <w:r w:rsidRPr="000E57AE">
              <w:rPr>
                <w:rFonts w:eastAsia="Times New Roman"/>
                <w:color w:val="000000"/>
                <w:spacing w:val="0"/>
                <w:w w:val="100"/>
                <w:kern w:val="0"/>
                <w:sz w:val="16"/>
                <w:szCs w:val="16"/>
              </w:rPr>
              <w:t xml:space="preserve">4,409 </w:t>
            </w:r>
          </w:p>
        </w:tc>
        <w:tc>
          <w:tcPr>
            <w:tcW w:w="936" w:type="dxa"/>
            <w:tcBorders>
              <w:top w:val="nil"/>
              <w:left w:val="single" w:sz="4" w:space="0" w:color="000000"/>
              <w:bottom w:val="nil"/>
              <w:right w:val="single" w:sz="4" w:space="0" w:color="000000"/>
            </w:tcBorders>
            <w:shd w:val="clear" w:color="auto" w:fill="auto"/>
            <w:noWrap/>
            <w:hideMark/>
          </w:tcPr>
          <w:p w14:paraId="6CEDCE61" w14:textId="6D954D5F"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 xml:space="preserve"> (86)</w:t>
            </w:r>
          </w:p>
        </w:tc>
        <w:tc>
          <w:tcPr>
            <w:tcW w:w="958" w:type="dxa"/>
            <w:tcBorders>
              <w:top w:val="nil"/>
              <w:left w:val="nil"/>
              <w:bottom w:val="nil"/>
              <w:right w:val="single" w:sz="4" w:space="0" w:color="auto"/>
            </w:tcBorders>
            <w:shd w:val="clear" w:color="auto" w:fill="auto"/>
            <w:noWrap/>
            <w:hideMark/>
          </w:tcPr>
          <w:p w14:paraId="7A1353D3" w14:textId="13C62F7F"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(2%)</w:t>
            </w:r>
          </w:p>
        </w:tc>
      </w:tr>
      <w:tr w:rsidR="001E4ED5" w:rsidRPr="000E57AE" w14:paraId="7F63707F" w14:textId="77777777" w:rsidTr="00A11CE9">
        <w:trPr>
          <w:trHeight w:val="24"/>
        </w:trPr>
        <w:tc>
          <w:tcPr>
            <w:tcW w:w="3575" w:type="dxa"/>
            <w:tcBorders>
              <w:top w:val="nil"/>
              <w:left w:val="single" w:sz="4" w:space="0" w:color="auto"/>
              <w:bottom w:val="nil"/>
              <w:right w:val="nil"/>
            </w:tcBorders>
            <w:shd w:val="clear" w:color="auto" w:fill="auto"/>
            <w:noWrap/>
            <w:vAlign w:val="center"/>
            <w:hideMark/>
          </w:tcPr>
          <w:p w14:paraId="222DCC9F" w14:textId="77777777" w:rsidR="001E4ED5" w:rsidRPr="000E57AE" w:rsidRDefault="001E4ED5" w:rsidP="001E4ED5">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 xml:space="preserve">     Development effectiveness</w:t>
            </w:r>
          </w:p>
        </w:tc>
        <w:tc>
          <w:tcPr>
            <w:tcW w:w="936" w:type="dxa"/>
            <w:tcBorders>
              <w:top w:val="nil"/>
              <w:left w:val="single" w:sz="4" w:space="0" w:color="auto"/>
              <w:bottom w:val="single" w:sz="4" w:space="0" w:color="auto"/>
              <w:right w:val="single" w:sz="4" w:space="0" w:color="auto"/>
            </w:tcBorders>
          </w:tcPr>
          <w:p w14:paraId="30EEA7BA" w14:textId="14599528" w:rsidR="001E4ED5" w:rsidRPr="00FB7AE3" w:rsidRDefault="001E4ED5" w:rsidP="001E4ED5">
            <w:pPr>
              <w:keepNext/>
              <w:suppressAutoHyphens w:val="0"/>
              <w:spacing w:line="240" w:lineRule="auto"/>
              <w:jc w:val="right"/>
              <w:rPr>
                <w:rFonts w:eastAsia="Times New Roman"/>
                <w:color w:val="000000"/>
                <w:spacing w:val="0"/>
                <w:w w:val="100"/>
                <w:kern w:val="0"/>
                <w:sz w:val="16"/>
                <w:szCs w:val="16"/>
              </w:rPr>
            </w:pPr>
            <w:r w:rsidRPr="00FB7AE3">
              <w:rPr>
                <w:sz w:val="16"/>
                <w:szCs w:val="16"/>
              </w:rPr>
              <w:t xml:space="preserve"> 176 </w:t>
            </w:r>
          </w:p>
        </w:tc>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520FB140" w14:textId="41F6B79C" w:rsidR="001E4ED5" w:rsidRPr="000E57AE" w:rsidRDefault="001E4ED5" w:rsidP="001E4ED5">
            <w:pPr>
              <w:keepNext/>
              <w:suppressAutoHyphens w:val="0"/>
              <w:spacing w:line="240" w:lineRule="auto"/>
              <w:jc w:val="right"/>
              <w:rPr>
                <w:rFonts w:eastAsia="Times New Roman"/>
                <w:color w:val="000000"/>
                <w:spacing w:val="0"/>
                <w:w w:val="100"/>
                <w:kern w:val="0"/>
                <w:sz w:val="16"/>
                <w:szCs w:val="16"/>
              </w:rPr>
            </w:pPr>
            <w:r w:rsidRPr="000E57AE">
              <w:rPr>
                <w:rFonts w:eastAsia="Times New Roman"/>
                <w:color w:val="000000"/>
                <w:spacing w:val="0"/>
                <w:w w:val="100"/>
                <w:kern w:val="0"/>
                <w:sz w:val="16"/>
                <w:szCs w:val="16"/>
              </w:rPr>
              <w:t xml:space="preserve">167 </w:t>
            </w:r>
          </w:p>
        </w:tc>
        <w:tc>
          <w:tcPr>
            <w:tcW w:w="936" w:type="dxa"/>
            <w:tcBorders>
              <w:top w:val="nil"/>
              <w:left w:val="nil"/>
              <w:bottom w:val="single" w:sz="4" w:space="0" w:color="auto"/>
              <w:right w:val="single" w:sz="4" w:space="0" w:color="000000"/>
            </w:tcBorders>
            <w:shd w:val="clear" w:color="auto" w:fill="auto"/>
            <w:noWrap/>
            <w:hideMark/>
          </w:tcPr>
          <w:p w14:paraId="58921A52" w14:textId="3518E9E3"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 xml:space="preserve"> 9 </w:t>
            </w:r>
          </w:p>
        </w:tc>
        <w:tc>
          <w:tcPr>
            <w:tcW w:w="958" w:type="dxa"/>
            <w:tcBorders>
              <w:top w:val="nil"/>
              <w:left w:val="nil"/>
              <w:bottom w:val="single" w:sz="4" w:space="0" w:color="auto"/>
              <w:right w:val="single" w:sz="4" w:space="0" w:color="auto"/>
            </w:tcBorders>
            <w:shd w:val="clear" w:color="auto" w:fill="auto"/>
            <w:noWrap/>
            <w:hideMark/>
          </w:tcPr>
          <w:p w14:paraId="7808A9B5" w14:textId="17D17FA3"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5%</w:t>
            </w:r>
          </w:p>
        </w:tc>
      </w:tr>
      <w:tr w:rsidR="001E4ED5" w:rsidRPr="000E57AE" w14:paraId="1E2A670F" w14:textId="77777777" w:rsidTr="00A11CE9">
        <w:trPr>
          <w:trHeight w:val="24"/>
        </w:trPr>
        <w:tc>
          <w:tcPr>
            <w:tcW w:w="3575" w:type="dxa"/>
            <w:tcBorders>
              <w:top w:val="nil"/>
              <w:left w:val="single" w:sz="4" w:space="0" w:color="auto"/>
              <w:bottom w:val="nil"/>
              <w:right w:val="nil"/>
            </w:tcBorders>
            <w:shd w:val="clear" w:color="auto" w:fill="auto"/>
            <w:noWrap/>
            <w:vAlign w:val="center"/>
            <w:hideMark/>
          </w:tcPr>
          <w:p w14:paraId="24DFC022" w14:textId="2938C0C9" w:rsidR="001E4ED5" w:rsidRPr="000E57AE" w:rsidRDefault="001E4ED5" w:rsidP="001E4ED5">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 xml:space="preserve">Subtotal </w:t>
            </w:r>
            <w:r>
              <w:rPr>
                <w:rFonts w:eastAsia="Times New Roman"/>
                <w:color w:val="000000"/>
                <w:spacing w:val="0"/>
                <w:w w:val="100"/>
                <w:kern w:val="0"/>
                <w:sz w:val="16"/>
                <w:szCs w:val="16"/>
              </w:rPr>
              <w:t xml:space="preserve">– </w:t>
            </w:r>
            <w:r w:rsidRPr="000E57AE">
              <w:rPr>
                <w:rFonts w:eastAsia="Times New Roman"/>
                <w:color w:val="000000"/>
                <w:spacing w:val="0"/>
                <w:w w:val="100"/>
                <w:kern w:val="0"/>
                <w:sz w:val="16"/>
                <w:szCs w:val="16"/>
              </w:rPr>
              <w:t>development activities</w:t>
            </w:r>
          </w:p>
        </w:tc>
        <w:tc>
          <w:tcPr>
            <w:tcW w:w="936" w:type="dxa"/>
            <w:tcBorders>
              <w:top w:val="nil"/>
              <w:left w:val="single" w:sz="4" w:space="0" w:color="auto"/>
              <w:bottom w:val="nil"/>
              <w:right w:val="single" w:sz="4" w:space="0" w:color="auto"/>
            </w:tcBorders>
          </w:tcPr>
          <w:p w14:paraId="148367C1" w14:textId="4BBBE19E" w:rsidR="001E4ED5" w:rsidRPr="00FB7AE3" w:rsidRDefault="001E4ED5" w:rsidP="001E4ED5">
            <w:pPr>
              <w:keepNext/>
              <w:suppressAutoHyphens w:val="0"/>
              <w:spacing w:line="240" w:lineRule="auto"/>
              <w:jc w:val="right"/>
              <w:rPr>
                <w:rFonts w:eastAsia="Times New Roman"/>
                <w:color w:val="000000"/>
                <w:spacing w:val="0"/>
                <w:w w:val="100"/>
                <w:kern w:val="0"/>
                <w:sz w:val="16"/>
                <w:szCs w:val="16"/>
              </w:rPr>
            </w:pPr>
            <w:r w:rsidRPr="00FB7AE3">
              <w:rPr>
                <w:sz w:val="16"/>
                <w:szCs w:val="16"/>
              </w:rPr>
              <w:t xml:space="preserve"> 4,499 </w:t>
            </w:r>
          </w:p>
        </w:tc>
        <w:tc>
          <w:tcPr>
            <w:tcW w:w="936" w:type="dxa"/>
            <w:tcBorders>
              <w:top w:val="nil"/>
              <w:left w:val="single" w:sz="4" w:space="0" w:color="auto"/>
              <w:bottom w:val="nil"/>
              <w:right w:val="single" w:sz="4" w:space="0" w:color="auto"/>
            </w:tcBorders>
            <w:shd w:val="clear" w:color="auto" w:fill="auto"/>
            <w:noWrap/>
            <w:vAlign w:val="bottom"/>
            <w:hideMark/>
          </w:tcPr>
          <w:p w14:paraId="36DAA5E7" w14:textId="28C479DA" w:rsidR="001E4ED5" w:rsidRPr="000E57AE" w:rsidRDefault="001E4ED5" w:rsidP="001E4ED5">
            <w:pPr>
              <w:keepNext/>
              <w:suppressAutoHyphens w:val="0"/>
              <w:spacing w:line="240" w:lineRule="auto"/>
              <w:jc w:val="right"/>
              <w:rPr>
                <w:rFonts w:eastAsia="Times New Roman"/>
                <w:color w:val="000000"/>
                <w:spacing w:val="0"/>
                <w:w w:val="100"/>
                <w:kern w:val="0"/>
                <w:sz w:val="16"/>
                <w:szCs w:val="16"/>
              </w:rPr>
            </w:pPr>
            <w:r w:rsidRPr="000E57AE">
              <w:rPr>
                <w:rFonts w:eastAsia="Times New Roman"/>
                <w:color w:val="000000"/>
                <w:spacing w:val="0"/>
                <w:w w:val="100"/>
                <w:kern w:val="0"/>
                <w:sz w:val="16"/>
                <w:szCs w:val="16"/>
              </w:rPr>
              <w:t xml:space="preserve">4,576 </w:t>
            </w:r>
          </w:p>
        </w:tc>
        <w:tc>
          <w:tcPr>
            <w:tcW w:w="936" w:type="dxa"/>
            <w:tcBorders>
              <w:top w:val="nil"/>
              <w:left w:val="single" w:sz="4" w:space="0" w:color="000000"/>
              <w:bottom w:val="nil"/>
              <w:right w:val="single" w:sz="4" w:space="0" w:color="000000"/>
            </w:tcBorders>
            <w:shd w:val="clear" w:color="auto" w:fill="auto"/>
            <w:noWrap/>
            <w:hideMark/>
          </w:tcPr>
          <w:p w14:paraId="1F8BCC48" w14:textId="5B1A3F58"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 xml:space="preserve"> (77)</w:t>
            </w:r>
          </w:p>
        </w:tc>
        <w:tc>
          <w:tcPr>
            <w:tcW w:w="958" w:type="dxa"/>
            <w:tcBorders>
              <w:top w:val="nil"/>
              <w:left w:val="nil"/>
              <w:bottom w:val="nil"/>
              <w:right w:val="single" w:sz="4" w:space="0" w:color="auto"/>
            </w:tcBorders>
            <w:shd w:val="clear" w:color="auto" w:fill="auto"/>
            <w:noWrap/>
            <w:hideMark/>
          </w:tcPr>
          <w:p w14:paraId="51289D61" w14:textId="18FCF67A"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(2%)</w:t>
            </w:r>
          </w:p>
        </w:tc>
      </w:tr>
      <w:tr w:rsidR="001E4ED5" w:rsidRPr="000E57AE" w14:paraId="77755810" w14:textId="77777777" w:rsidTr="00A11CE9">
        <w:trPr>
          <w:trHeight w:val="24"/>
        </w:trPr>
        <w:tc>
          <w:tcPr>
            <w:tcW w:w="3575" w:type="dxa"/>
            <w:tcBorders>
              <w:top w:val="nil"/>
              <w:left w:val="single" w:sz="4" w:space="0" w:color="auto"/>
              <w:bottom w:val="nil"/>
              <w:right w:val="nil"/>
            </w:tcBorders>
            <w:shd w:val="clear" w:color="auto" w:fill="auto"/>
            <w:noWrap/>
            <w:vAlign w:val="center"/>
            <w:hideMark/>
          </w:tcPr>
          <w:p w14:paraId="5BC0759A" w14:textId="77777777" w:rsidR="001E4ED5" w:rsidRPr="000E57AE" w:rsidRDefault="001E4ED5" w:rsidP="001E4ED5">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United Nations development coordination activities</w:t>
            </w:r>
          </w:p>
        </w:tc>
        <w:tc>
          <w:tcPr>
            <w:tcW w:w="936" w:type="dxa"/>
            <w:tcBorders>
              <w:top w:val="nil"/>
              <w:left w:val="single" w:sz="4" w:space="0" w:color="auto"/>
              <w:bottom w:val="nil"/>
              <w:right w:val="single" w:sz="4" w:space="0" w:color="auto"/>
            </w:tcBorders>
          </w:tcPr>
          <w:p w14:paraId="12174903" w14:textId="04044A2C" w:rsidR="001E4ED5" w:rsidRPr="00FB7AE3" w:rsidRDefault="001E4ED5" w:rsidP="001E4ED5">
            <w:pPr>
              <w:keepNext/>
              <w:suppressAutoHyphens w:val="0"/>
              <w:spacing w:line="240" w:lineRule="auto"/>
              <w:jc w:val="right"/>
              <w:rPr>
                <w:rFonts w:eastAsia="Times New Roman"/>
                <w:color w:val="000000"/>
                <w:spacing w:val="0"/>
                <w:w w:val="100"/>
                <w:kern w:val="0"/>
                <w:sz w:val="16"/>
                <w:szCs w:val="16"/>
              </w:rPr>
            </w:pPr>
            <w:r w:rsidRPr="00FB7AE3">
              <w:rPr>
                <w:sz w:val="16"/>
                <w:szCs w:val="16"/>
              </w:rPr>
              <w:t xml:space="preserve"> </w:t>
            </w:r>
            <w:r w:rsidR="00DB0E30">
              <w:rPr>
                <w:sz w:val="16"/>
                <w:szCs w:val="16"/>
              </w:rPr>
              <w:t>22</w:t>
            </w:r>
            <w:r w:rsidRPr="00FB7AE3">
              <w:rPr>
                <w:sz w:val="16"/>
                <w:szCs w:val="16"/>
              </w:rPr>
              <w:t xml:space="preserve"> </w:t>
            </w:r>
          </w:p>
        </w:tc>
        <w:tc>
          <w:tcPr>
            <w:tcW w:w="936" w:type="dxa"/>
            <w:tcBorders>
              <w:top w:val="nil"/>
              <w:left w:val="single" w:sz="4" w:space="0" w:color="auto"/>
              <w:bottom w:val="nil"/>
              <w:right w:val="single" w:sz="4" w:space="0" w:color="auto"/>
            </w:tcBorders>
            <w:shd w:val="clear" w:color="auto" w:fill="auto"/>
            <w:noWrap/>
            <w:vAlign w:val="bottom"/>
            <w:hideMark/>
          </w:tcPr>
          <w:p w14:paraId="016C75E8" w14:textId="50C4344D" w:rsidR="001E4ED5" w:rsidRPr="000E57AE" w:rsidRDefault="001E4ED5" w:rsidP="001E4ED5">
            <w:pPr>
              <w:keepNext/>
              <w:suppressAutoHyphens w:val="0"/>
              <w:spacing w:line="240" w:lineRule="auto"/>
              <w:jc w:val="right"/>
              <w:rPr>
                <w:rFonts w:eastAsia="Times New Roman"/>
                <w:color w:val="000000"/>
                <w:spacing w:val="0"/>
                <w:w w:val="100"/>
                <w:kern w:val="0"/>
                <w:sz w:val="16"/>
                <w:szCs w:val="16"/>
              </w:rPr>
            </w:pPr>
            <w:r w:rsidRPr="000E57AE">
              <w:rPr>
                <w:rFonts w:eastAsia="Times New Roman"/>
                <w:color w:val="000000"/>
                <w:spacing w:val="0"/>
                <w:w w:val="100"/>
                <w:kern w:val="0"/>
                <w:sz w:val="16"/>
                <w:szCs w:val="16"/>
              </w:rPr>
              <w:t xml:space="preserve">125 </w:t>
            </w:r>
          </w:p>
        </w:tc>
        <w:tc>
          <w:tcPr>
            <w:tcW w:w="936" w:type="dxa"/>
            <w:tcBorders>
              <w:top w:val="nil"/>
              <w:left w:val="single" w:sz="4" w:space="0" w:color="000000"/>
              <w:bottom w:val="nil"/>
              <w:right w:val="single" w:sz="4" w:space="0" w:color="000000"/>
            </w:tcBorders>
            <w:shd w:val="clear" w:color="auto" w:fill="auto"/>
            <w:noWrap/>
            <w:hideMark/>
          </w:tcPr>
          <w:p w14:paraId="02DA394F" w14:textId="3DA0F0DF"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 xml:space="preserve"> (</w:t>
            </w:r>
            <w:r w:rsidR="00D80D04">
              <w:rPr>
                <w:sz w:val="16"/>
                <w:szCs w:val="16"/>
              </w:rPr>
              <w:t>103</w:t>
            </w:r>
            <w:r w:rsidRPr="001E4ED5">
              <w:rPr>
                <w:sz w:val="16"/>
                <w:szCs w:val="16"/>
              </w:rPr>
              <w:t>)</w:t>
            </w:r>
          </w:p>
        </w:tc>
        <w:tc>
          <w:tcPr>
            <w:tcW w:w="958" w:type="dxa"/>
            <w:tcBorders>
              <w:top w:val="nil"/>
              <w:left w:val="nil"/>
              <w:bottom w:val="nil"/>
              <w:right w:val="single" w:sz="4" w:space="0" w:color="auto"/>
            </w:tcBorders>
            <w:shd w:val="clear" w:color="auto" w:fill="auto"/>
            <w:noWrap/>
            <w:hideMark/>
          </w:tcPr>
          <w:p w14:paraId="08D53C42" w14:textId="0C0DD236"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w:t>
            </w:r>
            <w:r w:rsidR="00425B65">
              <w:rPr>
                <w:sz w:val="16"/>
                <w:szCs w:val="16"/>
              </w:rPr>
              <w:t>82</w:t>
            </w:r>
            <w:r w:rsidRPr="001E4ED5">
              <w:rPr>
                <w:sz w:val="16"/>
                <w:szCs w:val="16"/>
              </w:rPr>
              <w:t>%)</w:t>
            </w:r>
          </w:p>
        </w:tc>
      </w:tr>
      <w:tr w:rsidR="001E4ED5" w:rsidRPr="000E57AE" w14:paraId="4F1031D1" w14:textId="77777777" w:rsidTr="00A11CE9">
        <w:trPr>
          <w:trHeight w:val="24"/>
        </w:trPr>
        <w:tc>
          <w:tcPr>
            <w:tcW w:w="3575" w:type="dxa"/>
            <w:tcBorders>
              <w:top w:val="nil"/>
              <w:left w:val="single" w:sz="4" w:space="0" w:color="auto"/>
              <w:bottom w:val="nil"/>
              <w:right w:val="nil"/>
            </w:tcBorders>
            <w:shd w:val="clear" w:color="auto" w:fill="auto"/>
            <w:noWrap/>
            <w:vAlign w:val="center"/>
            <w:hideMark/>
          </w:tcPr>
          <w:p w14:paraId="6BC05576" w14:textId="77777777" w:rsidR="001E4ED5" w:rsidRPr="000E57AE" w:rsidRDefault="001E4ED5" w:rsidP="001E4ED5">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Management activities</w:t>
            </w:r>
          </w:p>
        </w:tc>
        <w:tc>
          <w:tcPr>
            <w:tcW w:w="936" w:type="dxa"/>
            <w:tcBorders>
              <w:top w:val="nil"/>
              <w:left w:val="single" w:sz="4" w:space="0" w:color="auto"/>
              <w:bottom w:val="nil"/>
              <w:right w:val="single" w:sz="4" w:space="0" w:color="auto"/>
            </w:tcBorders>
          </w:tcPr>
          <w:p w14:paraId="0F48156B" w14:textId="6F365C1F" w:rsidR="001E4ED5" w:rsidRPr="00FB7AE3" w:rsidRDefault="001E4ED5" w:rsidP="001E4ED5">
            <w:pPr>
              <w:keepNext/>
              <w:suppressAutoHyphens w:val="0"/>
              <w:spacing w:line="240" w:lineRule="auto"/>
              <w:jc w:val="right"/>
              <w:rPr>
                <w:rFonts w:eastAsia="Times New Roman"/>
                <w:color w:val="000000"/>
                <w:spacing w:val="0"/>
                <w:w w:val="100"/>
                <w:kern w:val="0"/>
                <w:sz w:val="16"/>
                <w:szCs w:val="16"/>
              </w:rPr>
            </w:pPr>
            <w:r w:rsidRPr="00FB7AE3">
              <w:rPr>
                <w:sz w:val="16"/>
                <w:szCs w:val="16"/>
              </w:rPr>
              <w:t xml:space="preserve"> 392 </w:t>
            </w:r>
          </w:p>
        </w:tc>
        <w:tc>
          <w:tcPr>
            <w:tcW w:w="936" w:type="dxa"/>
            <w:tcBorders>
              <w:top w:val="nil"/>
              <w:left w:val="single" w:sz="4" w:space="0" w:color="auto"/>
              <w:bottom w:val="nil"/>
              <w:right w:val="single" w:sz="4" w:space="0" w:color="auto"/>
            </w:tcBorders>
            <w:shd w:val="clear" w:color="auto" w:fill="auto"/>
            <w:noWrap/>
            <w:vAlign w:val="bottom"/>
            <w:hideMark/>
          </w:tcPr>
          <w:p w14:paraId="4C9B83EE" w14:textId="05F125E9" w:rsidR="001E4ED5" w:rsidRPr="000E57AE" w:rsidRDefault="001E4ED5" w:rsidP="001E4ED5">
            <w:pPr>
              <w:keepNext/>
              <w:suppressAutoHyphens w:val="0"/>
              <w:spacing w:line="240" w:lineRule="auto"/>
              <w:jc w:val="right"/>
              <w:rPr>
                <w:rFonts w:eastAsia="Times New Roman"/>
                <w:color w:val="000000"/>
                <w:spacing w:val="0"/>
                <w:w w:val="100"/>
                <w:kern w:val="0"/>
                <w:sz w:val="16"/>
                <w:szCs w:val="16"/>
              </w:rPr>
            </w:pPr>
            <w:r w:rsidRPr="000E57AE">
              <w:rPr>
                <w:rFonts w:eastAsia="Times New Roman"/>
                <w:color w:val="000000"/>
                <w:spacing w:val="0"/>
                <w:w w:val="100"/>
                <w:kern w:val="0"/>
                <w:sz w:val="16"/>
                <w:szCs w:val="16"/>
              </w:rPr>
              <w:t xml:space="preserve">368 </w:t>
            </w:r>
          </w:p>
        </w:tc>
        <w:tc>
          <w:tcPr>
            <w:tcW w:w="936" w:type="dxa"/>
            <w:tcBorders>
              <w:top w:val="nil"/>
              <w:left w:val="single" w:sz="4" w:space="0" w:color="000000"/>
              <w:bottom w:val="nil"/>
              <w:right w:val="single" w:sz="4" w:space="0" w:color="000000"/>
            </w:tcBorders>
            <w:shd w:val="clear" w:color="auto" w:fill="auto"/>
            <w:noWrap/>
            <w:hideMark/>
          </w:tcPr>
          <w:p w14:paraId="6437D297" w14:textId="7830FDCC"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 xml:space="preserve"> 24 </w:t>
            </w:r>
          </w:p>
        </w:tc>
        <w:tc>
          <w:tcPr>
            <w:tcW w:w="958" w:type="dxa"/>
            <w:tcBorders>
              <w:top w:val="nil"/>
              <w:left w:val="nil"/>
              <w:bottom w:val="nil"/>
              <w:right w:val="single" w:sz="4" w:space="0" w:color="auto"/>
            </w:tcBorders>
            <w:shd w:val="clear" w:color="auto" w:fill="auto"/>
            <w:noWrap/>
            <w:hideMark/>
          </w:tcPr>
          <w:p w14:paraId="4C96C4FE" w14:textId="0A85735F"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7%</w:t>
            </w:r>
          </w:p>
        </w:tc>
      </w:tr>
      <w:tr w:rsidR="001E4ED5" w:rsidRPr="000E57AE" w14:paraId="303FF1B4" w14:textId="77777777" w:rsidTr="00A11CE9">
        <w:trPr>
          <w:trHeight w:val="24"/>
        </w:trPr>
        <w:tc>
          <w:tcPr>
            <w:tcW w:w="3575" w:type="dxa"/>
            <w:tcBorders>
              <w:top w:val="nil"/>
              <w:left w:val="single" w:sz="4" w:space="0" w:color="auto"/>
              <w:bottom w:val="nil"/>
              <w:right w:val="nil"/>
            </w:tcBorders>
            <w:shd w:val="clear" w:color="auto" w:fill="auto"/>
            <w:noWrap/>
            <w:vAlign w:val="center"/>
            <w:hideMark/>
          </w:tcPr>
          <w:p w14:paraId="3B540E32" w14:textId="0148B0B2" w:rsidR="001E4ED5" w:rsidRPr="000E57AE" w:rsidRDefault="001E4ED5" w:rsidP="001E4ED5">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Special</w:t>
            </w:r>
            <w:r>
              <w:rPr>
                <w:rFonts w:eastAsia="Times New Roman"/>
                <w:color w:val="000000"/>
                <w:spacing w:val="0"/>
                <w:w w:val="100"/>
                <w:kern w:val="0"/>
                <w:sz w:val="16"/>
                <w:szCs w:val="16"/>
              </w:rPr>
              <w:t xml:space="preserve"> </w:t>
            </w:r>
            <w:r w:rsidRPr="000E57AE">
              <w:rPr>
                <w:rFonts w:eastAsia="Times New Roman"/>
                <w:color w:val="000000"/>
                <w:spacing w:val="0"/>
                <w:w w:val="100"/>
                <w:kern w:val="0"/>
                <w:sz w:val="16"/>
                <w:szCs w:val="16"/>
              </w:rPr>
              <w:t>purpose activities</w:t>
            </w:r>
          </w:p>
        </w:tc>
        <w:tc>
          <w:tcPr>
            <w:tcW w:w="936" w:type="dxa"/>
            <w:tcBorders>
              <w:top w:val="nil"/>
              <w:left w:val="single" w:sz="4" w:space="0" w:color="auto"/>
              <w:bottom w:val="nil"/>
              <w:right w:val="single" w:sz="4" w:space="0" w:color="auto"/>
            </w:tcBorders>
          </w:tcPr>
          <w:p w14:paraId="2064CB01" w14:textId="339E2332" w:rsidR="001E4ED5" w:rsidRPr="00FB7AE3" w:rsidRDefault="001E4ED5" w:rsidP="001E4ED5">
            <w:pPr>
              <w:keepNext/>
              <w:suppressAutoHyphens w:val="0"/>
              <w:spacing w:line="240" w:lineRule="auto"/>
              <w:jc w:val="right"/>
              <w:rPr>
                <w:rFonts w:eastAsia="Times New Roman"/>
                <w:color w:val="000000"/>
                <w:spacing w:val="0"/>
                <w:w w:val="100"/>
                <w:kern w:val="0"/>
                <w:sz w:val="16"/>
                <w:szCs w:val="16"/>
              </w:rPr>
            </w:pPr>
            <w:r w:rsidRPr="00FB7AE3">
              <w:rPr>
                <w:sz w:val="16"/>
                <w:szCs w:val="16"/>
              </w:rPr>
              <w:t xml:space="preserve"> </w:t>
            </w:r>
            <w:r w:rsidR="00DB0E30">
              <w:rPr>
                <w:sz w:val="16"/>
                <w:szCs w:val="16"/>
              </w:rPr>
              <w:t>79</w:t>
            </w:r>
            <w:r w:rsidRPr="00FB7AE3">
              <w:rPr>
                <w:sz w:val="16"/>
                <w:szCs w:val="16"/>
              </w:rPr>
              <w:t xml:space="preserve"> </w:t>
            </w:r>
          </w:p>
        </w:tc>
        <w:tc>
          <w:tcPr>
            <w:tcW w:w="936" w:type="dxa"/>
            <w:tcBorders>
              <w:top w:val="nil"/>
              <w:left w:val="single" w:sz="4" w:space="0" w:color="auto"/>
              <w:bottom w:val="nil"/>
              <w:right w:val="single" w:sz="4" w:space="0" w:color="auto"/>
            </w:tcBorders>
            <w:shd w:val="clear" w:color="auto" w:fill="auto"/>
            <w:noWrap/>
            <w:vAlign w:val="bottom"/>
            <w:hideMark/>
          </w:tcPr>
          <w:p w14:paraId="22B163E4" w14:textId="6DFD103C" w:rsidR="001E4ED5" w:rsidRPr="000E57AE" w:rsidRDefault="001E4ED5" w:rsidP="001E4ED5">
            <w:pPr>
              <w:keepNext/>
              <w:suppressAutoHyphens w:val="0"/>
              <w:spacing w:line="240" w:lineRule="auto"/>
              <w:jc w:val="right"/>
              <w:rPr>
                <w:rFonts w:eastAsia="Times New Roman"/>
                <w:color w:val="000000"/>
                <w:spacing w:val="0"/>
                <w:w w:val="100"/>
                <w:kern w:val="0"/>
                <w:sz w:val="16"/>
                <w:szCs w:val="16"/>
              </w:rPr>
            </w:pPr>
            <w:r w:rsidRPr="000E57AE">
              <w:rPr>
                <w:rFonts w:eastAsia="Times New Roman"/>
                <w:color w:val="000000"/>
                <w:spacing w:val="0"/>
                <w:w w:val="100"/>
                <w:kern w:val="0"/>
                <w:sz w:val="16"/>
                <w:szCs w:val="16"/>
              </w:rPr>
              <w:t xml:space="preserve">57 </w:t>
            </w:r>
          </w:p>
        </w:tc>
        <w:tc>
          <w:tcPr>
            <w:tcW w:w="936" w:type="dxa"/>
            <w:tcBorders>
              <w:top w:val="nil"/>
              <w:left w:val="single" w:sz="4" w:space="0" w:color="000000"/>
              <w:bottom w:val="nil"/>
              <w:right w:val="single" w:sz="4" w:space="0" w:color="000000"/>
            </w:tcBorders>
            <w:shd w:val="clear" w:color="auto" w:fill="auto"/>
            <w:noWrap/>
            <w:hideMark/>
          </w:tcPr>
          <w:p w14:paraId="01F7D16C" w14:textId="35C0FD2F"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 xml:space="preserve"> </w:t>
            </w:r>
            <w:r w:rsidR="00425B65">
              <w:rPr>
                <w:sz w:val="16"/>
                <w:szCs w:val="16"/>
              </w:rPr>
              <w:t>22</w:t>
            </w:r>
            <w:r w:rsidRPr="001E4ED5">
              <w:rPr>
                <w:sz w:val="16"/>
                <w:szCs w:val="16"/>
              </w:rPr>
              <w:t xml:space="preserve"> </w:t>
            </w:r>
          </w:p>
        </w:tc>
        <w:tc>
          <w:tcPr>
            <w:tcW w:w="958" w:type="dxa"/>
            <w:tcBorders>
              <w:top w:val="nil"/>
              <w:left w:val="nil"/>
              <w:bottom w:val="nil"/>
              <w:right w:val="single" w:sz="4" w:space="0" w:color="auto"/>
            </w:tcBorders>
            <w:shd w:val="clear" w:color="auto" w:fill="auto"/>
            <w:noWrap/>
            <w:hideMark/>
          </w:tcPr>
          <w:p w14:paraId="1B29DE40" w14:textId="5B9F60EA" w:rsidR="001E4ED5" w:rsidRPr="001E4ED5" w:rsidRDefault="00425B65" w:rsidP="001E4ED5">
            <w:pPr>
              <w:keepNext/>
              <w:suppressAutoHyphens w:val="0"/>
              <w:spacing w:line="240" w:lineRule="auto"/>
              <w:jc w:val="right"/>
              <w:rPr>
                <w:rFonts w:eastAsia="Times New Roman"/>
                <w:color w:val="000000"/>
                <w:spacing w:val="0"/>
                <w:w w:val="100"/>
                <w:kern w:val="0"/>
                <w:sz w:val="16"/>
                <w:szCs w:val="16"/>
              </w:rPr>
            </w:pPr>
            <w:r>
              <w:rPr>
                <w:sz w:val="16"/>
                <w:szCs w:val="16"/>
              </w:rPr>
              <w:t>38</w:t>
            </w:r>
            <w:r w:rsidR="001E4ED5" w:rsidRPr="001E4ED5">
              <w:rPr>
                <w:sz w:val="16"/>
                <w:szCs w:val="16"/>
              </w:rPr>
              <w:t>%</w:t>
            </w:r>
          </w:p>
        </w:tc>
      </w:tr>
      <w:tr w:rsidR="001E4ED5" w:rsidRPr="000E57AE" w14:paraId="30FAA8D9" w14:textId="77777777" w:rsidTr="00A11CE9">
        <w:trPr>
          <w:trHeight w:val="24"/>
        </w:trPr>
        <w:tc>
          <w:tcPr>
            <w:tcW w:w="3575" w:type="dxa"/>
            <w:tcBorders>
              <w:top w:val="nil"/>
              <w:left w:val="single" w:sz="4" w:space="0" w:color="auto"/>
              <w:bottom w:val="single" w:sz="4" w:space="0" w:color="auto"/>
              <w:right w:val="single" w:sz="4" w:space="0" w:color="auto"/>
            </w:tcBorders>
            <w:shd w:val="clear" w:color="auto" w:fill="auto"/>
            <w:noWrap/>
            <w:vAlign w:val="center"/>
            <w:hideMark/>
          </w:tcPr>
          <w:p w14:paraId="20285691" w14:textId="77777777" w:rsidR="001E4ED5" w:rsidRPr="000E57AE" w:rsidRDefault="001E4ED5" w:rsidP="001E4ED5">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Other activities</w:t>
            </w:r>
          </w:p>
        </w:tc>
        <w:tc>
          <w:tcPr>
            <w:tcW w:w="936" w:type="dxa"/>
            <w:tcBorders>
              <w:top w:val="nil"/>
              <w:left w:val="nil"/>
              <w:bottom w:val="single" w:sz="4" w:space="0" w:color="auto"/>
              <w:right w:val="single" w:sz="4" w:space="0" w:color="auto"/>
            </w:tcBorders>
          </w:tcPr>
          <w:p w14:paraId="5BAD2624" w14:textId="2455854A" w:rsidR="001E4ED5" w:rsidRPr="00FB7AE3" w:rsidRDefault="001E4ED5" w:rsidP="001E4ED5">
            <w:pPr>
              <w:keepNext/>
              <w:suppressAutoHyphens w:val="0"/>
              <w:spacing w:line="240" w:lineRule="auto"/>
              <w:jc w:val="right"/>
              <w:rPr>
                <w:rFonts w:eastAsia="Times New Roman"/>
                <w:color w:val="000000"/>
                <w:spacing w:val="0"/>
                <w:w w:val="100"/>
                <w:kern w:val="0"/>
                <w:sz w:val="16"/>
                <w:szCs w:val="16"/>
              </w:rPr>
            </w:pPr>
            <w:r w:rsidRPr="00FB7AE3">
              <w:rPr>
                <w:sz w:val="16"/>
                <w:szCs w:val="16"/>
              </w:rPr>
              <w:t xml:space="preserve"> 188 </w:t>
            </w:r>
          </w:p>
        </w:tc>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468DB9CA" w14:textId="6D6F2361" w:rsidR="001E4ED5" w:rsidRPr="000E57AE" w:rsidRDefault="001E4ED5" w:rsidP="001E4ED5">
            <w:pPr>
              <w:keepNext/>
              <w:suppressAutoHyphens w:val="0"/>
              <w:spacing w:line="240" w:lineRule="auto"/>
              <w:jc w:val="right"/>
              <w:rPr>
                <w:rFonts w:eastAsia="Times New Roman"/>
                <w:color w:val="000000"/>
                <w:spacing w:val="0"/>
                <w:w w:val="100"/>
                <w:kern w:val="0"/>
                <w:sz w:val="16"/>
                <w:szCs w:val="16"/>
              </w:rPr>
            </w:pPr>
            <w:r w:rsidRPr="000E57AE">
              <w:rPr>
                <w:rFonts w:eastAsia="Times New Roman"/>
                <w:color w:val="000000"/>
                <w:spacing w:val="0"/>
                <w:w w:val="100"/>
                <w:kern w:val="0"/>
                <w:sz w:val="16"/>
                <w:szCs w:val="16"/>
              </w:rPr>
              <w:t xml:space="preserve">229 </w:t>
            </w:r>
          </w:p>
        </w:tc>
        <w:tc>
          <w:tcPr>
            <w:tcW w:w="936" w:type="dxa"/>
            <w:tcBorders>
              <w:top w:val="nil"/>
              <w:left w:val="nil"/>
              <w:bottom w:val="single" w:sz="4" w:space="0" w:color="auto"/>
              <w:right w:val="single" w:sz="4" w:space="0" w:color="000000"/>
            </w:tcBorders>
            <w:shd w:val="clear" w:color="auto" w:fill="auto"/>
            <w:noWrap/>
            <w:hideMark/>
          </w:tcPr>
          <w:p w14:paraId="6D51CA98" w14:textId="46BC588F"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 xml:space="preserve"> (41)</w:t>
            </w:r>
          </w:p>
        </w:tc>
        <w:tc>
          <w:tcPr>
            <w:tcW w:w="958" w:type="dxa"/>
            <w:tcBorders>
              <w:top w:val="nil"/>
              <w:left w:val="nil"/>
              <w:bottom w:val="single" w:sz="4" w:space="0" w:color="auto"/>
              <w:right w:val="single" w:sz="4" w:space="0" w:color="auto"/>
            </w:tcBorders>
            <w:shd w:val="clear" w:color="auto" w:fill="auto"/>
            <w:noWrap/>
            <w:hideMark/>
          </w:tcPr>
          <w:p w14:paraId="75D61543" w14:textId="429E4E1A"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(18%)</w:t>
            </w:r>
          </w:p>
        </w:tc>
      </w:tr>
      <w:tr w:rsidR="001E4ED5" w:rsidRPr="000E57AE" w14:paraId="7C61048C" w14:textId="77777777" w:rsidTr="00A11CE9">
        <w:trPr>
          <w:trHeight w:val="24"/>
        </w:trPr>
        <w:tc>
          <w:tcPr>
            <w:tcW w:w="3575" w:type="dxa"/>
            <w:tcBorders>
              <w:top w:val="nil"/>
              <w:left w:val="single" w:sz="4" w:space="0" w:color="auto"/>
              <w:bottom w:val="nil"/>
              <w:right w:val="single" w:sz="4" w:space="0" w:color="auto"/>
            </w:tcBorders>
            <w:shd w:val="clear" w:color="auto" w:fill="auto"/>
            <w:noWrap/>
            <w:vAlign w:val="center"/>
            <w:hideMark/>
          </w:tcPr>
          <w:p w14:paraId="1B2C49E7" w14:textId="77777777" w:rsidR="001E4ED5" w:rsidRPr="000E57AE" w:rsidRDefault="001E4ED5" w:rsidP="001E4ED5">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Total expenses before elimination</w:t>
            </w:r>
          </w:p>
        </w:tc>
        <w:tc>
          <w:tcPr>
            <w:tcW w:w="936" w:type="dxa"/>
            <w:tcBorders>
              <w:top w:val="single" w:sz="4" w:space="0" w:color="auto"/>
              <w:left w:val="nil"/>
              <w:right w:val="single" w:sz="4" w:space="0" w:color="auto"/>
            </w:tcBorders>
          </w:tcPr>
          <w:p w14:paraId="75CC176E" w14:textId="7FE734E8" w:rsidR="001E4ED5" w:rsidRPr="00FB7AE3" w:rsidRDefault="001E4ED5" w:rsidP="001E4ED5">
            <w:pPr>
              <w:keepNext/>
              <w:suppressAutoHyphens w:val="0"/>
              <w:spacing w:line="240" w:lineRule="auto"/>
              <w:jc w:val="right"/>
              <w:rPr>
                <w:rFonts w:eastAsia="Times New Roman"/>
                <w:color w:val="000000"/>
                <w:spacing w:val="0"/>
                <w:w w:val="100"/>
                <w:kern w:val="0"/>
                <w:sz w:val="16"/>
                <w:szCs w:val="16"/>
              </w:rPr>
            </w:pPr>
            <w:r w:rsidRPr="00FB7AE3">
              <w:rPr>
                <w:sz w:val="16"/>
                <w:szCs w:val="16"/>
              </w:rPr>
              <w:t xml:space="preserve"> 5,180 </w:t>
            </w:r>
          </w:p>
        </w:tc>
        <w:tc>
          <w:tcPr>
            <w:tcW w:w="936" w:type="dxa"/>
            <w:tcBorders>
              <w:top w:val="single" w:sz="4" w:space="0" w:color="auto"/>
              <w:left w:val="single" w:sz="4" w:space="0" w:color="auto"/>
              <w:right w:val="single" w:sz="4" w:space="0" w:color="auto"/>
            </w:tcBorders>
            <w:shd w:val="clear" w:color="auto" w:fill="auto"/>
            <w:noWrap/>
            <w:vAlign w:val="center"/>
            <w:hideMark/>
          </w:tcPr>
          <w:p w14:paraId="0D1BD7D2" w14:textId="5E68CEA2" w:rsidR="001E4ED5" w:rsidRPr="000E57AE" w:rsidRDefault="001E4ED5" w:rsidP="001E4ED5">
            <w:pPr>
              <w:keepNext/>
              <w:suppressAutoHyphens w:val="0"/>
              <w:spacing w:line="240" w:lineRule="auto"/>
              <w:jc w:val="right"/>
              <w:rPr>
                <w:rFonts w:eastAsia="Times New Roman"/>
                <w:color w:val="000000"/>
                <w:spacing w:val="0"/>
                <w:w w:val="100"/>
                <w:kern w:val="0"/>
                <w:sz w:val="16"/>
                <w:szCs w:val="16"/>
              </w:rPr>
            </w:pPr>
            <w:r w:rsidRPr="000E57AE">
              <w:rPr>
                <w:rFonts w:eastAsia="Times New Roman"/>
                <w:color w:val="000000"/>
                <w:spacing w:val="0"/>
                <w:w w:val="100"/>
                <w:kern w:val="0"/>
                <w:sz w:val="16"/>
                <w:szCs w:val="16"/>
              </w:rPr>
              <w:t>5,355</w:t>
            </w:r>
          </w:p>
        </w:tc>
        <w:tc>
          <w:tcPr>
            <w:tcW w:w="936" w:type="dxa"/>
            <w:tcBorders>
              <w:top w:val="single" w:sz="4" w:space="0" w:color="auto"/>
              <w:left w:val="nil"/>
              <w:right w:val="single" w:sz="4" w:space="0" w:color="000000"/>
            </w:tcBorders>
            <w:shd w:val="clear" w:color="auto" w:fill="auto"/>
            <w:noWrap/>
            <w:hideMark/>
          </w:tcPr>
          <w:p w14:paraId="4B8D4F19" w14:textId="4E27015A"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 xml:space="preserve"> (175)</w:t>
            </w:r>
          </w:p>
        </w:tc>
        <w:tc>
          <w:tcPr>
            <w:tcW w:w="958" w:type="dxa"/>
            <w:tcBorders>
              <w:top w:val="single" w:sz="4" w:space="0" w:color="auto"/>
              <w:left w:val="nil"/>
              <w:right w:val="single" w:sz="4" w:space="0" w:color="auto"/>
            </w:tcBorders>
            <w:shd w:val="clear" w:color="auto" w:fill="auto"/>
            <w:noWrap/>
            <w:hideMark/>
          </w:tcPr>
          <w:p w14:paraId="0720476E" w14:textId="496BC598"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(3%)</w:t>
            </w:r>
          </w:p>
        </w:tc>
      </w:tr>
      <w:tr w:rsidR="001E4ED5" w:rsidRPr="000E57AE" w14:paraId="678B8946" w14:textId="77777777" w:rsidTr="00A11CE9">
        <w:trPr>
          <w:trHeight w:val="24"/>
        </w:trPr>
        <w:tc>
          <w:tcPr>
            <w:tcW w:w="3575" w:type="dxa"/>
            <w:tcBorders>
              <w:top w:val="nil"/>
              <w:left w:val="single" w:sz="4" w:space="0" w:color="auto"/>
              <w:bottom w:val="nil"/>
              <w:right w:val="single" w:sz="4" w:space="0" w:color="auto"/>
            </w:tcBorders>
            <w:shd w:val="clear" w:color="auto" w:fill="auto"/>
            <w:noWrap/>
            <w:vAlign w:val="center"/>
          </w:tcPr>
          <w:p w14:paraId="30F87AE7" w14:textId="77777777" w:rsidR="001E4ED5" w:rsidRPr="000E57AE" w:rsidRDefault="001E4ED5" w:rsidP="001E4ED5">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Elimination</w:t>
            </w:r>
          </w:p>
        </w:tc>
        <w:tc>
          <w:tcPr>
            <w:tcW w:w="936" w:type="dxa"/>
            <w:tcBorders>
              <w:top w:val="nil"/>
              <w:left w:val="single" w:sz="4" w:space="0" w:color="auto"/>
              <w:bottom w:val="nil"/>
              <w:right w:val="single" w:sz="4" w:space="0" w:color="auto"/>
            </w:tcBorders>
          </w:tcPr>
          <w:p w14:paraId="618FFA57" w14:textId="63E59DFE" w:rsidR="001E4ED5" w:rsidRPr="00FB7AE3" w:rsidRDefault="001E4ED5" w:rsidP="001E4ED5">
            <w:pPr>
              <w:keepNext/>
              <w:suppressAutoHyphens w:val="0"/>
              <w:spacing w:line="240" w:lineRule="auto"/>
              <w:jc w:val="right"/>
              <w:rPr>
                <w:color w:val="000000"/>
                <w:sz w:val="16"/>
                <w:szCs w:val="16"/>
              </w:rPr>
            </w:pPr>
            <w:r w:rsidRPr="00FB7AE3">
              <w:rPr>
                <w:sz w:val="16"/>
                <w:szCs w:val="16"/>
              </w:rPr>
              <w:t xml:space="preserve"> (256)</w:t>
            </w:r>
          </w:p>
        </w:tc>
        <w:tc>
          <w:tcPr>
            <w:tcW w:w="936" w:type="dxa"/>
            <w:tcBorders>
              <w:top w:val="nil"/>
              <w:left w:val="single" w:sz="4" w:space="0" w:color="auto"/>
              <w:bottom w:val="nil"/>
              <w:right w:val="single" w:sz="4" w:space="0" w:color="auto"/>
            </w:tcBorders>
            <w:shd w:val="clear" w:color="auto" w:fill="auto"/>
            <w:noWrap/>
            <w:vAlign w:val="center"/>
          </w:tcPr>
          <w:p w14:paraId="478FB620" w14:textId="3D0E1D8A" w:rsidR="001E4ED5" w:rsidRPr="000E57AE" w:rsidRDefault="001E4ED5" w:rsidP="001E4ED5">
            <w:pPr>
              <w:keepNext/>
              <w:suppressAutoHyphens w:val="0"/>
              <w:spacing w:line="240" w:lineRule="auto"/>
              <w:jc w:val="right"/>
              <w:rPr>
                <w:rFonts w:eastAsia="Times New Roman"/>
                <w:color w:val="000000"/>
                <w:spacing w:val="0"/>
                <w:w w:val="100"/>
                <w:kern w:val="0"/>
                <w:sz w:val="16"/>
                <w:szCs w:val="16"/>
              </w:rPr>
            </w:pPr>
            <w:r w:rsidRPr="000E57AE">
              <w:rPr>
                <w:color w:val="000000"/>
                <w:sz w:val="16"/>
                <w:szCs w:val="16"/>
              </w:rPr>
              <w:t xml:space="preserve"> (258)</w:t>
            </w:r>
          </w:p>
        </w:tc>
        <w:tc>
          <w:tcPr>
            <w:tcW w:w="936" w:type="dxa"/>
            <w:tcBorders>
              <w:left w:val="nil"/>
              <w:bottom w:val="single" w:sz="4" w:space="0" w:color="000000"/>
              <w:right w:val="single" w:sz="4" w:space="0" w:color="000000"/>
            </w:tcBorders>
            <w:shd w:val="clear" w:color="auto" w:fill="auto"/>
            <w:noWrap/>
          </w:tcPr>
          <w:p w14:paraId="235BD0D8" w14:textId="77777777"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p>
        </w:tc>
        <w:tc>
          <w:tcPr>
            <w:tcW w:w="958" w:type="dxa"/>
            <w:tcBorders>
              <w:left w:val="nil"/>
              <w:bottom w:val="single" w:sz="4" w:space="0" w:color="000000"/>
              <w:right w:val="single" w:sz="4" w:space="0" w:color="auto"/>
            </w:tcBorders>
            <w:shd w:val="clear" w:color="auto" w:fill="auto"/>
            <w:noWrap/>
          </w:tcPr>
          <w:p w14:paraId="1467A758" w14:textId="77777777"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p>
        </w:tc>
      </w:tr>
      <w:tr w:rsidR="001E4ED5" w:rsidRPr="000E57AE" w14:paraId="4719309D" w14:textId="77777777" w:rsidTr="00A11CE9">
        <w:trPr>
          <w:trHeight w:val="24"/>
        </w:trPr>
        <w:tc>
          <w:tcPr>
            <w:tcW w:w="3575" w:type="dxa"/>
            <w:tcBorders>
              <w:top w:val="nil"/>
              <w:left w:val="single" w:sz="4" w:space="0" w:color="auto"/>
              <w:bottom w:val="single" w:sz="4" w:space="0" w:color="auto"/>
              <w:right w:val="single" w:sz="4" w:space="0" w:color="auto"/>
            </w:tcBorders>
            <w:shd w:val="clear" w:color="auto" w:fill="auto"/>
            <w:noWrap/>
            <w:vAlign w:val="center"/>
          </w:tcPr>
          <w:p w14:paraId="6F1E2602" w14:textId="77777777" w:rsidR="001E4ED5" w:rsidRPr="000E57AE" w:rsidRDefault="001E4ED5" w:rsidP="001E4ED5">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Total expenses</w:t>
            </w:r>
          </w:p>
        </w:tc>
        <w:tc>
          <w:tcPr>
            <w:tcW w:w="936" w:type="dxa"/>
            <w:tcBorders>
              <w:top w:val="single" w:sz="4" w:space="0" w:color="auto"/>
              <w:left w:val="single" w:sz="4" w:space="0" w:color="auto"/>
              <w:bottom w:val="single" w:sz="4" w:space="0" w:color="auto"/>
              <w:right w:val="single" w:sz="4" w:space="0" w:color="auto"/>
            </w:tcBorders>
          </w:tcPr>
          <w:p w14:paraId="5FAB276A" w14:textId="7AEB00E5" w:rsidR="001E4ED5" w:rsidRPr="00FB7AE3" w:rsidRDefault="001E4ED5" w:rsidP="001E4ED5">
            <w:pPr>
              <w:keepNext/>
              <w:suppressAutoHyphens w:val="0"/>
              <w:spacing w:line="240" w:lineRule="auto"/>
              <w:jc w:val="right"/>
              <w:rPr>
                <w:color w:val="000000"/>
                <w:sz w:val="16"/>
                <w:szCs w:val="16"/>
              </w:rPr>
            </w:pPr>
            <w:r w:rsidRPr="00FB7AE3">
              <w:rPr>
                <w:sz w:val="16"/>
                <w:szCs w:val="16"/>
              </w:rPr>
              <w:t xml:space="preserve"> 4,924 </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503EC" w14:textId="10747B4E" w:rsidR="001E4ED5" w:rsidRPr="000E57AE" w:rsidRDefault="001E4ED5" w:rsidP="001E4ED5">
            <w:pPr>
              <w:keepNext/>
              <w:suppressAutoHyphens w:val="0"/>
              <w:spacing w:line="240" w:lineRule="auto"/>
              <w:jc w:val="right"/>
              <w:rPr>
                <w:rFonts w:eastAsia="Times New Roman"/>
                <w:color w:val="000000"/>
                <w:spacing w:val="0"/>
                <w:w w:val="100"/>
                <w:kern w:val="0"/>
                <w:sz w:val="16"/>
                <w:szCs w:val="16"/>
              </w:rPr>
            </w:pPr>
            <w:r w:rsidRPr="000E57AE">
              <w:rPr>
                <w:color w:val="000000"/>
                <w:sz w:val="16"/>
                <w:szCs w:val="16"/>
              </w:rPr>
              <w:t xml:space="preserve">5,097 </w:t>
            </w:r>
          </w:p>
        </w:tc>
        <w:tc>
          <w:tcPr>
            <w:tcW w:w="936" w:type="dxa"/>
            <w:tcBorders>
              <w:top w:val="single" w:sz="4" w:space="0" w:color="000000"/>
              <w:left w:val="nil"/>
              <w:bottom w:val="single" w:sz="4" w:space="0" w:color="auto"/>
              <w:right w:val="single" w:sz="4" w:space="0" w:color="000000"/>
            </w:tcBorders>
            <w:shd w:val="clear" w:color="auto" w:fill="auto"/>
            <w:noWrap/>
          </w:tcPr>
          <w:p w14:paraId="3D796B62" w14:textId="46882146"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 xml:space="preserve"> (173)</w:t>
            </w:r>
          </w:p>
        </w:tc>
        <w:tc>
          <w:tcPr>
            <w:tcW w:w="958" w:type="dxa"/>
            <w:tcBorders>
              <w:top w:val="single" w:sz="4" w:space="0" w:color="000000"/>
              <w:left w:val="nil"/>
              <w:bottom w:val="single" w:sz="4" w:space="0" w:color="auto"/>
              <w:right w:val="single" w:sz="4" w:space="0" w:color="auto"/>
            </w:tcBorders>
            <w:shd w:val="clear" w:color="auto" w:fill="auto"/>
            <w:noWrap/>
          </w:tcPr>
          <w:p w14:paraId="761963DE" w14:textId="6F715816" w:rsidR="001E4ED5" w:rsidRPr="001E4ED5" w:rsidRDefault="001E4ED5" w:rsidP="001E4ED5">
            <w:pPr>
              <w:keepNext/>
              <w:suppressAutoHyphens w:val="0"/>
              <w:spacing w:line="240" w:lineRule="auto"/>
              <w:jc w:val="right"/>
              <w:rPr>
                <w:rFonts w:eastAsia="Times New Roman"/>
                <w:color w:val="000000"/>
                <w:spacing w:val="0"/>
                <w:w w:val="100"/>
                <w:kern w:val="0"/>
                <w:sz w:val="16"/>
                <w:szCs w:val="16"/>
              </w:rPr>
            </w:pPr>
            <w:r w:rsidRPr="001E4ED5">
              <w:rPr>
                <w:sz w:val="16"/>
                <w:szCs w:val="16"/>
              </w:rPr>
              <w:t>(3%)</w:t>
            </w:r>
          </w:p>
        </w:tc>
      </w:tr>
    </w:tbl>
    <w:p w14:paraId="2C6ABF58" w14:textId="77777777" w:rsidR="00D6045E" w:rsidRPr="000E57AE" w:rsidRDefault="00D6045E" w:rsidP="00D6045E">
      <w:pPr>
        <w:pStyle w:val="SingleTxt"/>
        <w:tabs>
          <w:tab w:val="clear" w:pos="1267"/>
          <w:tab w:val="clear" w:pos="1742"/>
          <w:tab w:val="clear" w:pos="2218"/>
          <w:tab w:val="clear" w:pos="2693"/>
          <w:tab w:val="left" w:pos="1530"/>
          <w:tab w:val="left" w:pos="1620"/>
          <w:tab w:val="left" w:pos="1800"/>
        </w:tabs>
        <w:ind w:left="1530"/>
      </w:pPr>
    </w:p>
    <w:p w14:paraId="163B5150" w14:textId="580D182F" w:rsidR="00FB6A8C" w:rsidRPr="000E57AE" w:rsidRDefault="00FB6A8C"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0E57AE">
        <w:t xml:space="preserve">Pursuant to </w:t>
      </w:r>
      <w:r w:rsidR="000F1D96">
        <w:t xml:space="preserve">Board </w:t>
      </w:r>
      <w:r w:rsidRPr="000E57AE">
        <w:t xml:space="preserve">decision 2010/32, expenditures are reported in four harmonized cost-classification categories: (a) development; (b) United Nations development coordination; (c) management; and (d) special purpose. Expenditures outside those classifications are reported under ‘other activities’ and </w:t>
      </w:r>
      <w:r w:rsidR="00116D56">
        <w:t xml:space="preserve">are </w:t>
      </w:r>
      <w:r w:rsidRPr="000E57AE">
        <w:t>included as part of overall expenditure.</w:t>
      </w:r>
      <w:r w:rsidR="00CA2ECE" w:rsidRPr="000E57AE">
        <w:t xml:space="preserve"> </w:t>
      </w:r>
    </w:p>
    <w:p w14:paraId="7CAB2255" w14:textId="4134495D" w:rsidR="00CA2ECE" w:rsidRDefault="00CA2ECE"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0E57AE">
        <w:t xml:space="preserve">The composition </w:t>
      </w:r>
      <w:r w:rsidR="00054D22" w:rsidRPr="000E57AE">
        <w:t xml:space="preserve">of </w:t>
      </w:r>
      <w:r w:rsidR="0008145A" w:rsidRPr="000E57AE">
        <w:t xml:space="preserve">total expenses and </w:t>
      </w:r>
      <w:r w:rsidRPr="000E57AE">
        <w:t xml:space="preserve">harmonized cost classification activities is shown in </w:t>
      </w:r>
      <w:r w:rsidR="000F1D96">
        <w:t>f</w:t>
      </w:r>
      <w:r w:rsidRPr="000E57AE">
        <w:t xml:space="preserve">igure </w:t>
      </w:r>
      <w:r w:rsidR="004D4DCC">
        <w:t>IV</w:t>
      </w:r>
      <w:r w:rsidR="00442030">
        <w:t xml:space="preserve"> (</w:t>
      </w:r>
      <w:r w:rsidR="00346A36" w:rsidRPr="000E57AE">
        <w:t>a</w:t>
      </w:r>
      <w:r w:rsidR="00442030">
        <w:t>)</w:t>
      </w:r>
      <w:r w:rsidR="000F1D96">
        <w:t xml:space="preserve">; </w:t>
      </w:r>
      <w:r w:rsidR="00210BA3" w:rsidRPr="000E57AE">
        <w:t xml:space="preserve">comparison </w:t>
      </w:r>
      <w:r w:rsidR="00FB12E6" w:rsidRPr="000E57AE">
        <w:t xml:space="preserve">of </w:t>
      </w:r>
      <w:r w:rsidR="00210BA3" w:rsidRPr="000E57AE">
        <w:t xml:space="preserve">programme expenses by region </w:t>
      </w:r>
      <w:r w:rsidR="00346A36" w:rsidRPr="000E57AE">
        <w:t>between 201</w:t>
      </w:r>
      <w:r w:rsidR="00861D5E">
        <w:t>8</w:t>
      </w:r>
      <w:r w:rsidR="00346A36" w:rsidRPr="000E57AE">
        <w:t xml:space="preserve"> and 201</w:t>
      </w:r>
      <w:r w:rsidR="00861D5E">
        <w:t>9</w:t>
      </w:r>
      <w:r w:rsidR="00FB12E6" w:rsidRPr="000E57AE">
        <w:t xml:space="preserve"> is shown in </w:t>
      </w:r>
      <w:r w:rsidR="000F1D96">
        <w:t>f</w:t>
      </w:r>
      <w:r w:rsidR="00FB12E6" w:rsidRPr="000E57AE">
        <w:t xml:space="preserve">igure </w:t>
      </w:r>
      <w:r w:rsidR="004D4DCC">
        <w:t>IV</w:t>
      </w:r>
      <w:r w:rsidR="00442030">
        <w:t xml:space="preserve"> (</w:t>
      </w:r>
      <w:r w:rsidR="00FB12E6" w:rsidRPr="000E57AE">
        <w:t>b</w:t>
      </w:r>
      <w:r w:rsidR="00442030">
        <w:t>)</w:t>
      </w:r>
      <w:r w:rsidR="0074520C" w:rsidRPr="000E57AE">
        <w:t>.</w:t>
      </w:r>
    </w:p>
    <w:p w14:paraId="5A8E1960" w14:textId="0DEF4E8D" w:rsidR="006C0436" w:rsidRPr="000E57AE" w:rsidRDefault="006C0436" w:rsidP="00D118FF">
      <w:pPr>
        <w:pStyle w:val="SingleTxt"/>
        <w:keepNext/>
        <w:tabs>
          <w:tab w:val="clear" w:pos="1267"/>
          <w:tab w:val="clear" w:pos="1742"/>
          <w:tab w:val="clear" w:pos="2218"/>
          <w:tab w:val="clear" w:pos="2693"/>
          <w:tab w:val="left" w:pos="1530"/>
          <w:tab w:val="left" w:pos="1620"/>
          <w:tab w:val="left" w:pos="1800"/>
        </w:tabs>
        <w:spacing w:after="0"/>
        <w:ind w:left="720"/>
        <w:jc w:val="center"/>
        <w:rPr>
          <w:b/>
          <w:bCs/>
          <w:spacing w:val="2"/>
        </w:rPr>
      </w:pPr>
      <w:r w:rsidRPr="006D0590">
        <w:rPr>
          <w:b/>
          <w:bCs/>
          <w:spacing w:val="2"/>
        </w:rPr>
        <w:t xml:space="preserve">Figure </w:t>
      </w:r>
      <w:r w:rsidR="004D4DCC">
        <w:rPr>
          <w:b/>
          <w:bCs/>
          <w:spacing w:val="2"/>
        </w:rPr>
        <w:t>IV</w:t>
      </w:r>
      <w:r w:rsidR="00442030">
        <w:rPr>
          <w:b/>
          <w:bCs/>
          <w:spacing w:val="2"/>
        </w:rPr>
        <w:t xml:space="preserve"> (</w:t>
      </w:r>
      <w:r w:rsidRPr="006D0590">
        <w:rPr>
          <w:b/>
          <w:bCs/>
          <w:spacing w:val="2"/>
        </w:rPr>
        <w:t>a</w:t>
      </w:r>
      <w:r w:rsidR="00442030">
        <w:rPr>
          <w:b/>
          <w:bCs/>
          <w:spacing w:val="2"/>
        </w:rPr>
        <w:t>)</w:t>
      </w:r>
      <w:r w:rsidRPr="006D0590">
        <w:rPr>
          <w:b/>
          <w:bCs/>
          <w:spacing w:val="2"/>
        </w:rPr>
        <w:t>.</w:t>
      </w:r>
      <w:r w:rsidR="00D118FF" w:rsidRPr="006D0590">
        <w:rPr>
          <w:b/>
          <w:bCs/>
          <w:spacing w:val="2"/>
        </w:rPr>
        <w:t xml:space="preserve"> </w:t>
      </w:r>
      <w:r w:rsidR="00133EFF" w:rsidRPr="006D0590">
        <w:rPr>
          <w:b/>
          <w:bCs/>
          <w:spacing w:val="2"/>
        </w:rPr>
        <w:t xml:space="preserve">Total expenses by </w:t>
      </w:r>
      <w:r w:rsidRPr="006D0590">
        <w:rPr>
          <w:b/>
          <w:bCs/>
          <w:spacing w:val="2"/>
        </w:rPr>
        <w:t>cost classification</w:t>
      </w:r>
      <w:r w:rsidR="00795E37" w:rsidRPr="006D0590">
        <w:rPr>
          <w:b/>
          <w:bCs/>
          <w:spacing w:val="2"/>
        </w:rPr>
        <w:t xml:space="preserve"> and programme expenses by region, 201</w:t>
      </w:r>
      <w:r w:rsidR="00861D5E" w:rsidRPr="006D0590">
        <w:rPr>
          <w:b/>
          <w:bCs/>
        </w:rPr>
        <w:t>9</w:t>
      </w:r>
    </w:p>
    <w:p w14:paraId="18706C04" w14:textId="164ADEC2" w:rsidR="009C4876" w:rsidRDefault="00D118FF" w:rsidP="00D118FF">
      <w:pPr>
        <w:pStyle w:val="SingleTxt"/>
        <w:keepNext/>
        <w:spacing w:line="240" w:lineRule="auto"/>
        <w:jc w:val="center"/>
        <w:rPr>
          <w:i/>
          <w:iCs/>
          <w:spacing w:val="2"/>
        </w:rPr>
      </w:pPr>
      <w:r>
        <w:rPr>
          <w:noProof/>
        </w:rPr>
        <w:drawing>
          <wp:anchor distT="0" distB="0" distL="114300" distR="114300" simplePos="0" relativeHeight="251658246" behindDoc="1" locked="0" layoutInCell="1" allowOverlap="1" wp14:anchorId="1ABD9422" wp14:editId="4DF2BDB1">
            <wp:simplePos x="0" y="0"/>
            <wp:positionH relativeFrom="column">
              <wp:posOffset>390525</wp:posOffset>
            </wp:positionH>
            <wp:positionV relativeFrom="paragraph">
              <wp:posOffset>161925</wp:posOffset>
            </wp:positionV>
            <wp:extent cx="5334002" cy="2802890"/>
            <wp:effectExtent l="0" t="0" r="0" b="0"/>
            <wp:wrapSquare wrapText="bothSides"/>
            <wp:docPr id="2076697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5334002" cy="2802890"/>
                    </a:xfrm>
                    <a:prstGeom prst="rect">
                      <a:avLst/>
                    </a:prstGeom>
                  </pic:spPr>
                </pic:pic>
              </a:graphicData>
            </a:graphic>
            <wp14:sizeRelH relativeFrom="page">
              <wp14:pctWidth>0</wp14:pctWidth>
            </wp14:sizeRelH>
            <wp14:sizeRelV relativeFrom="page">
              <wp14:pctHeight>0</wp14:pctHeight>
            </wp14:sizeRelV>
          </wp:anchor>
        </w:drawing>
      </w:r>
      <w:r w:rsidR="00EE632A" w:rsidRPr="5D788B90">
        <w:rPr>
          <w:i/>
          <w:iCs/>
          <w:spacing w:val="2"/>
        </w:rPr>
        <w:t xml:space="preserve">(in millions of </w:t>
      </w:r>
      <w:r w:rsidR="000F1D96" w:rsidRPr="5D788B90">
        <w:rPr>
          <w:i/>
          <w:iCs/>
          <w:spacing w:val="2"/>
        </w:rPr>
        <w:t xml:space="preserve">United States </w:t>
      </w:r>
      <w:r w:rsidR="00EE632A" w:rsidRPr="5D788B90">
        <w:rPr>
          <w:i/>
          <w:iCs/>
          <w:spacing w:val="2"/>
        </w:rPr>
        <w:t>dollars)</w:t>
      </w:r>
    </w:p>
    <w:p w14:paraId="03ACC359" w14:textId="77777777" w:rsidR="00E83358" w:rsidRPr="000E57AE" w:rsidRDefault="00E83358" w:rsidP="000578BE">
      <w:pPr>
        <w:pStyle w:val="H4"/>
        <w:tabs>
          <w:tab w:val="clear" w:pos="1267"/>
          <w:tab w:val="clear" w:pos="1742"/>
          <w:tab w:val="left" w:pos="1260"/>
          <w:tab w:val="left" w:pos="1440"/>
          <w:tab w:val="left" w:pos="1620"/>
        </w:tabs>
        <w:spacing w:before="240" w:after="240" w:line="240" w:lineRule="auto"/>
        <w:ind w:left="1008" w:firstLine="0"/>
        <w:outlineLvl w:val="2"/>
      </w:pPr>
      <w:bookmarkStart w:id="281" w:name="_Toc39596247"/>
      <w:bookmarkStart w:id="282" w:name="_Toc40281196"/>
      <w:bookmarkStart w:id="283" w:name="_Toc40281355"/>
      <w:bookmarkStart w:id="284" w:name="_Toc44499882"/>
      <w:bookmarkStart w:id="285" w:name="_Toc44603229"/>
      <w:bookmarkStart w:id="286" w:name="_Toc44606542"/>
      <w:bookmarkStart w:id="287" w:name="_Toc45297428"/>
      <w:bookmarkStart w:id="288" w:name="_Toc46221139"/>
      <w:bookmarkStart w:id="289" w:name="_Toc46399204"/>
      <w:r w:rsidRPr="000E57AE">
        <w:t>Development expenses</w:t>
      </w:r>
      <w:bookmarkEnd w:id="281"/>
      <w:bookmarkEnd w:id="282"/>
      <w:bookmarkEnd w:id="283"/>
      <w:bookmarkEnd w:id="284"/>
      <w:bookmarkEnd w:id="285"/>
      <w:bookmarkEnd w:id="286"/>
      <w:bookmarkEnd w:id="287"/>
      <w:bookmarkEnd w:id="288"/>
      <w:bookmarkEnd w:id="289"/>
    </w:p>
    <w:p w14:paraId="15CEF09F" w14:textId="492714CA" w:rsidR="00163C93" w:rsidRPr="000E57AE" w:rsidRDefault="00E83358"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0E57AE">
        <w:t xml:space="preserve">Development expenses consist </w:t>
      </w:r>
      <w:r w:rsidR="00E7076F" w:rsidRPr="000E57AE">
        <w:t>of</w:t>
      </w:r>
      <w:r w:rsidRPr="000E57AE">
        <w:t xml:space="preserve"> programme expenses of $</w:t>
      </w:r>
      <w:r w:rsidR="006D5FFC">
        <w:t>4</w:t>
      </w:r>
      <w:r w:rsidR="00257FF1">
        <w:t>.</w:t>
      </w:r>
      <w:r w:rsidR="006D5FFC">
        <w:t>3</w:t>
      </w:r>
      <w:r w:rsidRPr="000E57AE">
        <w:t xml:space="preserve"> </w:t>
      </w:r>
      <w:r w:rsidR="00EE2806">
        <w:t>b</w:t>
      </w:r>
      <w:r w:rsidRPr="000E57AE">
        <w:t>illion and development effectiveness of $</w:t>
      </w:r>
      <w:r w:rsidR="006D5FFC">
        <w:t>176</w:t>
      </w:r>
      <w:r w:rsidRPr="000E57AE">
        <w:t xml:space="preserve"> million.</w:t>
      </w:r>
    </w:p>
    <w:p w14:paraId="3EF1BB95" w14:textId="77777777" w:rsidR="00163C93" w:rsidRPr="000E57AE" w:rsidRDefault="008B5591" w:rsidP="000578BE">
      <w:pPr>
        <w:pStyle w:val="H4"/>
        <w:tabs>
          <w:tab w:val="clear" w:pos="1267"/>
          <w:tab w:val="clear" w:pos="1742"/>
          <w:tab w:val="left" w:pos="1260"/>
          <w:tab w:val="left" w:pos="1440"/>
          <w:tab w:val="left" w:pos="1620"/>
        </w:tabs>
        <w:spacing w:before="240" w:after="240" w:line="240" w:lineRule="auto"/>
        <w:ind w:left="1008" w:firstLine="0"/>
        <w:outlineLvl w:val="2"/>
      </w:pPr>
      <w:bookmarkStart w:id="290" w:name="_Toc39596248"/>
      <w:bookmarkStart w:id="291" w:name="_Toc40281197"/>
      <w:bookmarkStart w:id="292" w:name="_Toc40281356"/>
      <w:bookmarkStart w:id="293" w:name="_Toc44499883"/>
      <w:bookmarkStart w:id="294" w:name="_Toc44603230"/>
      <w:bookmarkStart w:id="295" w:name="_Toc44606543"/>
      <w:bookmarkStart w:id="296" w:name="_Toc45297429"/>
      <w:bookmarkStart w:id="297" w:name="_Toc46221140"/>
      <w:bookmarkStart w:id="298" w:name="_Toc46399205"/>
      <w:r w:rsidRPr="000E57AE">
        <w:t xml:space="preserve">Programme </w:t>
      </w:r>
      <w:r w:rsidR="00163C93" w:rsidRPr="000E57AE">
        <w:t>expenses</w:t>
      </w:r>
      <w:bookmarkEnd w:id="290"/>
      <w:bookmarkEnd w:id="291"/>
      <w:bookmarkEnd w:id="292"/>
      <w:bookmarkEnd w:id="293"/>
      <w:bookmarkEnd w:id="294"/>
      <w:bookmarkEnd w:id="295"/>
      <w:bookmarkEnd w:id="296"/>
      <w:bookmarkEnd w:id="297"/>
      <w:bookmarkEnd w:id="298"/>
    </w:p>
    <w:p w14:paraId="5AB62954" w14:textId="68F8A268" w:rsidR="008D2DB7" w:rsidRPr="000E57AE" w:rsidRDefault="00BF1A79"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0E57AE">
        <w:t>Total p</w:t>
      </w:r>
      <w:r w:rsidR="008B5591" w:rsidRPr="000E57AE">
        <w:t xml:space="preserve">rogramme expense </w:t>
      </w:r>
      <w:r w:rsidR="009F4303">
        <w:t>decreased</w:t>
      </w:r>
      <w:r w:rsidRPr="000E57AE">
        <w:t xml:space="preserve"> </w:t>
      </w:r>
      <w:r w:rsidR="00E83358" w:rsidRPr="000E57AE">
        <w:t xml:space="preserve">by </w:t>
      </w:r>
      <w:r w:rsidR="009F4303">
        <w:t>2</w:t>
      </w:r>
      <w:r w:rsidR="00E83358" w:rsidRPr="000E57AE">
        <w:t> per cent, to $</w:t>
      </w:r>
      <w:r w:rsidR="009F4303">
        <w:t>4</w:t>
      </w:r>
      <w:r w:rsidR="00684056">
        <w:t>.</w:t>
      </w:r>
      <w:r w:rsidR="009F4303">
        <w:t>3</w:t>
      </w:r>
      <w:r w:rsidR="00E83358" w:rsidRPr="000E57AE">
        <w:t xml:space="preserve"> </w:t>
      </w:r>
      <w:r w:rsidR="00305D6F">
        <w:t>b</w:t>
      </w:r>
      <w:r w:rsidR="00E83358" w:rsidRPr="000E57AE">
        <w:t xml:space="preserve">illion </w:t>
      </w:r>
      <w:r w:rsidR="00820803" w:rsidRPr="000E57AE">
        <w:t>from $</w:t>
      </w:r>
      <w:r w:rsidR="009F4303">
        <w:t>4</w:t>
      </w:r>
      <w:r w:rsidR="00684056">
        <w:t>.</w:t>
      </w:r>
      <w:r w:rsidR="009F4303">
        <w:t>4</w:t>
      </w:r>
      <w:r w:rsidR="004D3A23" w:rsidRPr="000E57AE">
        <w:t xml:space="preserve"> </w:t>
      </w:r>
      <w:r w:rsidR="00B77168">
        <w:t>b</w:t>
      </w:r>
      <w:r w:rsidR="004D3A23" w:rsidRPr="000E57AE">
        <w:t xml:space="preserve">illion in </w:t>
      </w:r>
      <w:r w:rsidR="00E83358" w:rsidRPr="000E57AE">
        <w:t>201</w:t>
      </w:r>
      <w:r w:rsidR="009F4303">
        <w:t>8</w:t>
      </w:r>
      <w:r w:rsidR="00E83358" w:rsidRPr="000E57AE">
        <w:t>.</w:t>
      </w:r>
      <w:r w:rsidR="00340A19">
        <w:t xml:space="preserve"> </w:t>
      </w:r>
      <w:r w:rsidR="009A33DB">
        <w:t>This decrease was due to a number of factors, including</w:t>
      </w:r>
      <w:r w:rsidR="00340A19" w:rsidRPr="00340A19">
        <w:t xml:space="preserve"> local circumstances</w:t>
      </w:r>
      <w:r w:rsidR="005D2891">
        <w:t>, as well as UN development system reform</w:t>
      </w:r>
      <w:r w:rsidR="00E7076F">
        <w:t>,</w:t>
      </w:r>
      <w:r w:rsidR="00340A19" w:rsidRPr="00340A19">
        <w:t xml:space="preserve"> which resulted in field-level leadership positions being temporarily vacant.</w:t>
      </w:r>
      <w:r w:rsidR="008C1E24">
        <w:t xml:space="preserve"> </w:t>
      </w:r>
    </w:p>
    <w:p w14:paraId="195C726E" w14:textId="09C24899" w:rsidR="00133EFF" w:rsidRPr="000E57AE" w:rsidRDefault="00F467B2"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0E57AE">
        <w:t xml:space="preserve">UNDP took </w:t>
      </w:r>
      <w:r w:rsidR="0050788D" w:rsidRPr="000E57AE">
        <w:t xml:space="preserve">measures </w:t>
      </w:r>
      <w:r w:rsidRPr="000E57AE">
        <w:t>to curtail expenses</w:t>
      </w:r>
      <w:r w:rsidR="000F1D96">
        <w:t>,</w:t>
      </w:r>
      <w:r w:rsidRPr="000E57AE">
        <w:t xml:space="preserve"> reflecting </w:t>
      </w:r>
      <w:r w:rsidR="000F1D96">
        <w:t xml:space="preserve">its </w:t>
      </w:r>
      <w:r w:rsidRPr="000E57AE">
        <w:t xml:space="preserve">focus on efficiency </w:t>
      </w:r>
      <w:r w:rsidR="0050788D" w:rsidRPr="000E57AE">
        <w:t xml:space="preserve">while </w:t>
      </w:r>
      <w:r w:rsidRPr="000E57AE">
        <w:t>shield</w:t>
      </w:r>
      <w:r w:rsidR="0050788D" w:rsidRPr="000E57AE">
        <w:t>ing</w:t>
      </w:r>
      <w:r w:rsidRPr="000E57AE">
        <w:t xml:space="preserve"> programme components</w:t>
      </w:r>
      <w:r w:rsidR="007D30FA">
        <w:t>,</w:t>
      </w:r>
      <w:r w:rsidRPr="000E57AE">
        <w:t xml:space="preserve"> such as </w:t>
      </w:r>
      <w:r w:rsidR="000F1D96">
        <w:t xml:space="preserve">target for resource assignment from the core </w:t>
      </w:r>
      <w:r w:rsidRPr="000E57AE">
        <w:t xml:space="preserve">TRAC-1, TRAC-2, TRAC-3, South-South cooperation, </w:t>
      </w:r>
      <w:r w:rsidR="00BB5D55" w:rsidRPr="000E57AE">
        <w:t xml:space="preserve">and </w:t>
      </w:r>
      <w:r w:rsidRPr="000E57AE">
        <w:t>the Human Development Report Office</w:t>
      </w:r>
      <w:r w:rsidR="00DC0F91">
        <w:t>, including m</w:t>
      </w:r>
      <w:r w:rsidR="00E83358" w:rsidRPr="000E57AE">
        <w:t>ulti-year allocations from TRAC-2 issued largely in 2019</w:t>
      </w:r>
      <w:r w:rsidR="00EB671F" w:rsidRPr="000E57AE">
        <w:t>.</w:t>
      </w:r>
    </w:p>
    <w:p w14:paraId="6A9467E0" w14:textId="26C5F9D9" w:rsidR="00E82350" w:rsidRPr="009C1CE2" w:rsidRDefault="42EEDB6E" w:rsidP="009D4BB3">
      <w:pPr>
        <w:pStyle w:val="SingleTxt"/>
        <w:numPr>
          <w:ilvl w:val="0"/>
          <w:numId w:val="5"/>
        </w:numPr>
        <w:tabs>
          <w:tab w:val="left" w:pos="1620"/>
        </w:tabs>
        <w:spacing w:before="240" w:after="240" w:line="240" w:lineRule="auto"/>
      </w:pPr>
      <w:r>
        <w:t>Th</w:t>
      </w:r>
      <w:r w:rsidR="174B9357">
        <w:t>e</w:t>
      </w:r>
      <w:r w:rsidR="009C1CE2" w:rsidRPr="00030DD4">
        <w:t xml:space="preserve"> $4</w:t>
      </w:r>
      <w:r w:rsidR="00A24BE3">
        <w:t>.3 billion</w:t>
      </w:r>
      <w:r w:rsidR="009C1CE2" w:rsidRPr="00030DD4">
        <w:t xml:space="preserve"> programme </w:t>
      </w:r>
      <w:r>
        <w:t>expense</w:t>
      </w:r>
      <w:r w:rsidR="0BB3BA58">
        <w:t>s</w:t>
      </w:r>
      <w:r>
        <w:t xml:space="preserve"> include</w:t>
      </w:r>
      <w:r w:rsidR="009C1CE2" w:rsidRPr="00030DD4">
        <w:t xml:space="preserve"> $</w:t>
      </w:r>
      <w:r w:rsidR="00A24BE3">
        <w:t xml:space="preserve">2.0 billion </w:t>
      </w:r>
      <w:r w:rsidR="009C1CE2" w:rsidRPr="00030DD4">
        <w:t>related to donor cost-sharing, $83</w:t>
      </w:r>
      <w:r w:rsidR="00A07B7D">
        <w:t>3</w:t>
      </w:r>
      <w:r w:rsidR="009C1CE2" w:rsidRPr="00030DD4">
        <w:t xml:space="preserve"> million related to government cost-sharing, $797 million related to the following vertical funds (the Global Fund to Fight AIDS, Tuberculosis and Malaria ($306 million), the Global Environment Facility ($403 million), the Green Climate Fund ($56 million) and the Montreal Protocol ($32 million)), and $185 million relating to the Law and Order Trust Fund for Afghanistan.</w:t>
      </w:r>
      <w:r w:rsidR="007777F1">
        <w:t xml:space="preserve">  </w:t>
      </w:r>
      <w:r w:rsidR="002B3E07">
        <w:t>O</w:t>
      </w:r>
      <w:r w:rsidR="002B3E07" w:rsidRPr="006F7639">
        <w:t xml:space="preserve">f the </w:t>
      </w:r>
      <w:r w:rsidR="002B3E07">
        <w:t>10</w:t>
      </w:r>
      <w:r w:rsidR="002B3E07" w:rsidRPr="006F7639">
        <w:t xml:space="preserve"> largest UNDP programmes</w:t>
      </w:r>
      <w:r w:rsidR="002B3E07">
        <w:t>, nine</w:t>
      </w:r>
      <w:r w:rsidR="002B3E07" w:rsidRPr="006F7639">
        <w:t xml:space="preserve"> are in fragile or crisis</w:t>
      </w:r>
      <w:r w:rsidR="002B3E07">
        <w:t>-affected</w:t>
      </w:r>
      <w:r w:rsidR="002B3E07" w:rsidRPr="006F7639">
        <w:t xml:space="preserve"> </w:t>
      </w:r>
      <w:r w:rsidR="002B3E07">
        <w:t>countries</w:t>
      </w:r>
      <w:r w:rsidR="002B3E07" w:rsidRPr="006F7639">
        <w:t>, accounting for 40</w:t>
      </w:r>
      <w:r w:rsidR="002B3E07">
        <w:t xml:space="preserve"> percent</w:t>
      </w:r>
      <w:r w:rsidR="002B3E07" w:rsidRPr="006F7639">
        <w:t xml:space="preserve"> of total programme delivery</w:t>
      </w:r>
      <w:r w:rsidR="002B3E07">
        <w:t>.</w:t>
      </w:r>
    </w:p>
    <w:p w14:paraId="79435952" w14:textId="257B6618" w:rsidR="00C45F88" w:rsidRPr="000E57AE" w:rsidRDefault="006A24BB" w:rsidP="003F5F37">
      <w:pPr>
        <w:pStyle w:val="ListParagraph"/>
        <w:keepNext/>
        <w:tabs>
          <w:tab w:val="left" w:pos="1620"/>
          <w:tab w:val="left" w:pos="1710"/>
          <w:tab w:val="left" w:pos="8820"/>
        </w:tabs>
        <w:ind w:left="1526" w:right="1238"/>
        <w:jc w:val="center"/>
        <w:rPr>
          <w:b/>
          <w:spacing w:val="2"/>
        </w:rPr>
      </w:pPr>
      <w:r w:rsidRPr="000E57AE">
        <w:rPr>
          <w:b/>
          <w:spacing w:val="2"/>
        </w:rPr>
        <w:t>Figure</w:t>
      </w:r>
      <w:r w:rsidR="00C45F88" w:rsidRPr="000E57AE">
        <w:rPr>
          <w:b/>
          <w:spacing w:val="2"/>
        </w:rPr>
        <w:t xml:space="preserve"> </w:t>
      </w:r>
      <w:r w:rsidR="004D4DCC">
        <w:rPr>
          <w:b/>
          <w:spacing w:val="2"/>
        </w:rPr>
        <w:t>IV</w:t>
      </w:r>
      <w:r w:rsidR="00442030">
        <w:rPr>
          <w:b/>
          <w:spacing w:val="2"/>
        </w:rPr>
        <w:t xml:space="preserve"> (</w:t>
      </w:r>
      <w:r w:rsidR="008E7C8A" w:rsidRPr="000E57AE">
        <w:rPr>
          <w:b/>
          <w:spacing w:val="2"/>
        </w:rPr>
        <w:t>b</w:t>
      </w:r>
      <w:r w:rsidR="00442030">
        <w:rPr>
          <w:b/>
          <w:spacing w:val="2"/>
        </w:rPr>
        <w:t>)</w:t>
      </w:r>
      <w:r w:rsidR="008E7C8A" w:rsidRPr="000E57AE">
        <w:rPr>
          <w:b/>
          <w:spacing w:val="2"/>
        </w:rPr>
        <w:t xml:space="preserve">. </w:t>
      </w:r>
      <w:r w:rsidR="00CE3EA6" w:rsidRPr="000E57AE">
        <w:rPr>
          <w:b/>
          <w:spacing w:val="2"/>
        </w:rPr>
        <w:t>P</w:t>
      </w:r>
      <w:r w:rsidR="006B4C5D" w:rsidRPr="000E57AE">
        <w:rPr>
          <w:b/>
          <w:spacing w:val="2"/>
        </w:rPr>
        <w:t>rog</w:t>
      </w:r>
      <w:r w:rsidR="00740F11" w:rsidRPr="000E57AE">
        <w:rPr>
          <w:b/>
          <w:spacing w:val="2"/>
        </w:rPr>
        <w:t xml:space="preserve">ramme </w:t>
      </w:r>
      <w:r w:rsidR="008E7C8A" w:rsidRPr="000E57AE">
        <w:rPr>
          <w:b/>
          <w:spacing w:val="2"/>
        </w:rPr>
        <w:t>expenses</w:t>
      </w:r>
      <w:r w:rsidR="00CE3EA6" w:rsidRPr="000E57AE">
        <w:rPr>
          <w:b/>
          <w:spacing w:val="2"/>
        </w:rPr>
        <w:t xml:space="preserve"> </w:t>
      </w:r>
      <w:r w:rsidR="008E7C8A" w:rsidRPr="000E57AE">
        <w:rPr>
          <w:b/>
          <w:spacing w:val="2"/>
        </w:rPr>
        <w:t xml:space="preserve">by </w:t>
      </w:r>
      <w:r w:rsidR="00C45F88" w:rsidRPr="000E57AE">
        <w:rPr>
          <w:b/>
          <w:spacing w:val="2"/>
        </w:rPr>
        <w:t>region, 201</w:t>
      </w:r>
      <w:r w:rsidR="007965C8">
        <w:rPr>
          <w:b/>
          <w:spacing w:val="2"/>
        </w:rPr>
        <w:t>8</w:t>
      </w:r>
      <w:r w:rsidR="00F56DAB" w:rsidRPr="000E57AE">
        <w:rPr>
          <w:b/>
          <w:spacing w:val="2"/>
        </w:rPr>
        <w:t>-</w:t>
      </w:r>
      <w:r w:rsidR="00EF3FDD" w:rsidRPr="000E57AE">
        <w:rPr>
          <w:b/>
          <w:spacing w:val="2"/>
        </w:rPr>
        <w:t>201</w:t>
      </w:r>
      <w:r w:rsidR="007965C8">
        <w:rPr>
          <w:b/>
          <w:spacing w:val="2"/>
        </w:rPr>
        <w:t>9</w:t>
      </w:r>
    </w:p>
    <w:p w14:paraId="32A9B03D" w14:textId="3E426D67" w:rsidR="007965C8" w:rsidRDefault="00377D3F" w:rsidP="0038188B">
      <w:pPr>
        <w:pStyle w:val="ListParagraph"/>
        <w:keepNext/>
        <w:tabs>
          <w:tab w:val="left" w:pos="1620"/>
          <w:tab w:val="left" w:pos="1710"/>
          <w:tab w:val="left" w:pos="8820"/>
        </w:tabs>
        <w:ind w:left="1526" w:right="1238" w:hanging="270"/>
        <w:jc w:val="center"/>
        <w:rPr>
          <w:i/>
          <w:spacing w:val="2"/>
        </w:rPr>
      </w:pPr>
      <w:r>
        <w:rPr>
          <w:noProof/>
        </w:rPr>
        <w:drawing>
          <wp:anchor distT="0" distB="0" distL="114300" distR="114300" simplePos="0" relativeHeight="251658251" behindDoc="1" locked="0" layoutInCell="1" allowOverlap="1" wp14:anchorId="7FDFB41A" wp14:editId="549585BE">
            <wp:simplePos x="0" y="0"/>
            <wp:positionH relativeFrom="column">
              <wp:posOffset>476250</wp:posOffset>
            </wp:positionH>
            <wp:positionV relativeFrom="paragraph">
              <wp:posOffset>184150</wp:posOffset>
            </wp:positionV>
            <wp:extent cx="5391150" cy="3075305"/>
            <wp:effectExtent l="0" t="0" r="0" b="0"/>
            <wp:wrapSquare wrapText="bothSides"/>
            <wp:docPr id="15138228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4">
                      <a:extLst>
                        <a:ext uri="{28A0092B-C50C-407E-A947-70E740481C1C}">
                          <a14:useLocalDpi xmlns:a14="http://schemas.microsoft.com/office/drawing/2010/main" val="0"/>
                        </a:ext>
                      </a:extLst>
                    </a:blip>
                    <a:stretch>
                      <a:fillRect/>
                    </a:stretch>
                  </pic:blipFill>
                  <pic:spPr>
                    <a:xfrm>
                      <a:off x="0" y="0"/>
                      <a:ext cx="5391150" cy="3075305"/>
                    </a:xfrm>
                    <a:prstGeom prst="rect">
                      <a:avLst/>
                    </a:prstGeom>
                  </pic:spPr>
                </pic:pic>
              </a:graphicData>
            </a:graphic>
            <wp14:sizeRelH relativeFrom="page">
              <wp14:pctWidth>0</wp14:pctWidth>
            </wp14:sizeRelH>
            <wp14:sizeRelV relativeFrom="page">
              <wp14:pctHeight>0</wp14:pctHeight>
            </wp14:sizeRelV>
          </wp:anchor>
        </w:drawing>
      </w:r>
      <w:r w:rsidR="00B37C81" w:rsidRPr="5D788B90">
        <w:rPr>
          <w:i/>
          <w:iCs/>
          <w:spacing w:val="2"/>
        </w:rPr>
        <w:t xml:space="preserve">(in millions of </w:t>
      </w:r>
      <w:r w:rsidR="003C71C1" w:rsidRPr="5D788B90">
        <w:rPr>
          <w:i/>
          <w:iCs/>
          <w:spacing w:val="2"/>
        </w:rPr>
        <w:t xml:space="preserve">United States </w:t>
      </w:r>
      <w:r w:rsidR="00B37C81" w:rsidRPr="5D788B90">
        <w:rPr>
          <w:i/>
          <w:iCs/>
          <w:spacing w:val="2"/>
        </w:rPr>
        <w:t>dollars)</w:t>
      </w:r>
    </w:p>
    <w:p w14:paraId="0883B6D2" w14:textId="0E05C17E" w:rsidR="00D20701" w:rsidRPr="000E57AE" w:rsidRDefault="00D20701" w:rsidP="0038188B">
      <w:pPr>
        <w:pStyle w:val="ListParagraph"/>
        <w:keepNext/>
        <w:tabs>
          <w:tab w:val="left" w:pos="1620"/>
          <w:tab w:val="left" w:pos="1710"/>
          <w:tab w:val="left" w:pos="8820"/>
        </w:tabs>
        <w:ind w:left="1526" w:right="1238" w:hanging="270"/>
        <w:jc w:val="center"/>
      </w:pPr>
    </w:p>
    <w:p w14:paraId="400956E1" w14:textId="48E7CBA3" w:rsidR="00F56DAB" w:rsidRPr="000E57AE" w:rsidRDefault="003B7574" w:rsidP="000578BE">
      <w:pPr>
        <w:pStyle w:val="H4"/>
        <w:tabs>
          <w:tab w:val="clear" w:pos="1742"/>
          <w:tab w:val="left" w:pos="1440"/>
          <w:tab w:val="left" w:pos="1620"/>
        </w:tabs>
        <w:spacing w:before="240" w:after="240" w:line="240" w:lineRule="auto"/>
        <w:ind w:left="1008" w:firstLine="0"/>
        <w:outlineLvl w:val="2"/>
      </w:pPr>
      <w:bookmarkStart w:id="299" w:name="_Toc40281198"/>
      <w:bookmarkStart w:id="300" w:name="_Toc40281357"/>
      <w:bookmarkStart w:id="301" w:name="_Toc44499884"/>
      <w:bookmarkStart w:id="302" w:name="_Toc44603231"/>
      <w:bookmarkStart w:id="303" w:name="_Toc44606544"/>
      <w:bookmarkStart w:id="304" w:name="_Toc39596249"/>
      <w:bookmarkStart w:id="305" w:name="_Toc45297430"/>
      <w:bookmarkStart w:id="306" w:name="_Toc46221141"/>
      <w:bookmarkStart w:id="307" w:name="_Toc46399206"/>
      <w:r w:rsidRPr="000E57AE">
        <w:t>Comparison of programme expenses by region, 201</w:t>
      </w:r>
      <w:r w:rsidR="006269C3">
        <w:t>8</w:t>
      </w:r>
      <w:r w:rsidRPr="000E57AE">
        <w:t>-201</w:t>
      </w:r>
      <w:r w:rsidR="006269C3">
        <w:t>9</w:t>
      </w:r>
      <w:bookmarkEnd w:id="299"/>
      <w:bookmarkEnd w:id="300"/>
      <w:bookmarkEnd w:id="301"/>
      <w:bookmarkEnd w:id="302"/>
      <w:bookmarkEnd w:id="303"/>
      <w:bookmarkEnd w:id="304"/>
      <w:bookmarkEnd w:id="305"/>
      <w:bookmarkEnd w:id="306"/>
      <w:bookmarkEnd w:id="307"/>
    </w:p>
    <w:p w14:paraId="4156BF3E" w14:textId="53B29E03" w:rsidR="00293747" w:rsidRPr="003367B9" w:rsidRDefault="007F068A"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3367B9">
        <w:t xml:space="preserve">Overall programme delivery in </w:t>
      </w:r>
      <w:r w:rsidR="00585042" w:rsidRPr="003367B9">
        <w:t xml:space="preserve">the </w:t>
      </w:r>
      <w:r w:rsidRPr="003367B9">
        <w:t xml:space="preserve">Africa region </w:t>
      </w:r>
      <w:r w:rsidR="00986640" w:rsidRPr="003367B9">
        <w:t>increased</w:t>
      </w:r>
      <w:r w:rsidR="000245E1" w:rsidRPr="003367B9">
        <w:t xml:space="preserve"> </w:t>
      </w:r>
      <w:r w:rsidRPr="003367B9">
        <w:t xml:space="preserve">by </w:t>
      </w:r>
      <w:r w:rsidR="00CD537D" w:rsidRPr="003367B9">
        <w:t>5.3</w:t>
      </w:r>
      <w:r w:rsidRPr="003367B9">
        <w:t xml:space="preserve"> per cent. The top three countries with the largest programme delivery in 201</w:t>
      </w:r>
      <w:r w:rsidR="001B1DBD" w:rsidRPr="003367B9">
        <w:t>9</w:t>
      </w:r>
      <w:r w:rsidRPr="003367B9">
        <w:t xml:space="preserve"> </w:t>
      </w:r>
      <w:r w:rsidR="00FC1CC5" w:rsidRPr="003367B9">
        <w:t xml:space="preserve">were </w:t>
      </w:r>
      <w:r w:rsidR="006049F9" w:rsidRPr="003367B9">
        <w:t>Zimbabwe ($176 million)</w:t>
      </w:r>
      <w:r w:rsidRPr="003367B9">
        <w:t xml:space="preserve">, </w:t>
      </w:r>
      <w:r w:rsidR="00FC1CC5" w:rsidRPr="003367B9">
        <w:t xml:space="preserve">the </w:t>
      </w:r>
      <w:r w:rsidRPr="003367B9">
        <w:t xml:space="preserve">Democratic Republic of </w:t>
      </w:r>
      <w:r w:rsidR="00BA5ED1" w:rsidRPr="003367B9">
        <w:t xml:space="preserve">the </w:t>
      </w:r>
      <w:r w:rsidRPr="003367B9">
        <w:t>Congo (</w:t>
      </w:r>
      <w:r w:rsidR="00C93BC0" w:rsidRPr="003367B9">
        <w:t>$</w:t>
      </w:r>
      <w:r w:rsidR="001B1DBD" w:rsidRPr="003367B9">
        <w:t>108</w:t>
      </w:r>
      <w:r w:rsidRPr="003367B9">
        <w:t xml:space="preserve"> million) and South Sudan ($</w:t>
      </w:r>
      <w:r w:rsidR="00712980" w:rsidRPr="003367B9">
        <w:t>100</w:t>
      </w:r>
      <w:r w:rsidR="00FC1CC5" w:rsidRPr="003367B9">
        <w:t> </w:t>
      </w:r>
      <w:r w:rsidRPr="003367B9">
        <w:t xml:space="preserve">million). </w:t>
      </w:r>
      <w:r w:rsidR="00572E87" w:rsidRPr="003367B9">
        <w:t>The</w:t>
      </w:r>
      <w:r w:rsidR="007E512D" w:rsidRPr="003367B9">
        <w:t xml:space="preserve"> delivery in Zimbabwe </w:t>
      </w:r>
      <w:r w:rsidR="004F5741" w:rsidRPr="003367B9">
        <w:t>increased</w:t>
      </w:r>
      <w:r w:rsidR="00A52F6C" w:rsidRPr="003367B9">
        <w:t xml:space="preserve"> </w:t>
      </w:r>
      <w:r w:rsidR="00FD0D40" w:rsidRPr="003367B9">
        <w:t xml:space="preserve">by </w:t>
      </w:r>
      <w:r w:rsidR="00A14718" w:rsidRPr="003367B9">
        <w:t>5</w:t>
      </w:r>
      <w:r w:rsidR="001A51AB" w:rsidRPr="003367B9">
        <w:t xml:space="preserve"> per cent </w:t>
      </w:r>
      <w:r w:rsidR="00EC07C7" w:rsidRPr="003367B9">
        <w:t>to $</w:t>
      </w:r>
      <w:r w:rsidR="007E649B" w:rsidRPr="003367B9">
        <w:t>176</w:t>
      </w:r>
      <w:r w:rsidR="00C4041A" w:rsidRPr="003367B9">
        <w:t xml:space="preserve"> million</w:t>
      </w:r>
      <w:r w:rsidR="003F2899" w:rsidRPr="003367B9">
        <w:t>,</w:t>
      </w:r>
      <w:r w:rsidR="00C4041A" w:rsidRPr="003367B9">
        <w:t xml:space="preserve"> </w:t>
      </w:r>
      <w:r w:rsidR="003F2899" w:rsidRPr="003367B9">
        <w:t>of which $</w:t>
      </w:r>
      <w:r w:rsidR="00FA374F" w:rsidRPr="003367B9">
        <w:t>148</w:t>
      </w:r>
      <w:r w:rsidR="003F2899" w:rsidRPr="003367B9">
        <w:t xml:space="preserve"> million </w:t>
      </w:r>
      <w:r w:rsidR="00C23DE7" w:rsidRPr="003367B9">
        <w:t>(</w:t>
      </w:r>
      <w:r w:rsidR="008A3DB2" w:rsidRPr="003367B9">
        <w:t>84</w:t>
      </w:r>
      <w:r w:rsidR="00C23DE7" w:rsidRPr="003367B9">
        <w:t xml:space="preserve"> per cent) was </w:t>
      </w:r>
      <w:r w:rsidR="00BA0578" w:rsidRPr="003367B9">
        <w:t>funded by the Global Fund</w:t>
      </w:r>
      <w:r w:rsidR="00734CFB" w:rsidRPr="003367B9">
        <w:t>.</w:t>
      </w:r>
      <w:r w:rsidR="00BA0578" w:rsidRPr="003367B9">
        <w:t xml:space="preserve"> </w:t>
      </w:r>
      <w:r w:rsidR="0043360F" w:rsidRPr="003367B9">
        <w:t>The Democratic Republic of the Congo</w:t>
      </w:r>
      <w:r w:rsidR="00C73929" w:rsidRPr="003367B9">
        <w:t xml:space="preserve">, South Sudan, </w:t>
      </w:r>
      <w:r w:rsidR="00B80A1F" w:rsidRPr="003367B9">
        <w:t>Burundi,</w:t>
      </w:r>
      <w:r w:rsidR="00675EEF" w:rsidRPr="003367B9">
        <w:t xml:space="preserve"> </w:t>
      </w:r>
      <w:r w:rsidR="00217EF1" w:rsidRPr="003367B9">
        <w:t xml:space="preserve">Central African Republic, </w:t>
      </w:r>
      <w:r w:rsidR="00675EEF" w:rsidRPr="003367B9">
        <w:t>and</w:t>
      </w:r>
      <w:r w:rsidR="009A31F9" w:rsidRPr="003367B9">
        <w:t xml:space="preserve"> Chad</w:t>
      </w:r>
      <w:r w:rsidR="00B80A1F" w:rsidRPr="003367B9">
        <w:t xml:space="preserve"> </w:t>
      </w:r>
      <w:r w:rsidRPr="003367B9">
        <w:t>have increase</w:t>
      </w:r>
      <w:r w:rsidR="009C4B31" w:rsidRPr="003367B9">
        <w:t>d their delivery</w:t>
      </w:r>
      <w:r w:rsidRPr="003367B9">
        <w:t>, each within a range of $</w:t>
      </w:r>
      <w:r w:rsidR="00675EEF" w:rsidRPr="003367B9">
        <w:t>4</w:t>
      </w:r>
      <w:r w:rsidRPr="003367B9">
        <w:t xml:space="preserve"> million to </w:t>
      </w:r>
      <w:r w:rsidR="00BF045B" w:rsidRPr="003367B9">
        <w:t>$</w:t>
      </w:r>
      <w:r w:rsidRPr="003367B9">
        <w:t>1</w:t>
      </w:r>
      <w:r w:rsidR="00675EEF" w:rsidRPr="003367B9">
        <w:t>1</w:t>
      </w:r>
      <w:r w:rsidRPr="003367B9">
        <w:t xml:space="preserve"> million. </w:t>
      </w:r>
    </w:p>
    <w:p w14:paraId="37F38EA2" w14:textId="3EC0D3EA" w:rsidR="0014785B" w:rsidRPr="003367B9" w:rsidRDefault="00351E19"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3367B9">
        <w:t xml:space="preserve">Overall programme delivery in the Arab States region </w:t>
      </w:r>
      <w:r w:rsidR="00BB07E5" w:rsidRPr="003367B9">
        <w:t>decreased</w:t>
      </w:r>
      <w:r w:rsidRPr="003367B9">
        <w:t xml:space="preserve"> by </w:t>
      </w:r>
      <w:r w:rsidR="00BB07E5" w:rsidRPr="003367B9">
        <w:t>2.</w:t>
      </w:r>
      <w:r w:rsidR="00EB08EE" w:rsidRPr="003367B9">
        <w:t>9</w:t>
      </w:r>
      <w:r w:rsidR="00ED3732" w:rsidRPr="003367B9">
        <w:t xml:space="preserve"> </w:t>
      </w:r>
      <w:r w:rsidRPr="003367B9">
        <w:t xml:space="preserve">per cent. </w:t>
      </w:r>
      <w:r w:rsidR="009B1161" w:rsidRPr="003367B9">
        <w:t xml:space="preserve">Iraq </w:t>
      </w:r>
      <w:r w:rsidR="00261F17" w:rsidRPr="003367B9">
        <w:t xml:space="preserve">has </w:t>
      </w:r>
      <w:r w:rsidR="009B1161" w:rsidRPr="003367B9">
        <w:t>the second largest programme delivery in UNDP. Iraq delivered a total of $</w:t>
      </w:r>
      <w:r w:rsidR="00261F17" w:rsidRPr="003367B9">
        <w:t>323</w:t>
      </w:r>
      <w:r w:rsidR="009B1161" w:rsidRPr="003367B9">
        <w:t xml:space="preserve"> million, an increase of </w:t>
      </w:r>
      <w:r w:rsidR="00FE7A08" w:rsidRPr="003367B9">
        <w:t>11</w:t>
      </w:r>
      <w:r w:rsidR="009B1161" w:rsidRPr="003367B9">
        <w:t xml:space="preserve"> per cent from </w:t>
      </w:r>
      <w:r w:rsidR="00BA5ED1" w:rsidRPr="003367B9">
        <w:t xml:space="preserve">the </w:t>
      </w:r>
      <w:r w:rsidR="009B1161" w:rsidRPr="003367B9">
        <w:t>201</w:t>
      </w:r>
      <w:r w:rsidR="00FE7A08" w:rsidRPr="003367B9">
        <w:t>8</w:t>
      </w:r>
      <w:r w:rsidR="009B1161" w:rsidRPr="003367B9">
        <w:t xml:space="preserve"> delivery of $</w:t>
      </w:r>
      <w:r w:rsidR="00FE7A08" w:rsidRPr="003367B9">
        <w:t>291</w:t>
      </w:r>
      <w:r w:rsidR="00FC1CC5" w:rsidRPr="003367B9">
        <w:t> </w:t>
      </w:r>
      <w:r w:rsidR="009B1161" w:rsidRPr="003367B9">
        <w:t xml:space="preserve">million. Of that amount, </w:t>
      </w:r>
      <w:r w:rsidR="009F6C25" w:rsidRPr="003367B9">
        <w:t>85</w:t>
      </w:r>
      <w:r w:rsidR="009B1161" w:rsidRPr="003367B9">
        <w:t xml:space="preserve"> per</w:t>
      </w:r>
      <w:r w:rsidR="0036649C" w:rsidRPr="003367B9">
        <w:t xml:space="preserve"> </w:t>
      </w:r>
      <w:r w:rsidR="009B1161" w:rsidRPr="003367B9">
        <w:t>cent was funded by donor country governments under third-party cost-sharing arrangement</w:t>
      </w:r>
      <w:r w:rsidR="00BA5ED1" w:rsidRPr="003367B9">
        <w:t>s</w:t>
      </w:r>
      <w:r w:rsidR="009B1161" w:rsidRPr="003367B9">
        <w:t xml:space="preserve">. Yemen was also one of the top </w:t>
      </w:r>
      <w:r w:rsidR="00442374" w:rsidRPr="003367B9">
        <w:t>ten</w:t>
      </w:r>
      <w:r w:rsidR="009B1161" w:rsidRPr="003367B9">
        <w:t xml:space="preserve"> countr</w:t>
      </w:r>
      <w:r w:rsidR="00734CFB" w:rsidRPr="003367B9">
        <w:t>ies</w:t>
      </w:r>
      <w:r w:rsidR="00FC1CC5" w:rsidRPr="003367B9">
        <w:t>,</w:t>
      </w:r>
      <w:r w:rsidR="009B1161" w:rsidRPr="003367B9">
        <w:t xml:space="preserve"> with total programme delivery of $</w:t>
      </w:r>
      <w:r w:rsidR="006350D5" w:rsidRPr="003367B9">
        <w:t>110</w:t>
      </w:r>
      <w:r w:rsidR="009B1161" w:rsidRPr="003367B9">
        <w:t xml:space="preserve"> million </w:t>
      </w:r>
      <w:r w:rsidR="003A7213" w:rsidRPr="003367B9">
        <w:t>(201</w:t>
      </w:r>
      <w:r w:rsidR="006350D5" w:rsidRPr="003367B9">
        <w:t>8</w:t>
      </w:r>
      <w:r w:rsidR="003A7213" w:rsidRPr="003367B9">
        <w:t xml:space="preserve">: </w:t>
      </w:r>
      <w:r w:rsidR="009B1161" w:rsidRPr="003367B9">
        <w:t>$</w:t>
      </w:r>
      <w:r w:rsidR="006350D5" w:rsidRPr="003367B9">
        <w:t>199</w:t>
      </w:r>
      <w:r w:rsidR="009B1161" w:rsidRPr="003367B9">
        <w:t xml:space="preserve"> million</w:t>
      </w:r>
      <w:r w:rsidR="003A7213" w:rsidRPr="003367B9">
        <w:t>)</w:t>
      </w:r>
      <w:r w:rsidR="008475B8" w:rsidRPr="003367B9">
        <w:t xml:space="preserve">, of which </w:t>
      </w:r>
      <w:r w:rsidR="007C2DEB" w:rsidRPr="003367B9">
        <w:t>53 per</w:t>
      </w:r>
      <w:r w:rsidR="0059324E" w:rsidRPr="003367B9">
        <w:t xml:space="preserve"> </w:t>
      </w:r>
      <w:r w:rsidR="007C2DEB" w:rsidRPr="003367B9">
        <w:t>cent</w:t>
      </w:r>
      <w:r w:rsidR="008475B8" w:rsidRPr="003367B9">
        <w:t xml:space="preserve"> were funded by the World Bank Group</w:t>
      </w:r>
      <w:r w:rsidR="0047727B" w:rsidRPr="003367B9">
        <w:t>.</w:t>
      </w:r>
    </w:p>
    <w:p w14:paraId="270A9D4A" w14:textId="58052B54" w:rsidR="00682DA2" w:rsidRPr="003367B9" w:rsidRDefault="00026CE8"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3367B9">
        <w:t xml:space="preserve">In </w:t>
      </w:r>
      <w:r w:rsidR="00FC1CC5" w:rsidRPr="003367B9">
        <w:t xml:space="preserve">the </w:t>
      </w:r>
      <w:r w:rsidRPr="003367B9">
        <w:t xml:space="preserve">Asia and the Pacific region, </w:t>
      </w:r>
      <w:r w:rsidR="009B1161" w:rsidRPr="003367B9">
        <w:t xml:space="preserve">Afghanistan delivered the highest level of programme expenses </w:t>
      </w:r>
      <w:r w:rsidR="003A7213" w:rsidRPr="003367B9">
        <w:t xml:space="preserve">in UNDP at </w:t>
      </w:r>
      <w:r w:rsidR="009B1161" w:rsidRPr="003367B9">
        <w:t>$</w:t>
      </w:r>
      <w:r w:rsidR="00C819DB" w:rsidRPr="003367B9">
        <w:t>439</w:t>
      </w:r>
      <w:r w:rsidR="009B1161" w:rsidRPr="003367B9">
        <w:t xml:space="preserve"> million</w:t>
      </w:r>
      <w:r w:rsidR="007159D6" w:rsidRPr="003367B9">
        <w:t xml:space="preserve"> (2018: $473</w:t>
      </w:r>
      <w:r w:rsidR="00947858" w:rsidRPr="003367B9">
        <w:t xml:space="preserve"> </w:t>
      </w:r>
      <w:r w:rsidR="007159D6" w:rsidRPr="003367B9">
        <w:t>million)</w:t>
      </w:r>
      <w:r w:rsidR="00A96C4C" w:rsidRPr="003367B9">
        <w:t>,</w:t>
      </w:r>
      <w:r w:rsidR="00B70F3D" w:rsidRPr="003367B9">
        <w:t xml:space="preserve"> inclu</w:t>
      </w:r>
      <w:r w:rsidR="00EB5271" w:rsidRPr="003367B9">
        <w:t>ding</w:t>
      </w:r>
      <w:r w:rsidR="00E863D8" w:rsidRPr="003367B9">
        <w:t xml:space="preserve"> </w:t>
      </w:r>
      <w:r w:rsidR="009B1161" w:rsidRPr="003367B9">
        <w:t>$</w:t>
      </w:r>
      <w:r w:rsidR="00947858" w:rsidRPr="003367B9">
        <w:t>185</w:t>
      </w:r>
      <w:r w:rsidR="009B1161" w:rsidRPr="003367B9">
        <w:t xml:space="preserve"> million (201</w:t>
      </w:r>
      <w:r w:rsidR="00947858" w:rsidRPr="003367B9">
        <w:t>8</w:t>
      </w:r>
      <w:r w:rsidR="009B1161" w:rsidRPr="003367B9">
        <w:t>: $</w:t>
      </w:r>
      <w:r w:rsidR="00947858" w:rsidRPr="003367B9">
        <w:t>217</w:t>
      </w:r>
      <w:r w:rsidR="00BA5ED1" w:rsidRPr="003367B9">
        <w:t> </w:t>
      </w:r>
      <w:r w:rsidR="009B1161" w:rsidRPr="003367B9">
        <w:t xml:space="preserve">million) for the Law and Order Trust Fund for Afghanistan, </w:t>
      </w:r>
      <w:r w:rsidR="00CE428D" w:rsidRPr="003367B9">
        <w:t xml:space="preserve">and </w:t>
      </w:r>
      <w:r w:rsidR="009B1161" w:rsidRPr="003367B9">
        <w:t>$</w:t>
      </w:r>
      <w:r w:rsidR="00E0181C" w:rsidRPr="003367B9">
        <w:t>241</w:t>
      </w:r>
      <w:r w:rsidR="009B1161" w:rsidRPr="003367B9">
        <w:t xml:space="preserve"> million (201</w:t>
      </w:r>
      <w:r w:rsidR="00E0181C" w:rsidRPr="003367B9">
        <w:t>8</w:t>
      </w:r>
      <w:r w:rsidR="009B1161" w:rsidRPr="003367B9">
        <w:t>: $</w:t>
      </w:r>
      <w:r w:rsidR="00E0181C" w:rsidRPr="003367B9">
        <w:t>245</w:t>
      </w:r>
      <w:r w:rsidR="009B1161" w:rsidRPr="003367B9">
        <w:t xml:space="preserve"> million) </w:t>
      </w:r>
      <w:r w:rsidR="00F3722A" w:rsidRPr="003367B9">
        <w:t xml:space="preserve">under </w:t>
      </w:r>
      <w:r w:rsidR="009B1161" w:rsidRPr="003367B9">
        <w:t>cost-sharing</w:t>
      </w:r>
      <w:r w:rsidR="00F3722A" w:rsidRPr="003367B9">
        <w:t xml:space="preserve"> agreements</w:t>
      </w:r>
      <w:r w:rsidR="00175666" w:rsidRPr="003367B9">
        <w:t>.</w:t>
      </w:r>
      <w:r w:rsidR="00096C2F" w:rsidRPr="003367B9">
        <w:t xml:space="preserve"> O</w:t>
      </w:r>
      <w:r w:rsidR="00A6456D" w:rsidRPr="003367B9">
        <w:t xml:space="preserve">f the </w:t>
      </w:r>
      <w:r w:rsidR="00096C2F" w:rsidRPr="003367B9">
        <w:t>seven</w:t>
      </w:r>
      <w:r w:rsidR="001E3D69" w:rsidRPr="003367B9">
        <w:t xml:space="preserve"> </w:t>
      </w:r>
      <w:r w:rsidR="003D6BA0" w:rsidRPr="003367B9">
        <w:t>Country Offices with</w:t>
      </w:r>
      <w:r w:rsidR="00D358E5" w:rsidRPr="003367B9">
        <w:t xml:space="preserve"> more than $30 million delivery</w:t>
      </w:r>
      <w:r w:rsidR="001E3D69" w:rsidRPr="003367B9">
        <w:t>;</w:t>
      </w:r>
      <w:r w:rsidR="003D6BA0" w:rsidRPr="003367B9">
        <w:t xml:space="preserve"> </w:t>
      </w:r>
      <w:r w:rsidR="00912EFB" w:rsidRPr="003367B9">
        <w:t>Bangladesh</w:t>
      </w:r>
      <w:r w:rsidR="00D358E5" w:rsidRPr="003367B9">
        <w:t>, India</w:t>
      </w:r>
      <w:r w:rsidR="0015002F">
        <w:t>,</w:t>
      </w:r>
      <w:r w:rsidR="00E7076F">
        <w:t xml:space="preserve"> and </w:t>
      </w:r>
      <w:r w:rsidR="000B4141" w:rsidRPr="003367B9">
        <w:t xml:space="preserve">Fiji </w:t>
      </w:r>
      <w:r w:rsidR="007A2D59" w:rsidRPr="003367B9">
        <w:t xml:space="preserve">had an increase in </w:t>
      </w:r>
      <w:r w:rsidR="00CD7372" w:rsidRPr="003367B9">
        <w:t>deli</w:t>
      </w:r>
      <w:r w:rsidR="000B4141" w:rsidRPr="003367B9">
        <w:t>very</w:t>
      </w:r>
      <w:r w:rsidR="008E56FE" w:rsidRPr="003367B9">
        <w:t xml:space="preserve"> </w:t>
      </w:r>
      <w:r w:rsidR="00B31D91" w:rsidRPr="003367B9">
        <w:t>of 42</w:t>
      </w:r>
      <w:r w:rsidR="001F0F3B" w:rsidRPr="003367B9">
        <w:t xml:space="preserve"> </w:t>
      </w:r>
      <w:r w:rsidR="00BC1DED" w:rsidRPr="003367B9">
        <w:t>per</w:t>
      </w:r>
      <w:r w:rsidR="001F0F3B" w:rsidRPr="003367B9">
        <w:t xml:space="preserve"> </w:t>
      </w:r>
      <w:r w:rsidR="00E7076F" w:rsidRPr="003367B9">
        <w:t>cent to</w:t>
      </w:r>
      <w:r w:rsidR="00B31D91" w:rsidRPr="003367B9">
        <w:t xml:space="preserve"> </w:t>
      </w:r>
      <w:r w:rsidR="00652BA3" w:rsidRPr="003367B9">
        <w:t xml:space="preserve">$57 million, </w:t>
      </w:r>
      <w:r w:rsidR="00BC1DED" w:rsidRPr="003367B9">
        <w:t>9</w:t>
      </w:r>
      <w:r w:rsidR="001F0F3B" w:rsidRPr="003367B9">
        <w:t xml:space="preserve"> per cent</w:t>
      </w:r>
      <w:r w:rsidR="00BC1DED" w:rsidRPr="003367B9">
        <w:t xml:space="preserve"> to</w:t>
      </w:r>
      <w:r w:rsidR="00B31D91" w:rsidRPr="003367B9">
        <w:t xml:space="preserve"> </w:t>
      </w:r>
      <w:r w:rsidR="00652BA3" w:rsidRPr="003367B9">
        <w:t xml:space="preserve">$37 million, and </w:t>
      </w:r>
      <w:r w:rsidR="001F0F3B" w:rsidRPr="003367B9">
        <w:t xml:space="preserve">50 per cent to </w:t>
      </w:r>
      <w:r w:rsidR="00652BA3" w:rsidRPr="003367B9">
        <w:t>$34 million, respectively.</w:t>
      </w:r>
      <w:r w:rsidR="004A44C9" w:rsidRPr="003367B9">
        <w:t xml:space="preserve"> </w:t>
      </w:r>
    </w:p>
    <w:p w14:paraId="7BD64769" w14:textId="53A9D168" w:rsidR="00F82B59" w:rsidRPr="003367B9" w:rsidRDefault="00F82B59"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3367B9">
        <w:t>Overall programme delivery in the Europe and the Commonwealth of Independent States (CIS) region slightly increased by 0.7 per cent. Ukraine has the highest programme delivery at $154 million, and the highest increase in programme delivery was in Turkey, which increased to $46 million from $34 million in 2018, funded by government cost-sharing for the procurement of health products.</w:t>
      </w:r>
      <w:r w:rsidR="002268FB" w:rsidRPr="003367B9">
        <w:t xml:space="preserve"> </w:t>
      </w:r>
    </w:p>
    <w:p w14:paraId="5D40EC15" w14:textId="2DCFA63D" w:rsidR="00BE3441" w:rsidRPr="003367B9" w:rsidRDefault="00304E65"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3367B9">
        <w:t>I</w:t>
      </w:r>
      <w:r w:rsidR="00246EE6" w:rsidRPr="003367B9">
        <w:t xml:space="preserve">n </w:t>
      </w:r>
      <w:r w:rsidR="00FC1CC5" w:rsidRPr="003367B9">
        <w:t xml:space="preserve">the </w:t>
      </w:r>
      <w:r w:rsidR="00246EE6" w:rsidRPr="003367B9">
        <w:t xml:space="preserve">Latin America </w:t>
      </w:r>
      <w:r w:rsidR="00FC1CC5" w:rsidRPr="003367B9">
        <w:t xml:space="preserve">and </w:t>
      </w:r>
      <w:r w:rsidR="00246EE6" w:rsidRPr="003367B9">
        <w:t>the Caribbean region</w:t>
      </w:r>
      <w:r w:rsidRPr="003367B9">
        <w:t xml:space="preserve">, </w:t>
      </w:r>
      <w:r w:rsidR="00BA543D" w:rsidRPr="003367B9">
        <w:t xml:space="preserve">overall programme delivery decreased by </w:t>
      </w:r>
      <w:r w:rsidR="00117E6D" w:rsidRPr="003367B9">
        <w:t>8.9</w:t>
      </w:r>
      <w:r w:rsidR="00BA543D" w:rsidRPr="003367B9">
        <w:t xml:space="preserve"> per cent</w:t>
      </w:r>
      <w:r w:rsidR="0060706D" w:rsidRPr="003367B9">
        <w:t>,</w:t>
      </w:r>
      <w:r w:rsidR="00A31F60" w:rsidRPr="003367B9">
        <w:t xml:space="preserve"> </w:t>
      </w:r>
      <w:r w:rsidR="0060706D" w:rsidRPr="003367B9">
        <w:t xml:space="preserve">mainly </w:t>
      </w:r>
      <w:r w:rsidR="00703BCE" w:rsidRPr="003367B9">
        <w:t xml:space="preserve">due to </w:t>
      </w:r>
      <w:r w:rsidR="002268FB" w:rsidRPr="003367B9">
        <w:t xml:space="preserve">the currency </w:t>
      </w:r>
      <w:r w:rsidR="0063565A" w:rsidRPr="003367B9">
        <w:t>depreciation in Argentina</w:t>
      </w:r>
      <w:r w:rsidR="00AD357D" w:rsidRPr="003367B9">
        <w:t xml:space="preserve">, </w:t>
      </w:r>
      <w:r w:rsidR="003327B1" w:rsidRPr="003367B9">
        <w:t>the</w:t>
      </w:r>
      <w:r w:rsidR="00AD357D" w:rsidRPr="003367B9">
        <w:t xml:space="preserve"> sh</w:t>
      </w:r>
      <w:r w:rsidR="007100B6" w:rsidRPr="003367B9">
        <w:t>ifting of national priorities</w:t>
      </w:r>
      <w:r w:rsidR="006E28D4" w:rsidRPr="003367B9">
        <w:t xml:space="preserve"> </w:t>
      </w:r>
      <w:r w:rsidR="00B44C9D" w:rsidRPr="003367B9">
        <w:t xml:space="preserve">to </w:t>
      </w:r>
      <w:r w:rsidR="008228CF" w:rsidRPr="003367B9">
        <w:t xml:space="preserve">address </w:t>
      </w:r>
      <w:r w:rsidR="003C5724" w:rsidRPr="003367B9">
        <w:t xml:space="preserve">natural </w:t>
      </w:r>
      <w:r w:rsidR="00CC31F9" w:rsidRPr="003367B9">
        <w:t>disaster</w:t>
      </w:r>
      <w:r w:rsidR="003327B1" w:rsidRPr="003367B9">
        <w:t>,</w:t>
      </w:r>
      <w:r w:rsidR="00CC31F9" w:rsidRPr="003367B9">
        <w:t xml:space="preserve"> and </w:t>
      </w:r>
      <w:r w:rsidR="003327B1" w:rsidRPr="003367B9">
        <w:t xml:space="preserve">the </w:t>
      </w:r>
      <w:r w:rsidR="00434AB0" w:rsidRPr="003367B9">
        <w:t>political</w:t>
      </w:r>
      <w:r w:rsidR="00CC31F9" w:rsidRPr="003367B9">
        <w:t xml:space="preserve"> situation in certain cou</w:t>
      </w:r>
      <w:r w:rsidR="005B0510" w:rsidRPr="003367B9">
        <w:t>n</w:t>
      </w:r>
      <w:r w:rsidR="00551FCC" w:rsidRPr="003367B9">
        <w:t xml:space="preserve">tries. </w:t>
      </w:r>
      <w:r w:rsidR="001D3CB2" w:rsidRPr="003367B9">
        <w:t>Argentina has the highest programme delivery</w:t>
      </w:r>
      <w:r w:rsidR="002268FB" w:rsidRPr="003367B9">
        <w:t>,</w:t>
      </w:r>
      <w:r w:rsidR="001D3CB2" w:rsidRPr="003367B9">
        <w:t xml:space="preserve"> </w:t>
      </w:r>
      <w:r w:rsidR="002268FB" w:rsidRPr="003367B9">
        <w:t xml:space="preserve">at </w:t>
      </w:r>
      <w:r w:rsidR="001D3CB2" w:rsidRPr="003367B9">
        <w:t>$</w:t>
      </w:r>
      <w:r w:rsidR="00AE6D7C" w:rsidRPr="003367B9">
        <w:t>125</w:t>
      </w:r>
      <w:r w:rsidR="001D3CB2" w:rsidRPr="003367B9">
        <w:t xml:space="preserve"> million. </w:t>
      </w:r>
      <w:r w:rsidR="009D1A55" w:rsidRPr="003367B9">
        <w:t xml:space="preserve">Brazil, </w:t>
      </w:r>
      <w:r w:rsidR="0035050F" w:rsidRPr="003367B9">
        <w:t>Dominican</w:t>
      </w:r>
      <w:r w:rsidR="009D1A55" w:rsidRPr="003367B9">
        <w:t xml:space="preserve"> Republic, and </w:t>
      </w:r>
      <w:r w:rsidR="00CB75C3" w:rsidRPr="003367B9">
        <w:t xml:space="preserve">Paraguay increased </w:t>
      </w:r>
      <w:r w:rsidR="00354A06" w:rsidRPr="003367B9">
        <w:t>their</w:t>
      </w:r>
      <w:r w:rsidR="00CB75C3" w:rsidRPr="003367B9">
        <w:t xml:space="preserve"> programme delivery</w:t>
      </w:r>
      <w:r w:rsidR="00354A06" w:rsidRPr="003367B9">
        <w:t xml:space="preserve">, each within the range of 3 million to 6 million. </w:t>
      </w:r>
    </w:p>
    <w:p w14:paraId="1EADD76B" w14:textId="77777777" w:rsidR="009C6522" w:rsidRPr="00FB7ECE" w:rsidRDefault="009C6522" w:rsidP="000578BE">
      <w:pPr>
        <w:pStyle w:val="H4"/>
        <w:tabs>
          <w:tab w:val="clear" w:pos="1742"/>
          <w:tab w:val="left" w:pos="1440"/>
          <w:tab w:val="left" w:pos="1620"/>
        </w:tabs>
        <w:spacing w:before="240" w:after="240" w:line="240" w:lineRule="auto"/>
        <w:ind w:left="1008" w:firstLine="0"/>
        <w:outlineLvl w:val="2"/>
      </w:pPr>
      <w:bookmarkStart w:id="308" w:name="_Toc39596250"/>
      <w:bookmarkStart w:id="309" w:name="_Toc40281199"/>
      <w:bookmarkStart w:id="310" w:name="_Toc40281358"/>
      <w:bookmarkStart w:id="311" w:name="_Toc44499885"/>
      <w:bookmarkStart w:id="312" w:name="_Toc44603232"/>
      <w:bookmarkStart w:id="313" w:name="_Toc44606545"/>
      <w:bookmarkStart w:id="314" w:name="_Toc45297431"/>
      <w:bookmarkStart w:id="315" w:name="_Toc46221142"/>
      <w:bookmarkStart w:id="316" w:name="_Toc46399207"/>
      <w:r w:rsidRPr="00FB7ECE">
        <w:t>United Nations development coordination expenses</w:t>
      </w:r>
      <w:bookmarkEnd w:id="308"/>
      <w:bookmarkEnd w:id="309"/>
      <w:bookmarkEnd w:id="310"/>
      <w:bookmarkEnd w:id="311"/>
      <w:bookmarkEnd w:id="312"/>
      <w:bookmarkEnd w:id="313"/>
      <w:bookmarkEnd w:id="314"/>
      <w:bookmarkEnd w:id="315"/>
      <w:bookmarkEnd w:id="316"/>
    </w:p>
    <w:p w14:paraId="0E2DEC08" w14:textId="27F934CB" w:rsidR="009C6522" w:rsidRPr="00FB7ECE" w:rsidRDefault="008215C6" w:rsidP="009D4BB3">
      <w:pPr>
        <w:pStyle w:val="SingleTxt"/>
        <w:numPr>
          <w:ilvl w:val="0"/>
          <w:numId w:val="5"/>
        </w:numPr>
      </w:pPr>
      <w:r w:rsidRPr="00FB7ECE">
        <w:t xml:space="preserve">UNDP effectively supported the rapid transition of the United Nations development system, following General Assembly resolution 72/279 on United Nations repositioning.  In 2019, UNDP’s support to the resident coordinator system was $22.4 million, 0.4 per cent of UNDP total expenses. This amount includes UNDP’s contribution of $10.3 million to the cost-sharing arrangement among United Nations development system entities, double that of 2018, and an additional $12.1 million of legacy coordination support activities continued on a transitionary basis at the request of UN Development Coordination Office and its funding partners.  </w:t>
      </w:r>
      <w:r w:rsidR="00730CF5" w:rsidRPr="00FB7ECE" w:rsidDel="00730CF5">
        <w:t xml:space="preserve"> </w:t>
      </w:r>
    </w:p>
    <w:p w14:paraId="12C49F50" w14:textId="05A3F3F5" w:rsidR="009C6522" w:rsidRPr="00FB7ECE" w:rsidRDefault="009C6522" w:rsidP="00744ED6">
      <w:pPr>
        <w:pStyle w:val="H4"/>
        <w:tabs>
          <w:tab w:val="clear" w:pos="1742"/>
          <w:tab w:val="left" w:pos="1440"/>
          <w:tab w:val="left" w:pos="1620"/>
        </w:tabs>
        <w:spacing w:before="240" w:after="240" w:line="240" w:lineRule="auto"/>
        <w:ind w:left="1008" w:firstLine="0"/>
        <w:outlineLvl w:val="2"/>
      </w:pPr>
      <w:bookmarkStart w:id="317" w:name="_Toc39596251"/>
      <w:bookmarkStart w:id="318" w:name="_Toc40281200"/>
      <w:bookmarkStart w:id="319" w:name="_Toc40281359"/>
      <w:bookmarkStart w:id="320" w:name="_Toc44499886"/>
      <w:bookmarkStart w:id="321" w:name="_Toc44603233"/>
      <w:bookmarkStart w:id="322" w:name="_Toc44606546"/>
      <w:bookmarkStart w:id="323" w:name="_Toc45297432"/>
      <w:bookmarkStart w:id="324" w:name="_Toc46221143"/>
      <w:bookmarkStart w:id="325" w:name="_Toc46399208"/>
      <w:r w:rsidRPr="00FB7ECE">
        <w:t>Management expenses</w:t>
      </w:r>
      <w:bookmarkEnd w:id="317"/>
      <w:bookmarkEnd w:id="318"/>
      <w:bookmarkEnd w:id="319"/>
      <w:bookmarkEnd w:id="320"/>
      <w:bookmarkEnd w:id="321"/>
      <w:bookmarkEnd w:id="322"/>
      <w:bookmarkEnd w:id="323"/>
      <w:bookmarkEnd w:id="324"/>
      <w:bookmarkEnd w:id="325"/>
    </w:p>
    <w:p w14:paraId="61E90894" w14:textId="5586B9E8" w:rsidR="00F575D3" w:rsidRPr="00FB7ECE" w:rsidRDefault="00795B1F" w:rsidP="009D4BB3">
      <w:pPr>
        <w:pStyle w:val="SingleTxt"/>
        <w:numPr>
          <w:ilvl w:val="0"/>
          <w:numId w:val="5"/>
        </w:numPr>
        <w:tabs>
          <w:tab w:val="left" w:pos="1530"/>
        </w:tabs>
        <w:spacing w:before="240" w:after="240" w:line="240" w:lineRule="auto"/>
      </w:pPr>
      <w:r w:rsidRPr="00FB7ECE">
        <w:t xml:space="preserve"> Management expenses rose by 7 per cent, to $392 million (2018: $368 million), remaining within the parameters of the integrated resources plan, 2018-2021, and included increased spending for the Independent Evaluation Office and the Office of Audit and Investigations, and non-discretionary inflationary increases on staff costs</w:t>
      </w:r>
      <w:r w:rsidR="001F7D50" w:rsidRPr="00FB7ECE">
        <w:t>.</w:t>
      </w:r>
    </w:p>
    <w:p w14:paraId="0BB55707" w14:textId="2C96CEED" w:rsidR="00EB049D" w:rsidRPr="00FB7ECE" w:rsidRDefault="00795B1F" w:rsidP="009D4BB3">
      <w:pPr>
        <w:pStyle w:val="SingleTxt"/>
        <w:numPr>
          <w:ilvl w:val="0"/>
          <w:numId w:val="5"/>
        </w:numPr>
        <w:tabs>
          <w:tab w:val="left" w:pos="1530"/>
        </w:tabs>
        <w:spacing w:before="240" w:after="240" w:line="240" w:lineRule="auto"/>
      </w:pPr>
      <w:r w:rsidRPr="00FB7ECE">
        <w:t xml:space="preserve"> It should be noted that, as a result of the delinking of the resident coordinator system from UNDP, many new UNDP leadership positions at the country level were filled in 2019. In 2018 and prior years, these positions were part of the “backbone” services provided by the resident coordinator/UNDP resident representative and UNDP country office to the United Nations system </w:t>
      </w:r>
      <w:r w:rsidR="00E62006" w:rsidRPr="00FB7ECE">
        <w:t>c</w:t>
      </w:r>
      <w:r w:rsidRPr="00FB7ECE">
        <w:t xml:space="preserve">oordination and representation functions. From 2019 onwards, these positions were reported under management </w:t>
      </w:r>
      <w:r w:rsidR="00A87AA1" w:rsidRPr="00FB7ECE">
        <w:t>activities</w:t>
      </w:r>
      <w:r w:rsidR="008A0F68" w:rsidRPr="00FB7ECE">
        <w:t>.</w:t>
      </w:r>
      <w:r w:rsidR="00096408" w:rsidRPr="00FB7ECE">
        <w:t xml:space="preserve"> </w:t>
      </w:r>
      <w:r w:rsidR="00847824" w:rsidRPr="00FB7ECE">
        <w:t xml:space="preserve"> </w:t>
      </w:r>
      <w:r w:rsidR="001333ED" w:rsidRPr="00FB7ECE">
        <w:t xml:space="preserve"> </w:t>
      </w:r>
    </w:p>
    <w:p w14:paraId="3A6E1F34" w14:textId="7F1A13BB" w:rsidR="009C6522" w:rsidRPr="00FB7ECE" w:rsidRDefault="009C6522" w:rsidP="000578BE">
      <w:pPr>
        <w:pStyle w:val="H4"/>
        <w:tabs>
          <w:tab w:val="clear" w:pos="1742"/>
          <w:tab w:val="left" w:pos="1440"/>
          <w:tab w:val="left" w:pos="1620"/>
        </w:tabs>
        <w:spacing w:before="240" w:after="240" w:line="240" w:lineRule="auto"/>
        <w:ind w:left="1008" w:firstLine="0"/>
        <w:outlineLvl w:val="2"/>
      </w:pPr>
      <w:bookmarkStart w:id="326" w:name="_Toc39596252"/>
      <w:bookmarkStart w:id="327" w:name="_Toc40281201"/>
      <w:bookmarkStart w:id="328" w:name="_Toc40281360"/>
      <w:bookmarkStart w:id="329" w:name="_Toc44499887"/>
      <w:bookmarkStart w:id="330" w:name="_Toc44603234"/>
      <w:bookmarkStart w:id="331" w:name="_Toc44606547"/>
      <w:bookmarkStart w:id="332" w:name="_Toc45297433"/>
      <w:bookmarkStart w:id="333" w:name="_Toc46221144"/>
      <w:bookmarkStart w:id="334" w:name="_Toc46399209"/>
      <w:r w:rsidRPr="00FB7ECE">
        <w:t>Special</w:t>
      </w:r>
      <w:r w:rsidR="00B215B4" w:rsidRPr="00FB7ECE">
        <w:t xml:space="preserve"> </w:t>
      </w:r>
      <w:r w:rsidRPr="00FB7ECE">
        <w:t>purpose expenses</w:t>
      </w:r>
      <w:bookmarkEnd w:id="326"/>
      <w:bookmarkEnd w:id="327"/>
      <w:bookmarkEnd w:id="328"/>
      <w:bookmarkEnd w:id="329"/>
      <w:bookmarkEnd w:id="330"/>
      <w:bookmarkEnd w:id="331"/>
      <w:bookmarkEnd w:id="332"/>
      <w:bookmarkEnd w:id="333"/>
      <w:bookmarkEnd w:id="334"/>
    </w:p>
    <w:p w14:paraId="4CE18A91" w14:textId="7E178576" w:rsidR="009C6522" w:rsidRPr="00FB7ECE" w:rsidRDefault="00B215B4" w:rsidP="009D4BB3">
      <w:pPr>
        <w:pStyle w:val="SingleTxt"/>
        <w:numPr>
          <w:ilvl w:val="0"/>
          <w:numId w:val="5"/>
        </w:numPr>
        <w:tabs>
          <w:tab w:val="clear" w:pos="1742"/>
          <w:tab w:val="clear" w:pos="2218"/>
          <w:tab w:val="left" w:pos="1530"/>
        </w:tabs>
        <w:spacing w:before="240" w:after="240" w:line="240" w:lineRule="auto"/>
      </w:pPr>
      <w:r w:rsidRPr="00FB7ECE">
        <w:t>Special purpose e</w:t>
      </w:r>
      <w:r w:rsidR="009C6522" w:rsidRPr="00FB7ECE">
        <w:t>xpenses totalled $</w:t>
      </w:r>
      <w:r w:rsidR="00DA7353" w:rsidRPr="00FB7ECE">
        <w:t>79</w:t>
      </w:r>
      <w:r w:rsidR="009C6522" w:rsidRPr="00FB7ECE">
        <w:t xml:space="preserve"> million (201</w:t>
      </w:r>
      <w:r w:rsidR="004E4359" w:rsidRPr="00FB7ECE">
        <w:t>8</w:t>
      </w:r>
      <w:r w:rsidR="009C6522" w:rsidRPr="00FB7ECE">
        <w:t>: $</w:t>
      </w:r>
      <w:r w:rsidR="004E4359" w:rsidRPr="00FB7ECE">
        <w:t>57</w:t>
      </w:r>
      <w:r w:rsidR="009C6522" w:rsidRPr="00FB7ECE">
        <w:t xml:space="preserve"> million). </w:t>
      </w:r>
      <w:r w:rsidR="00206FB2" w:rsidRPr="00FB7ECE">
        <w:t>This amount includes expenses of $</w:t>
      </w:r>
      <w:r w:rsidR="00B73C70" w:rsidRPr="00FB7ECE">
        <w:t>63</w:t>
      </w:r>
      <w:r w:rsidR="00206FB2" w:rsidRPr="00FB7ECE">
        <w:t xml:space="preserve"> million for reimbursable support services, $4 million related to capital investments, $9 million</w:t>
      </w:r>
      <w:r w:rsidR="00206FB2" w:rsidRPr="00FB7ECE" w:rsidDel="00254502">
        <w:t xml:space="preserve"> </w:t>
      </w:r>
      <w:r w:rsidR="00206FB2" w:rsidRPr="00FB7ECE">
        <w:t>related to UNV and $2 million related to UNCDF.</w:t>
      </w:r>
    </w:p>
    <w:p w14:paraId="6FAB0B98" w14:textId="6B6BFE26" w:rsidR="009C6522" w:rsidRPr="00FB7ECE" w:rsidRDefault="009C6522" w:rsidP="000578BE">
      <w:pPr>
        <w:pStyle w:val="H4"/>
        <w:tabs>
          <w:tab w:val="clear" w:pos="1742"/>
          <w:tab w:val="left" w:pos="1440"/>
          <w:tab w:val="left" w:pos="1620"/>
        </w:tabs>
        <w:spacing w:before="240" w:after="240" w:line="240" w:lineRule="auto"/>
        <w:ind w:left="1008" w:firstLine="0"/>
        <w:outlineLvl w:val="2"/>
      </w:pPr>
      <w:bookmarkStart w:id="335" w:name="_Toc39596253"/>
      <w:bookmarkStart w:id="336" w:name="_Toc40281202"/>
      <w:bookmarkStart w:id="337" w:name="_Toc40281361"/>
      <w:bookmarkStart w:id="338" w:name="_Toc44499888"/>
      <w:bookmarkStart w:id="339" w:name="_Toc44603235"/>
      <w:bookmarkStart w:id="340" w:name="_Toc44606548"/>
      <w:bookmarkStart w:id="341" w:name="_Toc45297434"/>
      <w:bookmarkStart w:id="342" w:name="_Toc46221145"/>
      <w:bookmarkStart w:id="343" w:name="_Toc46399210"/>
      <w:r w:rsidRPr="00FB7ECE">
        <w:t>Other expenses</w:t>
      </w:r>
      <w:bookmarkEnd w:id="335"/>
      <w:bookmarkEnd w:id="336"/>
      <w:bookmarkEnd w:id="337"/>
      <w:bookmarkEnd w:id="338"/>
      <w:bookmarkEnd w:id="339"/>
      <w:bookmarkEnd w:id="340"/>
      <w:bookmarkEnd w:id="341"/>
      <w:bookmarkEnd w:id="342"/>
      <w:bookmarkEnd w:id="343"/>
    </w:p>
    <w:p w14:paraId="745C3397" w14:textId="0F638D51" w:rsidR="00637A8D" w:rsidRPr="00FB7ECE" w:rsidRDefault="005475AE" w:rsidP="009D4BB3">
      <w:pPr>
        <w:pStyle w:val="SingleTxt"/>
        <w:numPr>
          <w:ilvl w:val="0"/>
          <w:numId w:val="5"/>
        </w:numPr>
        <w:tabs>
          <w:tab w:val="clear" w:pos="1742"/>
          <w:tab w:val="clear" w:pos="2218"/>
          <w:tab w:val="left" w:pos="1530"/>
        </w:tabs>
        <w:spacing w:before="240" w:after="240" w:line="240" w:lineRule="auto"/>
      </w:pPr>
      <w:r w:rsidRPr="00FB7ECE">
        <w:t>Other expenses totalled $188 million (2018: $229 million), of which $37 million (2018: $46 million) related to after-service health insurance</w:t>
      </w:r>
      <w:r w:rsidR="00A47C19" w:rsidRPr="00FB7ECE">
        <w:t xml:space="preserve">, </w:t>
      </w:r>
      <w:r w:rsidR="00C11D49" w:rsidRPr="00FB7ECE">
        <w:t xml:space="preserve">$34 million (2018: $35 million) to common services, </w:t>
      </w:r>
      <w:r w:rsidR="0058549D" w:rsidRPr="00FB7ECE">
        <w:t>$34 million (2018: $</w:t>
      </w:r>
      <w:r w:rsidR="00F6508B" w:rsidRPr="00FB7ECE">
        <w:t xml:space="preserve">62 million) </w:t>
      </w:r>
      <w:r w:rsidR="00134168" w:rsidRPr="00FB7ECE">
        <w:t xml:space="preserve">to security-related activities, </w:t>
      </w:r>
      <w:r w:rsidR="00A47C19" w:rsidRPr="00FB7ECE">
        <w:t>$19 million</w:t>
      </w:r>
      <w:r w:rsidR="006E0CBA" w:rsidRPr="00FB7ECE">
        <w:t xml:space="preserve"> (2018: $</w:t>
      </w:r>
      <w:r w:rsidR="00826544" w:rsidRPr="00FB7ECE">
        <w:t>17</w:t>
      </w:r>
      <w:r w:rsidR="006E0CBA" w:rsidRPr="00FB7ECE">
        <w:t xml:space="preserve"> million) to the junior professional office programme,</w:t>
      </w:r>
      <w:r w:rsidR="00A47C19" w:rsidRPr="00FB7ECE">
        <w:t xml:space="preserve"> and</w:t>
      </w:r>
      <w:r w:rsidRPr="00FB7ECE">
        <w:t xml:space="preserve"> $13 million (2018: $3</w:t>
      </w:r>
      <w:r w:rsidR="008C497C" w:rsidRPr="00FB7ECE">
        <w:t>3</w:t>
      </w:r>
      <w:r w:rsidRPr="00FB7ECE">
        <w:t xml:space="preserve"> million) to currency revaluation and exchange rate fluctuations to voluntary contributions.</w:t>
      </w:r>
    </w:p>
    <w:p w14:paraId="66696985" w14:textId="589FCBE7" w:rsidR="00BE6202" w:rsidRPr="00FB7ECE" w:rsidRDefault="00BE6202" w:rsidP="000578BE">
      <w:pPr>
        <w:pStyle w:val="H4"/>
        <w:tabs>
          <w:tab w:val="clear" w:pos="1742"/>
          <w:tab w:val="left" w:pos="1440"/>
          <w:tab w:val="left" w:pos="1620"/>
        </w:tabs>
        <w:spacing w:before="240" w:after="240" w:line="240" w:lineRule="auto"/>
        <w:ind w:left="1008" w:firstLine="0"/>
        <w:outlineLvl w:val="2"/>
      </w:pPr>
      <w:bookmarkStart w:id="344" w:name="_Toc39596254"/>
      <w:bookmarkStart w:id="345" w:name="_Toc40281203"/>
      <w:bookmarkStart w:id="346" w:name="_Toc40281362"/>
      <w:bookmarkStart w:id="347" w:name="_Toc44499889"/>
      <w:bookmarkStart w:id="348" w:name="_Toc44603237"/>
      <w:bookmarkStart w:id="349" w:name="_Toc44606550"/>
      <w:bookmarkStart w:id="350" w:name="_Toc45297435"/>
      <w:bookmarkStart w:id="351" w:name="_Toc46221146"/>
      <w:bookmarkStart w:id="352" w:name="_Toc46399211"/>
      <w:r w:rsidRPr="00FB7ECE">
        <w:t>Regular resources and integrated budget expenditure</w:t>
      </w:r>
      <w:bookmarkEnd w:id="344"/>
      <w:bookmarkEnd w:id="345"/>
      <w:bookmarkEnd w:id="346"/>
      <w:bookmarkEnd w:id="347"/>
      <w:bookmarkEnd w:id="348"/>
      <w:bookmarkEnd w:id="349"/>
      <w:bookmarkEnd w:id="350"/>
      <w:bookmarkEnd w:id="351"/>
      <w:bookmarkEnd w:id="352"/>
    </w:p>
    <w:p w14:paraId="7501FF6F" w14:textId="71094D2E" w:rsidR="00BE6202" w:rsidRPr="00FB7ECE" w:rsidRDefault="00BE6202" w:rsidP="009D4BB3">
      <w:pPr>
        <w:pStyle w:val="SingleTxt"/>
        <w:numPr>
          <w:ilvl w:val="0"/>
          <w:numId w:val="5"/>
        </w:numPr>
        <w:tabs>
          <w:tab w:val="clear" w:pos="1742"/>
          <w:tab w:val="clear" w:pos="2218"/>
          <w:tab w:val="left" w:pos="1530"/>
        </w:tabs>
        <w:spacing w:before="240" w:after="240" w:line="240" w:lineRule="auto"/>
      </w:pPr>
      <w:r w:rsidRPr="00FB7ECE">
        <w:t>For activities reported in 201</w:t>
      </w:r>
      <w:r w:rsidR="000B5F8C" w:rsidRPr="00FB7ECE">
        <w:t>9</w:t>
      </w:r>
      <w:r w:rsidRPr="00FB7ECE">
        <w:t xml:space="preserve">, UNDP operates within the integrated budget, 2018-2021, as approved by the Executive Board in decision 2017/31, for regular resources-financed activities: (a) programmatic components; and (b) institutional components. </w:t>
      </w:r>
    </w:p>
    <w:p w14:paraId="746336C0" w14:textId="0221EC2B" w:rsidR="00BE6202" w:rsidRPr="000E57AE" w:rsidRDefault="00BE6202" w:rsidP="009D4BB3">
      <w:pPr>
        <w:pStyle w:val="SingleTxt"/>
        <w:numPr>
          <w:ilvl w:val="0"/>
          <w:numId w:val="5"/>
        </w:numPr>
        <w:tabs>
          <w:tab w:val="clear" w:pos="1742"/>
          <w:tab w:val="clear" w:pos="2218"/>
          <w:tab w:val="left" w:pos="1530"/>
        </w:tabs>
        <w:spacing w:before="240" w:after="240" w:line="240" w:lineRule="auto"/>
      </w:pPr>
      <w:r w:rsidRPr="00FB7ECE">
        <w:t>A</w:t>
      </w:r>
      <w:r w:rsidR="00525415">
        <w:t>ppendix</w:t>
      </w:r>
      <w:r w:rsidRPr="00FB7ECE">
        <w:t xml:space="preserve"> II and figure </w:t>
      </w:r>
      <w:r w:rsidR="004D4DCC">
        <w:t>V</w:t>
      </w:r>
      <w:r w:rsidRPr="00FB7ECE">
        <w:t xml:space="preserve"> </w:t>
      </w:r>
      <w:r w:rsidR="00F157B2" w:rsidRPr="00FB7ECE">
        <w:t>below</w:t>
      </w:r>
      <w:r w:rsidRPr="00FB7ECE">
        <w:t xml:space="preserve"> compare the final approved budget, covering both programmatic and institutional</w:t>
      </w:r>
      <w:r w:rsidRPr="000E57AE">
        <w:t xml:space="preserve"> components, with the actual expenditure amounts, calculated on the same basis as the corresponding budget for regular resources (modified accruals basis). </w:t>
      </w:r>
    </w:p>
    <w:p w14:paraId="2E4AEEA1" w14:textId="6A6DF0C1" w:rsidR="00474FDC" w:rsidRPr="000E57AE" w:rsidRDefault="00474FDC" w:rsidP="003F5F37">
      <w:pPr>
        <w:keepNext/>
        <w:ind w:left="708" w:hanging="708"/>
        <w:jc w:val="center"/>
        <w:rPr>
          <w:b/>
        </w:rPr>
      </w:pPr>
      <w:r w:rsidRPr="000E57AE">
        <w:rPr>
          <w:b/>
        </w:rPr>
        <w:t xml:space="preserve">Figure </w:t>
      </w:r>
      <w:r w:rsidR="004D4DCC">
        <w:rPr>
          <w:b/>
        </w:rPr>
        <w:t>V</w:t>
      </w:r>
      <w:r w:rsidRPr="000E57AE">
        <w:rPr>
          <w:b/>
        </w:rPr>
        <w:t xml:space="preserve">. Regular resources, comparison of </w:t>
      </w:r>
      <w:r w:rsidR="00417188" w:rsidRPr="000E57AE">
        <w:rPr>
          <w:b/>
        </w:rPr>
        <w:t>budget</w:t>
      </w:r>
      <w:r w:rsidR="00417188" w:rsidRPr="000E57AE" w:rsidDel="002562DB">
        <w:rPr>
          <w:b/>
        </w:rPr>
        <w:t xml:space="preserve"> </w:t>
      </w:r>
      <w:r w:rsidR="00417188" w:rsidRPr="000E57AE">
        <w:rPr>
          <w:b/>
        </w:rPr>
        <w:t xml:space="preserve">to </w:t>
      </w:r>
      <w:r w:rsidRPr="000E57AE">
        <w:rPr>
          <w:b/>
        </w:rPr>
        <w:t>actual expenditure, 201</w:t>
      </w:r>
      <w:r w:rsidR="00186D40">
        <w:rPr>
          <w:b/>
        </w:rPr>
        <w:t>9</w:t>
      </w:r>
    </w:p>
    <w:p w14:paraId="22EBA680" w14:textId="09F4F370" w:rsidR="00C00EEE" w:rsidRDefault="00DB0559" w:rsidP="00C00EEE">
      <w:pPr>
        <w:keepNext/>
        <w:jc w:val="center"/>
        <w:rPr>
          <w:i/>
          <w:spacing w:val="2"/>
        </w:rPr>
      </w:pPr>
      <w:r>
        <w:rPr>
          <w:noProof/>
        </w:rPr>
        <w:drawing>
          <wp:anchor distT="0" distB="0" distL="114300" distR="114300" simplePos="0" relativeHeight="251658244" behindDoc="1" locked="0" layoutInCell="1" allowOverlap="1" wp14:anchorId="3748D97D" wp14:editId="35FA6302">
            <wp:simplePos x="0" y="0"/>
            <wp:positionH relativeFrom="column">
              <wp:posOffset>466725</wp:posOffset>
            </wp:positionH>
            <wp:positionV relativeFrom="paragraph">
              <wp:posOffset>215900</wp:posOffset>
            </wp:positionV>
            <wp:extent cx="5438775" cy="2819400"/>
            <wp:effectExtent l="0" t="0" r="9525" b="0"/>
            <wp:wrapSquare wrapText="bothSides"/>
            <wp:docPr id="12806279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a:extLst>
                        <a:ext uri="{28A0092B-C50C-407E-A947-70E740481C1C}">
                          <a14:useLocalDpi xmlns:a14="http://schemas.microsoft.com/office/drawing/2010/main" val="0"/>
                        </a:ext>
                      </a:extLst>
                    </a:blip>
                    <a:stretch>
                      <a:fillRect/>
                    </a:stretch>
                  </pic:blipFill>
                  <pic:spPr>
                    <a:xfrm>
                      <a:off x="0" y="0"/>
                      <a:ext cx="5438775" cy="2819400"/>
                    </a:xfrm>
                    <a:prstGeom prst="rect">
                      <a:avLst/>
                    </a:prstGeom>
                  </pic:spPr>
                </pic:pic>
              </a:graphicData>
            </a:graphic>
            <wp14:sizeRelH relativeFrom="page">
              <wp14:pctWidth>0</wp14:pctWidth>
            </wp14:sizeRelH>
            <wp14:sizeRelV relativeFrom="page">
              <wp14:pctHeight>0</wp14:pctHeight>
            </wp14:sizeRelV>
          </wp:anchor>
        </w:drawing>
      </w:r>
      <w:r w:rsidR="00C00EEE">
        <w:rPr>
          <w:i/>
          <w:spacing w:val="2"/>
        </w:rPr>
        <w:t>(</w:t>
      </w:r>
      <w:r w:rsidR="00C00EEE" w:rsidRPr="00EB0341">
        <w:rPr>
          <w:i/>
          <w:spacing w:val="2"/>
        </w:rPr>
        <w:t xml:space="preserve">in millions of </w:t>
      </w:r>
      <w:r w:rsidR="00C00EEE">
        <w:rPr>
          <w:i/>
          <w:spacing w:val="2"/>
        </w:rPr>
        <w:t xml:space="preserve">United States </w:t>
      </w:r>
      <w:r w:rsidR="00C00EEE" w:rsidRPr="00EB0341">
        <w:rPr>
          <w:i/>
          <w:spacing w:val="2"/>
        </w:rPr>
        <w:t>dollars)</w:t>
      </w:r>
    </w:p>
    <w:p w14:paraId="484ADBD6" w14:textId="77777777" w:rsidR="00190898" w:rsidRDefault="00190898" w:rsidP="009D4BB3">
      <w:pPr>
        <w:pStyle w:val="SingleTxt"/>
        <w:numPr>
          <w:ilvl w:val="0"/>
          <w:numId w:val="5"/>
        </w:numPr>
        <w:tabs>
          <w:tab w:val="clear" w:pos="1742"/>
          <w:tab w:val="clear" w:pos="2218"/>
          <w:tab w:val="left" w:pos="1530"/>
        </w:tabs>
        <w:spacing w:before="240" w:line="240" w:lineRule="auto"/>
      </w:pPr>
      <w:r w:rsidRPr="00030DD4">
        <w:t>UNDP</w:t>
      </w:r>
      <w:r>
        <w:t>’s</w:t>
      </w:r>
      <w:r w:rsidRPr="00030DD4">
        <w:t xml:space="preserve"> performance in 2019 should be considered against the backdrop of two contexts: </w:t>
      </w:r>
    </w:p>
    <w:p w14:paraId="7AE07110" w14:textId="4BEAD412" w:rsidR="00190898" w:rsidRDefault="00190898" w:rsidP="005F648C">
      <w:pPr>
        <w:pStyle w:val="ListParagraph"/>
        <w:numPr>
          <w:ilvl w:val="0"/>
          <w:numId w:val="11"/>
        </w:numPr>
        <w:tabs>
          <w:tab w:val="left" w:pos="1267"/>
          <w:tab w:val="left" w:pos="1530"/>
          <w:tab w:val="left" w:pos="2693"/>
          <w:tab w:val="left" w:pos="3182"/>
          <w:tab w:val="left" w:pos="3658"/>
          <w:tab w:val="left" w:pos="4133"/>
          <w:tab w:val="left" w:pos="4622"/>
          <w:tab w:val="left" w:pos="5098"/>
          <w:tab w:val="left" w:pos="5573"/>
          <w:tab w:val="left" w:pos="6048"/>
        </w:tabs>
        <w:spacing w:before="120" w:after="120" w:line="240" w:lineRule="auto"/>
        <w:ind w:left="2059" w:right="1267"/>
        <w:contextualSpacing w:val="0"/>
        <w:jc w:val="both"/>
      </w:pPr>
      <w:r>
        <w:t>T</w:t>
      </w:r>
      <w:r w:rsidRPr="00DF6999">
        <w:t>he overarching objective of the UNDP budget was to ensure financial sustainability with respect to the institutional and programmatic components, achieve a better equilibrium between regular and other resources</w:t>
      </w:r>
      <w:r w:rsidR="006524B0">
        <w:t>,</w:t>
      </w:r>
      <w:r w:rsidRPr="00DF6999">
        <w:t xml:space="preserve"> and increase productivity over time; and </w:t>
      </w:r>
    </w:p>
    <w:p w14:paraId="0F5E683A" w14:textId="73E90160" w:rsidR="00190898" w:rsidRPr="00DF6999" w:rsidRDefault="00190898" w:rsidP="005F648C">
      <w:pPr>
        <w:pStyle w:val="ListParagraph"/>
        <w:numPr>
          <w:ilvl w:val="0"/>
          <w:numId w:val="11"/>
        </w:numPr>
        <w:tabs>
          <w:tab w:val="left" w:pos="1267"/>
          <w:tab w:val="left" w:pos="1530"/>
          <w:tab w:val="left" w:pos="2693"/>
          <w:tab w:val="left" w:pos="3182"/>
          <w:tab w:val="left" w:pos="3658"/>
          <w:tab w:val="left" w:pos="4133"/>
          <w:tab w:val="left" w:pos="4622"/>
          <w:tab w:val="left" w:pos="5098"/>
          <w:tab w:val="left" w:pos="5573"/>
          <w:tab w:val="left" w:pos="6048"/>
        </w:tabs>
        <w:spacing w:before="120" w:after="120" w:line="240" w:lineRule="auto"/>
        <w:ind w:left="2059" w:right="1267"/>
        <w:contextualSpacing w:val="0"/>
        <w:jc w:val="both"/>
      </w:pPr>
      <w:r w:rsidRPr="00DF6999">
        <w:t>General Assembly resolution 72/279 of 31 May 2018 on the repositioning of the United Nations development system</w:t>
      </w:r>
      <w:r>
        <w:t>.</w:t>
      </w:r>
      <w:r w:rsidRPr="00DF6999">
        <w:t xml:space="preserve"> UNDP continued to support the functioning of the independent and reinvigorated resident coordinator system, helping to ensure that </w:t>
      </w:r>
      <w:r w:rsidR="00DD37B3">
        <w:t>R</w:t>
      </w:r>
      <w:r w:rsidRPr="00DF6999">
        <w:t xml:space="preserve">esident </w:t>
      </w:r>
      <w:r w:rsidR="00DD37B3">
        <w:t>C</w:t>
      </w:r>
      <w:r w:rsidRPr="00DF6999">
        <w:t xml:space="preserve">oordinators and their offices are able to carry out their critical coordination functions seamlessly. At the same time, UNDP maintained its business continuity and continued successfully to drive forward the Strategic Plan, 2018-2021. </w:t>
      </w:r>
    </w:p>
    <w:p w14:paraId="28F207F5" w14:textId="4AC12698" w:rsidR="00474FDC" w:rsidRPr="000E57AE" w:rsidRDefault="00190898" w:rsidP="009D4BB3">
      <w:pPr>
        <w:pStyle w:val="SingleTxt"/>
        <w:numPr>
          <w:ilvl w:val="0"/>
          <w:numId w:val="5"/>
        </w:numPr>
        <w:tabs>
          <w:tab w:val="clear" w:pos="1742"/>
          <w:tab w:val="clear" w:pos="2218"/>
          <w:tab w:val="left" w:pos="1530"/>
        </w:tabs>
        <w:spacing w:before="240" w:after="240" w:line="240" w:lineRule="auto"/>
      </w:pPr>
      <w:r w:rsidRPr="00030DD4">
        <w:t xml:space="preserve">Table </w:t>
      </w:r>
      <w:r w:rsidRPr="00190898">
        <w:t>5</w:t>
      </w:r>
      <w:r w:rsidR="00ED60B8">
        <w:t xml:space="preserve"> below </w:t>
      </w:r>
      <w:r w:rsidRPr="00030DD4">
        <w:t xml:space="preserve">compares actual expenditures for 2018 and 2019. In 2019, the share of regular resources spent for institutional activities was $227 million, which was $11 million or </w:t>
      </w:r>
      <w:r w:rsidR="00217EF1">
        <w:t>5</w:t>
      </w:r>
      <w:r w:rsidRPr="00030DD4">
        <w:t xml:space="preserve"> per cent more</w:t>
      </w:r>
      <w:r w:rsidR="00AB64C9">
        <w:t>,</w:t>
      </w:r>
      <w:r w:rsidRPr="00030DD4">
        <w:t xml:space="preserve"> compared to $216 million in 2018. The share of regular resources spent for programmatic activities was $440 million, which was $96 million or 2</w:t>
      </w:r>
      <w:r w:rsidR="00217EF1">
        <w:t>8</w:t>
      </w:r>
      <w:r w:rsidRPr="00030DD4">
        <w:t> per cent more</w:t>
      </w:r>
      <w:r w:rsidR="00AB64C9">
        <w:t>,</w:t>
      </w:r>
      <w:r w:rsidRPr="00030DD4">
        <w:t xml:space="preserve"> compared to $344 million in 2018.</w:t>
      </w:r>
    </w:p>
    <w:p w14:paraId="682806A3" w14:textId="67926D7D" w:rsidR="00474FDC" w:rsidRPr="003E18FC" w:rsidRDefault="00474FDC" w:rsidP="003E18FC">
      <w:pPr>
        <w:keepNext/>
        <w:ind w:left="708" w:hanging="708"/>
        <w:jc w:val="center"/>
        <w:rPr>
          <w:b/>
        </w:rPr>
      </w:pPr>
      <w:bookmarkStart w:id="353" w:name="_Toc46221147"/>
      <w:r w:rsidRPr="003E18FC">
        <w:rPr>
          <w:b/>
        </w:rPr>
        <w:t xml:space="preserve">Table </w:t>
      </w:r>
      <w:r w:rsidR="00C9140A" w:rsidRPr="003E18FC">
        <w:rPr>
          <w:b/>
        </w:rPr>
        <w:t>5</w:t>
      </w:r>
      <w:r w:rsidRPr="003E18FC">
        <w:rPr>
          <w:b/>
        </w:rPr>
        <w:t>. Integrated budget expenditure, by cost classification category, 201</w:t>
      </w:r>
      <w:r w:rsidR="00764E79" w:rsidRPr="003E18FC">
        <w:rPr>
          <w:b/>
        </w:rPr>
        <w:t>8</w:t>
      </w:r>
      <w:r w:rsidRPr="003E18FC">
        <w:rPr>
          <w:b/>
        </w:rPr>
        <w:t>-201</w:t>
      </w:r>
      <w:r w:rsidR="00764E79" w:rsidRPr="003E18FC">
        <w:rPr>
          <w:b/>
        </w:rPr>
        <w:t>9</w:t>
      </w:r>
      <w:bookmarkEnd w:id="353"/>
    </w:p>
    <w:p w14:paraId="62938F3D" w14:textId="5FB4393E" w:rsidR="00474FDC" w:rsidRPr="000C4DE4" w:rsidRDefault="00474FDC" w:rsidP="003F5F37">
      <w:pPr>
        <w:pStyle w:val="SingleTxt"/>
        <w:keepNext/>
        <w:spacing w:after="0" w:line="200" w:lineRule="exact"/>
        <w:jc w:val="center"/>
        <w:rPr>
          <w:i/>
          <w:spacing w:val="2"/>
        </w:rPr>
      </w:pPr>
      <w:r w:rsidRPr="000C4DE4">
        <w:rPr>
          <w:i/>
          <w:spacing w:val="2"/>
        </w:rPr>
        <w:t xml:space="preserve">(in millions of </w:t>
      </w:r>
      <w:r w:rsidR="000C4DE4">
        <w:rPr>
          <w:i/>
          <w:spacing w:val="2"/>
        </w:rPr>
        <w:t xml:space="preserve">United States </w:t>
      </w:r>
      <w:r w:rsidRPr="000C4DE4">
        <w:rPr>
          <w:i/>
          <w:spacing w:val="2"/>
        </w:rPr>
        <w:t>dollars)</w:t>
      </w:r>
    </w:p>
    <w:p w14:paraId="51EB0E98" w14:textId="77777777" w:rsidR="00474FDC" w:rsidRPr="000E57AE" w:rsidRDefault="00474FDC" w:rsidP="003F5F37">
      <w:pPr>
        <w:pStyle w:val="SingleTxt"/>
        <w:keepNext/>
        <w:spacing w:after="0" w:line="120" w:lineRule="exact"/>
        <w:rPr>
          <w:sz w:val="10"/>
          <w:szCs w:val="14"/>
        </w:rPr>
      </w:pPr>
    </w:p>
    <w:p w14:paraId="419BCB97" w14:textId="3494CCA1" w:rsidR="00474FDC" w:rsidRPr="000E57AE" w:rsidRDefault="00474FDC" w:rsidP="003F5F37">
      <w:pPr>
        <w:pStyle w:val="SingleTxt"/>
        <w:keepNext/>
        <w:spacing w:after="0" w:line="120" w:lineRule="exact"/>
        <w:rPr>
          <w:sz w:val="10"/>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1530"/>
        <w:gridCol w:w="1530"/>
      </w:tblGrid>
      <w:tr w:rsidR="0091272B" w:rsidRPr="000E57AE" w14:paraId="40A24E0D" w14:textId="77777777" w:rsidTr="0091272B">
        <w:trPr>
          <w:trHeight w:val="354"/>
          <w:jc w:val="center"/>
        </w:trPr>
        <w:tc>
          <w:tcPr>
            <w:tcW w:w="2765" w:type="dxa"/>
            <w:shd w:val="clear" w:color="auto" w:fill="auto"/>
            <w:vAlign w:val="center"/>
          </w:tcPr>
          <w:p w14:paraId="10DE28B0" w14:textId="77777777" w:rsidR="0091272B" w:rsidRPr="000E57AE" w:rsidRDefault="0091272B" w:rsidP="003F5F37">
            <w:pPr>
              <w:keepNext/>
              <w:spacing w:line="276" w:lineRule="auto"/>
              <w:jc w:val="center"/>
              <w:rPr>
                <w:b/>
                <w:sz w:val="16"/>
                <w:szCs w:val="16"/>
              </w:rPr>
            </w:pPr>
            <w:r w:rsidRPr="000E57AE">
              <w:rPr>
                <w:b/>
                <w:sz w:val="16"/>
                <w:szCs w:val="16"/>
              </w:rPr>
              <w:t>Regular resources</w:t>
            </w:r>
          </w:p>
        </w:tc>
        <w:tc>
          <w:tcPr>
            <w:tcW w:w="1530" w:type="dxa"/>
          </w:tcPr>
          <w:p w14:paraId="7947020E" w14:textId="77777777" w:rsidR="0091272B" w:rsidRDefault="0091272B" w:rsidP="003F5F37">
            <w:pPr>
              <w:keepNext/>
              <w:spacing w:line="276" w:lineRule="auto"/>
              <w:jc w:val="center"/>
              <w:rPr>
                <w:b/>
                <w:sz w:val="16"/>
                <w:szCs w:val="16"/>
              </w:rPr>
            </w:pPr>
            <w:r>
              <w:rPr>
                <w:b/>
                <w:sz w:val="16"/>
                <w:szCs w:val="16"/>
              </w:rPr>
              <w:t>2019 actual</w:t>
            </w:r>
          </w:p>
          <w:p w14:paraId="093BDDA9" w14:textId="1BCA4F74" w:rsidR="0091272B" w:rsidRPr="000E57AE" w:rsidRDefault="0091272B" w:rsidP="003F5F37">
            <w:pPr>
              <w:keepNext/>
              <w:spacing w:line="276" w:lineRule="auto"/>
              <w:jc w:val="center"/>
              <w:rPr>
                <w:b/>
                <w:sz w:val="16"/>
                <w:szCs w:val="16"/>
              </w:rPr>
            </w:pPr>
            <w:r>
              <w:rPr>
                <w:b/>
                <w:sz w:val="16"/>
                <w:szCs w:val="16"/>
              </w:rPr>
              <w:t>expenditures</w:t>
            </w:r>
          </w:p>
        </w:tc>
        <w:tc>
          <w:tcPr>
            <w:tcW w:w="1530" w:type="dxa"/>
            <w:shd w:val="clear" w:color="auto" w:fill="auto"/>
            <w:vAlign w:val="center"/>
          </w:tcPr>
          <w:p w14:paraId="2004F038" w14:textId="77777777" w:rsidR="0091272B" w:rsidRDefault="0091272B" w:rsidP="003F5F37">
            <w:pPr>
              <w:keepNext/>
              <w:spacing w:line="276" w:lineRule="auto"/>
              <w:jc w:val="center"/>
              <w:rPr>
                <w:b/>
                <w:sz w:val="16"/>
                <w:szCs w:val="16"/>
              </w:rPr>
            </w:pPr>
            <w:r w:rsidRPr="000E57AE">
              <w:rPr>
                <w:b/>
                <w:sz w:val="16"/>
                <w:szCs w:val="16"/>
              </w:rPr>
              <w:t>2018 actual expenditures</w:t>
            </w:r>
          </w:p>
          <w:p w14:paraId="35CBB0B2" w14:textId="77777777" w:rsidR="0091272B" w:rsidRPr="000E57AE" w:rsidRDefault="0091272B" w:rsidP="003F5F37">
            <w:pPr>
              <w:keepNext/>
              <w:spacing w:line="276" w:lineRule="auto"/>
              <w:jc w:val="center"/>
              <w:rPr>
                <w:b/>
                <w:sz w:val="16"/>
                <w:szCs w:val="16"/>
              </w:rPr>
            </w:pPr>
          </w:p>
        </w:tc>
      </w:tr>
      <w:tr w:rsidR="0091272B" w:rsidRPr="000E57AE" w14:paraId="1C128177" w14:textId="77777777" w:rsidTr="0091272B">
        <w:trPr>
          <w:trHeight w:val="216"/>
          <w:jc w:val="center"/>
        </w:trPr>
        <w:tc>
          <w:tcPr>
            <w:tcW w:w="2765" w:type="dxa"/>
            <w:tcBorders>
              <w:top w:val="nil"/>
              <w:left w:val="single" w:sz="4" w:space="0" w:color="auto"/>
              <w:bottom w:val="dotted" w:sz="4" w:space="0" w:color="auto"/>
              <w:right w:val="nil"/>
            </w:tcBorders>
            <w:shd w:val="clear" w:color="auto" w:fill="auto"/>
            <w:vAlign w:val="bottom"/>
          </w:tcPr>
          <w:p w14:paraId="2D990E42" w14:textId="77777777" w:rsidR="0091272B" w:rsidRPr="000E57AE" w:rsidRDefault="0091272B" w:rsidP="003F5F37">
            <w:pPr>
              <w:keepNext/>
              <w:spacing w:line="276" w:lineRule="auto"/>
              <w:jc w:val="both"/>
              <w:rPr>
                <w:sz w:val="16"/>
              </w:rPr>
            </w:pPr>
            <w:r w:rsidRPr="000E57AE">
              <w:rPr>
                <w:rFonts w:eastAsia="Times New Roman"/>
                <w:color w:val="000000"/>
                <w:spacing w:val="0"/>
                <w:w w:val="100"/>
                <w:kern w:val="0"/>
                <w:sz w:val="16"/>
              </w:rPr>
              <w:t>Programmatic component</w:t>
            </w:r>
          </w:p>
        </w:tc>
        <w:tc>
          <w:tcPr>
            <w:tcW w:w="1530" w:type="dxa"/>
            <w:tcBorders>
              <w:top w:val="nil"/>
              <w:left w:val="single" w:sz="4" w:space="0" w:color="auto"/>
              <w:bottom w:val="dotted" w:sz="4" w:space="0" w:color="auto"/>
              <w:right w:val="single" w:sz="4" w:space="0" w:color="auto"/>
            </w:tcBorders>
          </w:tcPr>
          <w:p w14:paraId="2DAA4F29" w14:textId="014E0792" w:rsidR="0091272B" w:rsidRPr="000E57AE" w:rsidRDefault="00A60AC7" w:rsidP="003F5F37">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440</w:t>
            </w:r>
          </w:p>
        </w:tc>
        <w:tc>
          <w:tcPr>
            <w:tcW w:w="1530" w:type="dxa"/>
            <w:tcBorders>
              <w:top w:val="nil"/>
              <w:left w:val="single" w:sz="4" w:space="0" w:color="auto"/>
              <w:bottom w:val="dotted" w:sz="4" w:space="0" w:color="auto"/>
              <w:right w:val="single" w:sz="4" w:space="0" w:color="auto"/>
            </w:tcBorders>
            <w:shd w:val="clear" w:color="auto" w:fill="auto"/>
            <w:vAlign w:val="bottom"/>
          </w:tcPr>
          <w:p w14:paraId="63C4C308" w14:textId="77777777" w:rsidR="0091272B" w:rsidRPr="000E57AE" w:rsidRDefault="0091272B" w:rsidP="003F5F37">
            <w:pPr>
              <w:keepNext/>
              <w:spacing w:line="276" w:lineRule="auto"/>
              <w:jc w:val="right"/>
              <w:rPr>
                <w:sz w:val="16"/>
              </w:rPr>
            </w:pPr>
            <w:r w:rsidRPr="000E57AE">
              <w:rPr>
                <w:rFonts w:eastAsia="Times New Roman"/>
                <w:color w:val="000000"/>
                <w:spacing w:val="0"/>
                <w:w w:val="100"/>
                <w:kern w:val="0"/>
                <w:sz w:val="16"/>
              </w:rPr>
              <w:t xml:space="preserve">344 </w:t>
            </w:r>
          </w:p>
        </w:tc>
      </w:tr>
      <w:tr w:rsidR="0091272B" w:rsidRPr="000E57AE" w14:paraId="3B926535" w14:textId="77777777" w:rsidTr="0091272B">
        <w:trPr>
          <w:trHeight w:val="216"/>
          <w:jc w:val="center"/>
        </w:trPr>
        <w:tc>
          <w:tcPr>
            <w:tcW w:w="2765" w:type="dxa"/>
            <w:tcBorders>
              <w:top w:val="nil"/>
              <w:left w:val="single" w:sz="4" w:space="0" w:color="auto"/>
              <w:bottom w:val="nil"/>
              <w:right w:val="nil"/>
            </w:tcBorders>
            <w:shd w:val="clear" w:color="auto" w:fill="auto"/>
            <w:vAlign w:val="bottom"/>
          </w:tcPr>
          <w:p w14:paraId="0CFD7944" w14:textId="77777777" w:rsidR="0091272B" w:rsidRPr="000E57AE" w:rsidRDefault="0091272B" w:rsidP="003F5F37">
            <w:pPr>
              <w:keepNext/>
              <w:spacing w:line="276" w:lineRule="auto"/>
              <w:jc w:val="both"/>
              <w:rPr>
                <w:sz w:val="16"/>
              </w:rPr>
            </w:pPr>
            <w:r w:rsidRPr="000E57AE">
              <w:rPr>
                <w:rFonts w:eastAsia="Times New Roman"/>
                <w:color w:val="000000"/>
                <w:spacing w:val="0"/>
                <w:w w:val="100"/>
                <w:kern w:val="0"/>
                <w:sz w:val="16"/>
              </w:rPr>
              <w:t>Institutional component</w:t>
            </w:r>
          </w:p>
        </w:tc>
        <w:tc>
          <w:tcPr>
            <w:tcW w:w="1530" w:type="dxa"/>
            <w:tcBorders>
              <w:top w:val="nil"/>
              <w:left w:val="single" w:sz="4" w:space="0" w:color="auto"/>
              <w:bottom w:val="nil"/>
              <w:right w:val="single" w:sz="4" w:space="0" w:color="auto"/>
            </w:tcBorders>
          </w:tcPr>
          <w:p w14:paraId="676F1079" w14:textId="6186D216" w:rsidR="0091272B" w:rsidRPr="000E57AE" w:rsidRDefault="00A60AC7" w:rsidP="003F5F37">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227</w:t>
            </w:r>
          </w:p>
        </w:tc>
        <w:tc>
          <w:tcPr>
            <w:tcW w:w="1530" w:type="dxa"/>
            <w:tcBorders>
              <w:top w:val="nil"/>
              <w:left w:val="single" w:sz="4" w:space="0" w:color="auto"/>
              <w:bottom w:val="nil"/>
              <w:right w:val="single" w:sz="4" w:space="0" w:color="auto"/>
            </w:tcBorders>
            <w:shd w:val="clear" w:color="auto" w:fill="auto"/>
            <w:vAlign w:val="bottom"/>
          </w:tcPr>
          <w:p w14:paraId="7321E0AB" w14:textId="77777777" w:rsidR="0091272B" w:rsidRPr="000E57AE" w:rsidRDefault="0091272B" w:rsidP="003F5F37">
            <w:pPr>
              <w:keepNext/>
              <w:spacing w:line="276" w:lineRule="auto"/>
              <w:jc w:val="right"/>
              <w:rPr>
                <w:sz w:val="16"/>
              </w:rPr>
            </w:pPr>
            <w:r w:rsidRPr="000E57AE">
              <w:rPr>
                <w:rFonts w:eastAsia="Times New Roman"/>
                <w:color w:val="000000"/>
                <w:spacing w:val="0"/>
                <w:w w:val="100"/>
                <w:kern w:val="0"/>
                <w:sz w:val="16"/>
              </w:rPr>
              <w:t xml:space="preserve">216 </w:t>
            </w:r>
          </w:p>
        </w:tc>
      </w:tr>
      <w:tr w:rsidR="0091272B" w:rsidRPr="000E57AE" w14:paraId="0C2B6BDE" w14:textId="77777777" w:rsidTr="007460D9">
        <w:trPr>
          <w:trHeight w:val="216"/>
          <w:jc w:val="center"/>
        </w:trPr>
        <w:tc>
          <w:tcPr>
            <w:tcW w:w="2765" w:type="dxa"/>
            <w:tcBorders>
              <w:top w:val="single" w:sz="4" w:space="0" w:color="auto"/>
              <w:left w:val="single" w:sz="4" w:space="0" w:color="auto"/>
              <w:bottom w:val="single" w:sz="4" w:space="0" w:color="auto"/>
              <w:right w:val="nil"/>
            </w:tcBorders>
            <w:shd w:val="clear" w:color="auto" w:fill="auto"/>
            <w:vAlign w:val="bottom"/>
          </w:tcPr>
          <w:p w14:paraId="7A417D97" w14:textId="77777777" w:rsidR="0091272B" w:rsidRPr="000E57AE" w:rsidRDefault="0091272B" w:rsidP="003F5F37">
            <w:pPr>
              <w:keepNext/>
              <w:spacing w:line="276" w:lineRule="auto"/>
              <w:jc w:val="both"/>
              <w:rPr>
                <w:b/>
                <w:i/>
                <w:sz w:val="16"/>
              </w:rPr>
            </w:pPr>
            <w:r w:rsidRPr="000E57AE">
              <w:rPr>
                <w:rFonts w:eastAsia="Times New Roman"/>
                <w:b/>
                <w:bCs/>
                <w:i/>
                <w:iCs/>
                <w:color w:val="000000"/>
                <w:spacing w:val="0"/>
                <w:w w:val="100"/>
                <w:kern w:val="0"/>
                <w:sz w:val="16"/>
              </w:rPr>
              <w:t>Total</w:t>
            </w:r>
          </w:p>
        </w:tc>
        <w:tc>
          <w:tcPr>
            <w:tcW w:w="1530" w:type="dxa"/>
            <w:tcBorders>
              <w:top w:val="single" w:sz="4" w:space="0" w:color="auto"/>
              <w:left w:val="single" w:sz="4" w:space="0" w:color="auto"/>
              <w:bottom w:val="single" w:sz="4" w:space="0" w:color="auto"/>
              <w:right w:val="single" w:sz="4" w:space="0" w:color="auto"/>
            </w:tcBorders>
          </w:tcPr>
          <w:p w14:paraId="22548332" w14:textId="3AB58E00" w:rsidR="0091272B" w:rsidRPr="000E57AE" w:rsidRDefault="00A60AC7" w:rsidP="003F5F37">
            <w:pPr>
              <w:keepNext/>
              <w:spacing w:line="276" w:lineRule="auto"/>
              <w:jc w:val="right"/>
              <w:rPr>
                <w:rFonts w:eastAsia="Times New Roman"/>
                <w:b/>
                <w:bCs/>
                <w:color w:val="000000"/>
                <w:spacing w:val="0"/>
                <w:w w:val="100"/>
                <w:kern w:val="0"/>
                <w:sz w:val="16"/>
              </w:rPr>
            </w:pPr>
            <w:r>
              <w:rPr>
                <w:rFonts w:eastAsia="Times New Roman"/>
                <w:b/>
                <w:bCs/>
                <w:color w:val="000000"/>
                <w:spacing w:val="0"/>
                <w:w w:val="100"/>
                <w:kern w:val="0"/>
                <w:sz w:val="16"/>
              </w:rPr>
              <w:t>667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3D7BF3CE" w14:textId="77777777" w:rsidR="0091272B" w:rsidRPr="000E57AE" w:rsidRDefault="0091272B" w:rsidP="003F5F37">
            <w:pPr>
              <w:keepNext/>
              <w:spacing w:line="276" w:lineRule="auto"/>
              <w:jc w:val="right"/>
              <w:rPr>
                <w:b/>
                <w:sz w:val="16"/>
              </w:rPr>
            </w:pPr>
            <w:r w:rsidRPr="000E57AE">
              <w:rPr>
                <w:rFonts w:eastAsia="Times New Roman"/>
                <w:b/>
                <w:bCs/>
                <w:color w:val="000000"/>
                <w:spacing w:val="0"/>
                <w:w w:val="100"/>
                <w:kern w:val="0"/>
                <w:sz w:val="16"/>
              </w:rPr>
              <w:t>560</w:t>
            </w:r>
          </w:p>
        </w:tc>
      </w:tr>
      <w:tr w:rsidR="0091272B" w:rsidRPr="000E57AE" w14:paraId="1464586B" w14:textId="77777777" w:rsidTr="0091272B">
        <w:trPr>
          <w:gridAfter w:val="1"/>
          <w:wAfter w:w="1530" w:type="dxa"/>
          <w:trHeight w:val="20"/>
          <w:jc w:val="center"/>
        </w:trPr>
        <w:tc>
          <w:tcPr>
            <w:tcW w:w="2765" w:type="dxa"/>
            <w:tcBorders>
              <w:left w:val="nil"/>
              <w:bottom w:val="single" w:sz="4" w:space="0" w:color="auto"/>
              <w:right w:val="nil"/>
            </w:tcBorders>
            <w:shd w:val="clear" w:color="auto" w:fill="auto"/>
            <w:vAlign w:val="center"/>
          </w:tcPr>
          <w:p w14:paraId="78D5ED73" w14:textId="77777777" w:rsidR="0091272B" w:rsidRPr="000E57AE" w:rsidRDefault="0091272B" w:rsidP="003F5F37">
            <w:pPr>
              <w:keepNext/>
              <w:spacing w:line="276" w:lineRule="auto"/>
              <w:rPr>
                <w:b/>
                <w:sz w:val="16"/>
              </w:rPr>
            </w:pPr>
          </w:p>
        </w:tc>
        <w:tc>
          <w:tcPr>
            <w:tcW w:w="1530" w:type="dxa"/>
            <w:tcBorders>
              <w:left w:val="nil"/>
              <w:bottom w:val="single" w:sz="4" w:space="0" w:color="auto"/>
              <w:right w:val="nil"/>
            </w:tcBorders>
          </w:tcPr>
          <w:p w14:paraId="0900743A" w14:textId="77777777" w:rsidR="0091272B" w:rsidRPr="000E57AE" w:rsidRDefault="0091272B" w:rsidP="003F5F37">
            <w:pPr>
              <w:keepNext/>
              <w:spacing w:line="276" w:lineRule="auto"/>
              <w:jc w:val="center"/>
              <w:rPr>
                <w:b/>
                <w:sz w:val="16"/>
              </w:rPr>
            </w:pPr>
          </w:p>
        </w:tc>
      </w:tr>
      <w:tr w:rsidR="002D721D" w:rsidRPr="000E57AE" w14:paraId="4146B866" w14:textId="77777777" w:rsidTr="0091272B">
        <w:trPr>
          <w:trHeight w:val="264"/>
          <w:jc w:val="center"/>
        </w:trPr>
        <w:tc>
          <w:tcPr>
            <w:tcW w:w="2765" w:type="dxa"/>
            <w:tcBorders>
              <w:top w:val="single" w:sz="4" w:space="0" w:color="auto"/>
              <w:left w:val="single" w:sz="4" w:space="0" w:color="auto"/>
              <w:bottom w:val="single" w:sz="4" w:space="0" w:color="auto"/>
              <w:right w:val="nil"/>
            </w:tcBorders>
            <w:shd w:val="clear" w:color="auto" w:fill="FFFFFF" w:themeFill="background1"/>
            <w:vAlign w:val="center"/>
          </w:tcPr>
          <w:p w14:paraId="68A0CBA6" w14:textId="77777777" w:rsidR="002D721D" w:rsidRPr="000E57AE" w:rsidRDefault="002D721D" w:rsidP="002D721D">
            <w:pPr>
              <w:keepNext/>
              <w:spacing w:line="276" w:lineRule="auto"/>
              <w:jc w:val="center"/>
              <w:rPr>
                <w:b/>
                <w:sz w:val="16"/>
                <w:szCs w:val="16"/>
              </w:rPr>
            </w:pPr>
            <w:r w:rsidRPr="000E57AE">
              <w:rPr>
                <w:b/>
                <w:sz w:val="16"/>
                <w:szCs w:val="16"/>
              </w:rPr>
              <w:t>Cost classification category</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010193AF" w14:textId="77777777" w:rsidR="002D721D" w:rsidRDefault="002D721D" w:rsidP="002D721D">
            <w:pPr>
              <w:keepNext/>
              <w:spacing w:line="276" w:lineRule="auto"/>
              <w:jc w:val="center"/>
              <w:rPr>
                <w:b/>
                <w:sz w:val="16"/>
                <w:szCs w:val="16"/>
              </w:rPr>
            </w:pPr>
            <w:r>
              <w:rPr>
                <w:b/>
                <w:sz w:val="16"/>
                <w:szCs w:val="16"/>
              </w:rPr>
              <w:t>2019 actual</w:t>
            </w:r>
          </w:p>
          <w:p w14:paraId="02554D61" w14:textId="7B6D48A7" w:rsidR="002D721D" w:rsidRPr="000E57AE" w:rsidRDefault="002C3524" w:rsidP="002D721D">
            <w:pPr>
              <w:keepNext/>
              <w:spacing w:line="276" w:lineRule="auto"/>
              <w:jc w:val="center"/>
              <w:rPr>
                <w:b/>
                <w:sz w:val="16"/>
                <w:szCs w:val="16"/>
              </w:rPr>
            </w:pPr>
            <w:r>
              <w:rPr>
                <w:b/>
                <w:sz w:val="16"/>
                <w:szCs w:val="16"/>
              </w:rPr>
              <w:t>e</w:t>
            </w:r>
            <w:r w:rsidR="002D721D">
              <w:rPr>
                <w:b/>
                <w:sz w:val="16"/>
                <w:szCs w:val="16"/>
              </w:rPr>
              <w:t>xpenditures</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397E1" w14:textId="77777777" w:rsidR="002D721D" w:rsidRPr="00030DD4" w:rsidRDefault="002D721D" w:rsidP="002D721D">
            <w:pPr>
              <w:keepNext/>
              <w:spacing w:line="276" w:lineRule="auto"/>
              <w:jc w:val="center"/>
              <w:rPr>
                <w:b/>
                <w:sz w:val="16"/>
                <w:szCs w:val="16"/>
              </w:rPr>
            </w:pPr>
            <w:r w:rsidRPr="00030DD4">
              <w:rPr>
                <w:b/>
                <w:sz w:val="16"/>
                <w:szCs w:val="16"/>
              </w:rPr>
              <w:t>2018 actual expenditures</w:t>
            </w:r>
          </w:p>
          <w:p w14:paraId="7BB183C8" w14:textId="77777777" w:rsidR="002D721D" w:rsidRPr="000E57AE" w:rsidRDefault="002D721D" w:rsidP="002D721D">
            <w:pPr>
              <w:keepNext/>
              <w:spacing w:line="276" w:lineRule="auto"/>
              <w:jc w:val="center"/>
              <w:rPr>
                <w:b/>
                <w:sz w:val="16"/>
                <w:szCs w:val="16"/>
              </w:rPr>
            </w:pPr>
          </w:p>
        </w:tc>
      </w:tr>
      <w:tr w:rsidR="002D721D" w:rsidRPr="000E57AE" w14:paraId="245182CB" w14:textId="77777777" w:rsidTr="000B4547">
        <w:trPr>
          <w:trHeight w:val="216"/>
          <w:jc w:val="center"/>
        </w:trPr>
        <w:tc>
          <w:tcPr>
            <w:tcW w:w="2765" w:type="dxa"/>
            <w:tcBorders>
              <w:top w:val="nil"/>
              <w:left w:val="single" w:sz="4" w:space="0" w:color="auto"/>
              <w:bottom w:val="dotted" w:sz="4" w:space="0" w:color="auto"/>
              <w:right w:val="single" w:sz="4" w:space="0" w:color="auto"/>
            </w:tcBorders>
            <w:shd w:val="clear" w:color="auto" w:fill="auto"/>
            <w:vAlign w:val="bottom"/>
          </w:tcPr>
          <w:p w14:paraId="511CFE1D" w14:textId="77777777" w:rsidR="002D721D" w:rsidRPr="000E57AE" w:rsidRDefault="002D721D" w:rsidP="002D721D">
            <w:pPr>
              <w:keepNext/>
              <w:spacing w:line="276" w:lineRule="auto"/>
              <w:jc w:val="both"/>
              <w:rPr>
                <w:sz w:val="16"/>
              </w:rPr>
            </w:pPr>
            <w:r w:rsidRPr="000E57AE">
              <w:rPr>
                <w:rFonts w:eastAsia="Times New Roman"/>
                <w:color w:val="000000"/>
                <w:spacing w:val="0"/>
                <w:w w:val="100"/>
                <w:kern w:val="0"/>
                <w:sz w:val="16"/>
              </w:rPr>
              <w:t>Development activities</w:t>
            </w:r>
          </w:p>
        </w:tc>
        <w:tc>
          <w:tcPr>
            <w:tcW w:w="1530" w:type="dxa"/>
            <w:tcBorders>
              <w:top w:val="nil"/>
              <w:left w:val="nil"/>
              <w:bottom w:val="dotted" w:sz="4" w:space="0" w:color="auto"/>
              <w:right w:val="single" w:sz="4" w:space="0" w:color="auto"/>
            </w:tcBorders>
          </w:tcPr>
          <w:p w14:paraId="6054E43B" w14:textId="47DD1C8B" w:rsidR="002D721D" w:rsidRPr="000E57AE" w:rsidRDefault="002D721D" w:rsidP="002D721D">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484</w:t>
            </w:r>
          </w:p>
        </w:tc>
        <w:tc>
          <w:tcPr>
            <w:tcW w:w="1530" w:type="dxa"/>
            <w:tcBorders>
              <w:top w:val="nil"/>
              <w:left w:val="single" w:sz="4" w:space="0" w:color="auto"/>
              <w:bottom w:val="dotted" w:sz="4" w:space="0" w:color="auto"/>
              <w:right w:val="single" w:sz="4" w:space="0" w:color="auto"/>
            </w:tcBorders>
            <w:shd w:val="clear" w:color="auto" w:fill="auto"/>
            <w:vAlign w:val="bottom"/>
          </w:tcPr>
          <w:p w14:paraId="604D8F4D" w14:textId="6C7096B5" w:rsidR="002D721D" w:rsidRPr="000E57AE" w:rsidRDefault="002D721D" w:rsidP="002D721D">
            <w:pPr>
              <w:keepNext/>
              <w:spacing w:line="276" w:lineRule="auto"/>
              <w:jc w:val="right"/>
              <w:rPr>
                <w:sz w:val="16"/>
              </w:rPr>
            </w:pPr>
            <w:r w:rsidRPr="00030DD4">
              <w:rPr>
                <w:rFonts w:eastAsia="Times New Roman"/>
                <w:color w:val="000000"/>
                <w:sz w:val="16"/>
              </w:rPr>
              <w:t xml:space="preserve">372 </w:t>
            </w:r>
          </w:p>
        </w:tc>
      </w:tr>
      <w:tr w:rsidR="002D721D" w:rsidRPr="000E57AE" w14:paraId="2DDF78E3" w14:textId="77777777" w:rsidTr="000B4547">
        <w:trPr>
          <w:trHeight w:val="216"/>
          <w:jc w:val="center"/>
        </w:trPr>
        <w:tc>
          <w:tcPr>
            <w:tcW w:w="2765" w:type="dxa"/>
            <w:tcBorders>
              <w:top w:val="nil"/>
              <w:left w:val="single" w:sz="4" w:space="0" w:color="auto"/>
              <w:bottom w:val="dotted" w:sz="4" w:space="0" w:color="auto"/>
              <w:right w:val="single" w:sz="4" w:space="0" w:color="auto"/>
            </w:tcBorders>
            <w:shd w:val="clear" w:color="auto" w:fill="auto"/>
            <w:vAlign w:val="bottom"/>
          </w:tcPr>
          <w:p w14:paraId="66137385" w14:textId="77777777" w:rsidR="002D721D" w:rsidRPr="000E57AE" w:rsidRDefault="002D721D" w:rsidP="002D721D">
            <w:pPr>
              <w:keepNext/>
              <w:spacing w:line="276" w:lineRule="auto"/>
              <w:rPr>
                <w:sz w:val="16"/>
              </w:rPr>
            </w:pPr>
            <w:r w:rsidRPr="000E57AE">
              <w:rPr>
                <w:rFonts w:eastAsia="Times New Roman"/>
                <w:color w:val="000000"/>
                <w:spacing w:val="0"/>
                <w:w w:val="100"/>
                <w:kern w:val="0"/>
                <w:sz w:val="16"/>
              </w:rPr>
              <w:t>United Nations coordination activities</w:t>
            </w:r>
          </w:p>
        </w:tc>
        <w:tc>
          <w:tcPr>
            <w:tcW w:w="1530" w:type="dxa"/>
            <w:tcBorders>
              <w:top w:val="nil"/>
              <w:left w:val="nil"/>
              <w:bottom w:val="dotted" w:sz="4" w:space="0" w:color="auto"/>
              <w:right w:val="single" w:sz="4" w:space="0" w:color="auto"/>
            </w:tcBorders>
          </w:tcPr>
          <w:p w14:paraId="2F35783C" w14:textId="7AD286A3" w:rsidR="002D721D" w:rsidRPr="000E57AE" w:rsidRDefault="002D721D" w:rsidP="002D721D">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11</w:t>
            </w:r>
          </w:p>
        </w:tc>
        <w:tc>
          <w:tcPr>
            <w:tcW w:w="1530" w:type="dxa"/>
            <w:tcBorders>
              <w:top w:val="nil"/>
              <w:left w:val="single" w:sz="4" w:space="0" w:color="auto"/>
              <w:bottom w:val="dotted" w:sz="4" w:space="0" w:color="auto"/>
              <w:right w:val="single" w:sz="4" w:space="0" w:color="auto"/>
            </w:tcBorders>
            <w:shd w:val="clear" w:color="auto" w:fill="auto"/>
            <w:vAlign w:val="bottom"/>
          </w:tcPr>
          <w:p w14:paraId="1343A3FD" w14:textId="1785F427" w:rsidR="002D721D" w:rsidRPr="000E57AE" w:rsidRDefault="002D721D" w:rsidP="002D721D">
            <w:pPr>
              <w:keepNext/>
              <w:spacing w:line="276" w:lineRule="auto"/>
              <w:jc w:val="right"/>
              <w:rPr>
                <w:sz w:val="16"/>
              </w:rPr>
            </w:pPr>
            <w:r w:rsidRPr="00030DD4">
              <w:rPr>
                <w:rFonts w:eastAsia="Times New Roman"/>
                <w:color w:val="000000"/>
                <w:sz w:val="16"/>
              </w:rPr>
              <w:t xml:space="preserve">88 </w:t>
            </w:r>
          </w:p>
        </w:tc>
      </w:tr>
      <w:tr w:rsidR="002D721D" w:rsidRPr="000E57AE" w14:paraId="5A100E09" w14:textId="77777777" w:rsidTr="000B4547">
        <w:trPr>
          <w:trHeight w:val="216"/>
          <w:jc w:val="center"/>
        </w:trPr>
        <w:tc>
          <w:tcPr>
            <w:tcW w:w="2765" w:type="dxa"/>
            <w:tcBorders>
              <w:top w:val="nil"/>
              <w:left w:val="single" w:sz="4" w:space="0" w:color="auto"/>
              <w:bottom w:val="dotted" w:sz="4" w:space="0" w:color="auto"/>
              <w:right w:val="single" w:sz="4" w:space="0" w:color="auto"/>
            </w:tcBorders>
            <w:shd w:val="clear" w:color="auto" w:fill="auto"/>
            <w:vAlign w:val="bottom"/>
          </w:tcPr>
          <w:p w14:paraId="712D5FBF" w14:textId="77777777" w:rsidR="002D721D" w:rsidRPr="000E57AE" w:rsidRDefault="002D721D" w:rsidP="002D721D">
            <w:pPr>
              <w:keepNext/>
              <w:spacing w:line="276" w:lineRule="auto"/>
              <w:jc w:val="both"/>
              <w:rPr>
                <w:sz w:val="16"/>
              </w:rPr>
            </w:pPr>
            <w:r w:rsidRPr="000E57AE">
              <w:rPr>
                <w:rFonts w:eastAsia="Times New Roman"/>
                <w:color w:val="000000"/>
                <w:spacing w:val="0"/>
                <w:w w:val="100"/>
                <w:kern w:val="0"/>
                <w:sz w:val="16"/>
              </w:rPr>
              <w:t>Management activities</w:t>
            </w:r>
          </w:p>
        </w:tc>
        <w:tc>
          <w:tcPr>
            <w:tcW w:w="1530" w:type="dxa"/>
            <w:tcBorders>
              <w:top w:val="nil"/>
              <w:left w:val="nil"/>
              <w:bottom w:val="dotted" w:sz="4" w:space="0" w:color="auto"/>
              <w:right w:val="single" w:sz="4" w:space="0" w:color="auto"/>
            </w:tcBorders>
          </w:tcPr>
          <w:p w14:paraId="2488DE28" w14:textId="40DC1BCC" w:rsidR="002D721D" w:rsidRPr="000E57AE" w:rsidRDefault="002D721D" w:rsidP="002D721D">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164</w:t>
            </w:r>
          </w:p>
        </w:tc>
        <w:tc>
          <w:tcPr>
            <w:tcW w:w="1530" w:type="dxa"/>
            <w:tcBorders>
              <w:top w:val="nil"/>
              <w:left w:val="single" w:sz="4" w:space="0" w:color="auto"/>
              <w:bottom w:val="dotted" w:sz="4" w:space="0" w:color="auto"/>
              <w:right w:val="single" w:sz="4" w:space="0" w:color="auto"/>
            </w:tcBorders>
            <w:shd w:val="clear" w:color="auto" w:fill="auto"/>
            <w:vAlign w:val="bottom"/>
          </w:tcPr>
          <w:p w14:paraId="74BF26EF" w14:textId="1F1BCD58" w:rsidR="002D721D" w:rsidRPr="000E57AE" w:rsidRDefault="002D721D" w:rsidP="002D721D">
            <w:pPr>
              <w:keepNext/>
              <w:spacing w:line="276" w:lineRule="auto"/>
              <w:jc w:val="right"/>
              <w:rPr>
                <w:sz w:val="16"/>
              </w:rPr>
            </w:pPr>
            <w:r w:rsidRPr="00030DD4">
              <w:rPr>
                <w:rFonts w:eastAsia="Times New Roman"/>
                <w:color w:val="000000"/>
                <w:sz w:val="16"/>
              </w:rPr>
              <w:t xml:space="preserve">91 </w:t>
            </w:r>
          </w:p>
        </w:tc>
      </w:tr>
      <w:tr w:rsidR="002D721D" w:rsidRPr="000E57AE" w14:paraId="5CC5BC39" w14:textId="77777777" w:rsidTr="000B4547">
        <w:trPr>
          <w:trHeight w:val="216"/>
          <w:jc w:val="center"/>
        </w:trPr>
        <w:tc>
          <w:tcPr>
            <w:tcW w:w="2765" w:type="dxa"/>
            <w:tcBorders>
              <w:top w:val="nil"/>
              <w:left w:val="single" w:sz="4" w:space="0" w:color="auto"/>
              <w:bottom w:val="nil"/>
              <w:right w:val="single" w:sz="4" w:space="0" w:color="auto"/>
            </w:tcBorders>
            <w:shd w:val="clear" w:color="auto" w:fill="auto"/>
            <w:vAlign w:val="bottom"/>
          </w:tcPr>
          <w:p w14:paraId="34F75612" w14:textId="77777777" w:rsidR="002D721D" w:rsidRPr="000E57AE" w:rsidRDefault="002D721D" w:rsidP="002D721D">
            <w:pPr>
              <w:keepNext/>
              <w:spacing w:line="276" w:lineRule="auto"/>
              <w:jc w:val="both"/>
              <w:rPr>
                <w:sz w:val="16"/>
              </w:rPr>
            </w:pPr>
            <w:r w:rsidRPr="000E57AE">
              <w:rPr>
                <w:rFonts w:eastAsia="Times New Roman"/>
                <w:color w:val="000000"/>
                <w:spacing w:val="0"/>
                <w:w w:val="100"/>
                <w:kern w:val="0"/>
                <w:sz w:val="16"/>
              </w:rPr>
              <w:t>Special purpose activities</w:t>
            </w:r>
          </w:p>
        </w:tc>
        <w:tc>
          <w:tcPr>
            <w:tcW w:w="1530" w:type="dxa"/>
            <w:tcBorders>
              <w:top w:val="nil"/>
              <w:left w:val="nil"/>
              <w:bottom w:val="nil"/>
              <w:right w:val="single" w:sz="4" w:space="0" w:color="auto"/>
            </w:tcBorders>
          </w:tcPr>
          <w:p w14:paraId="2562D717" w14:textId="02CA5A51" w:rsidR="002D721D" w:rsidRPr="000E57AE" w:rsidRDefault="002D721D" w:rsidP="002D721D">
            <w:pPr>
              <w:keepNext/>
              <w:spacing w:line="276" w:lineRule="auto"/>
              <w:jc w:val="right"/>
              <w:rPr>
                <w:rFonts w:eastAsia="Times New Roman"/>
                <w:color w:val="000000"/>
                <w:spacing w:val="0"/>
                <w:w w:val="100"/>
                <w:kern w:val="0"/>
                <w:sz w:val="16"/>
              </w:rPr>
            </w:pPr>
            <w:r>
              <w:rPr>
                <w:rFonts w:eastAsia="Times New Roman"/>
                <w:color w:val="000000"/>
                <w:spacing w:val="0"/>
                <w:w w:val="100"/>
                <w:kern w:val="0"/>
                <w:sz w:val="16"/>
              </w:rPr>
              <w:t>8</w:t>
            </w:r>
          </w:p>
        </w:tc>
        <w:tc>
          <w:tcPr>
            <w:tcW w:w="1530" w:type="dxa"/>
            <w:tcBorders>
              <w:top w:val="nil"/>
              <w:left w:val="single" w:sz="4" w:space="0" w:color="auto"/>
              <w:bottom w:val="nil"/>
              <w:right w:val="single" w:sz="4" w:space="0" w:color="auto"/>
            </w:tcBorders>
            <w:shd w:val="clear" w:color="auto" w:fill="auto"/>
            <w:vAlign w:val="bottom"/>
          </w:tcPr>
          <w:p w14:paraId="0FADD279" w14:textId="31BD6F14" w:rsidR="002D721D" w:rsidRPr="000E57AE" w:rsidRDefault="002D721D" w:rsidP="002D721D">
            <w:pPr>
              <w:keepNext/>
              <w:spacing w:line="276" w:lineRule="auto"/>
              <w:jc w:val="right"/>
              <w:rPr>
                <w:sz w:val="16"/>
              </w:rPr>
            </w:pPr>
            <w:r w:rsidRPr="00030DD4">
              <w:rPr>
                <w:rFonts w:eastAsia="Times New Roman"/>
                <w:color w:val="000000"/>
                <w:sz w:val="16"/>
              </w:rPr>
              <w:t xml:space="preserve">9 </w:t>
            </w:r>
          </w:p>
        </w:tc>
      </w:tr>
      <w:tr w:rsidR="002D721D" w:rsidRPr="000E57AE" w14:paraId="4560AC66" w14:textId="77777777" w:rsidTr="000B4547">
        <w:trPr>
          <w:trHeight w:val="216"/>
          <w:jc w:val="center"/>
        </w:trPr>
        <w:tc>
          <w:tcPr>
            <w:tcW w:w="276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D2CD65" w14:textId="77777777" w:rsidR="002D721D" w:rsidRPr="000E57AE" w:rsidRDefault="002D721D" w:rsidP="002D721D">
            <w:pPr>
              <w:keepNext/>
              <w:spacing w:line="276" w:lineRule="auto"/>
              <w:jc w:val="both"/>
              <w:rPr>
                <w:b/>
                <w:i/>
                <w:sz w:val="16"/>
                <w:szCs w:val="18"/>
              </w:rPr>
            </w:pPr>
            <w:r w:rsidRPr="000E57AE">
              <w:rPr>
                <w:rFonts w:eastAsia="Times New Roman"/>
                <w:b/>
                <w:bCs/>
                <w:i/>
                <w:iCs/>
                <w:color w:val="000000"/>
                <w:spacing w:val="0"/>
                <w:w w:val="100"/>
                <w:kern w:val="0"/>
                <w:sz w:val="16"/>
              </w:rPr>
              <w:t>Total</w:t>
            </w:r>
          </w:p>
        </w:tc>
        <w:tc>
          <w:tcPr>
            <w:tcW w:w="1530" w:type="dxa"/>
            <w:tcBorders>
              <w:top w:val="single" w:sz="4" w:space="0" w:color="auto"/>
              <w:left w:val="nil"/>
              <w:bottom w:val="single" w:sz="4" w:space="0" w:color="auto"/>
              <w:right w:val="single" w:sz="4" w:space="0" w:color="auto"/>
            </w:tcBorders>
            <w:shd w:val="clear" w:color="auto" w:fill="FFFFFF" w:themeFill="background1"/>
          </w:tcPr>
          <w:p w14:paraId="49D57F43" w14:textId="4EB6A9F9" w:rsidR="002D721D" w:rsidRPr="000E57AE" w:rsidRDefault="002D721D" w:rsidP="002D721D">
            <w:pPr>
              <w:keepNext/>
              <w:spacing w:line="276" w:lineRule="auto"/>
              <w:jc w:val="right"/>
              <w:rPr>
                <w:rFonts w:eastAsia="Times New Roman"/>
                <w:b/>
                <w:bCs/>
                <w:color w:val="000000"/>
                <w:spacing w:val="0"/>
                <w:w w:val="100"/>
                <w:kern w:val="0"/>
                <w:sz w:val="16"/>
              </w:rPr>
            </w:pPr>
            <w:r>
              <w:rPr>
                <w:rFonts w:eastAsia="Times New Roman"/>
                <w:b/>
                <w:bCs/>
                <w:color w:val="000000"/>
                <w:spacing w:val="0"/>
                <w:w w:val="100"/>
                <w:kern w:val="0"/>
                <w:sz w:val="16"/>
              </w:rPr>
              <w:t>667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1E6ABE" w14:textId="5CFCBA35" w:rsidR="002D721D" w:rsidRPr="000E57AE" w:rsidRDefault="002D721D" w:rsidP="002D721D">
            <w:pPr>
              <w:keepNext/>
              <w:spacing w:line="276" w:lineRule="auto"/>
              <w:jc w:val="right"/>
              <w:rPr>
                <w:sz w:val="16"/>
                <w:szCs w:val="18"/>
              </w:rPr>
            </w:pPr>
            <w:r w:rsidRPr="00030DD4">
              <w:rPr>
                <w:rFonts w:eastAsia="Times New Roman"/>
                <w:b/>
                <w:bCs/>
                <w:color w:val="000000"/>
                <w:sz w:val="16"/>
              </w:rPr>
              <w:t xml:space="preserve">560 </w:t>
            </w:r>
          </w:p>
        </w:tc>
      </w:tr>
    </w:tbl>
    <w:p w14:paraId="3AC90162" w14:textId="68FAF3A9" w:rsidR="0026176E" w:rsidRPr="000E57AE" w:rsidRDefault="002C3524" w:rsidP="009D4BB3">
      <w:pPr>
        <w:pStyle w:val="SingleTxt"/>
        <w:numPr>
          <w:ilvl w:val="0"/>
          <w:numId w:val="5"/>
        </w:numPr>
        <w:tabs>
          <w:tab w:val="clear" w:pos="1742"/>
          <w:tab w:val="clear" w:pos="2218"/>
          <w:tab w:val="left" w:pos="1530"/>
        </w:tabs>
        <w:spacing w:before="240" w:line="240" w:lineRule="auto"/>
      </w:pPr>
      <w:r w:rsidRPr="000E57AE">
        <w:t>A</w:t>
      </w:r>
      <w:r>
        <w:t>ppendix</w:t>
      </w:r>
      <w:r w:rsidR="0026176E" w:rsidRPr="000E57AE">
        <w:t xml:space="preserve"> III.A presents the integrated resources plan that covers regular and other resources for 2018-</w:t>
      </w:r>
      <w:r w:rsidR="00F77B36" w:rsidRPr="000E57AE">
        <w:t>20</w:t>
      </w:r>
      <w:r w:rsidR="00F77B36">
        <w:t>19</w:t>
      </w:r>
      <w:r w:rsidR="00F77B36" w:rsidRPr="000E57AE">
        <w:t xml:space="preserve"> </w:t>
      </w:r>
      <w:r w:rsidR="0026176E" w:rsidRPr="000E57AE">
        <w:t>and compares the plan with 201</w:t>
      </w:r>
      <w:r w:rsidR="0026176E" w:rsidRPr="000E57AE" w:rsidDel="0091272B">
        <w:t>8</w:t>
      </w:r>
      <w:r w:rsidR="00F77B36">
        <w:t>-</w:t>
      </w:r>
      <w:r w:rsidR="0026176E" w:rsidRPr="000E57AE">
        <w:t>201</w:t>
      </w:r>
      <w:r w:rsidR="0091272B">
        <w:t>9</w:t>
      </w:r>
      <w:r w:rsidR="0026176E" w:rsidRPr="000E57AE">
        <w:t xml:space="preserve"> actuals. This comparison shows that:</w:t>
      </w:r>
    </w:p>
    <w:p w14:paraId="4C46EC49" w14:textId="16FD1FF8" w:rsidR="002006FB" w:rsidRPr="000E57AE" w:rsidRDefault="6CE2B655" w:rsidP="00177E20">
      <w:pPr>
        <w:pStyle w:val="SingleTxt"/>
        <w:numPr>
          <w:ilvl w:val="2"/>
          <w:numId w:val="14"/>
        </w:numPr>
        <w:tabs>
          <w:tab w:val="clear" w:pos="1267"/>
          <w:tab w:val="clear" w:pos="1742"/>
          <w:tab w:val="clear" w:pos="2218"/>
          <w:tab w:val="left" w:pos="1620"/>
          <w:tab w:val="left" w:pos="2250"/>
        </w:tabs>
        <w:spacing w:before="240" w:after="240" w:line="240" w:lineRule="auto"/>
        <w:rPr>
          <w:rFonts w:eastAsia="Times New Roman"/>
        </w:rPr>
      </w:pPr>
      <w:r w:rsidRPr="00A60AC7">
        <w:t xml:space="preserve"> </w:t>
      </w:r>
      <w:r w:rsidR="0026176E" w:rsidRPr="00A60AC7">
        <w:t>activities reported in 201</w:t>
      </w:r>
      <w:r w:rsidR="00583B30" w:rsidRPr="00A60AC7">
        <w:t>9</w:t>
      </w:r>
      <w:r w:rsidR="0026176E" w:rsidRPr="00A60AC7">
        <w:t xml:space="preserve"> remain within the integrated resources plan;</w:t>
      </w:r>
    </w:p>
    <w:p w14:paraId="57E384A2" w14:textId="307A072B" w:rsidR="00D67C32" w:rsidRPr="00D67C32" w:rsidRDefault="65A4D3A2" w:rsidP="00177E20">
      <w:pPr>
        <w:pStyle w:val="SingleTxt"/>
        <w:numPr>
          <w:ilvl w:val="2"/>
          <w:numId w:val="14"/>
        </w:numPr>
        <w:tabs>
          <w:tab w:val="clear" w:pos="1267"/>
          <w:tab w:val="clear" w:pos="1742"/>
          <w:tab w:val="clear" w:pos="2218"/>
          <w:tab w:val="left" w:pos="1620"/>
          <w:tab w:val="left" w:pos="2250"/>
        </w:tabs>
        <w:spacing w:before="240" w:after="240" w:line="240" w:lineRule="auto"/>
      </w:pPr>
      <w:r w:rsidRPr="000E57AE">
        <w:t xml:space="preserve"> </w:t>
      </w:r>
      <w:r w:rsidR="0026176E" w:rsidRPr="000E57AE">
        <w:t>at the end of 201</w:t>
      </w:r>
      <w:r w:rsidR="00583B30">
        <w:t>9</w:t>
      </w:r>
      <w:r w:rsidR="0026176E" w:rsidRPr="000E57AE">
        <w:t>, the expenditure ratio for management activities (</w:t>
      </w:r>
      <w:r w:rsidR="008F3CF7">
        <w:t>regular (</w:t>
      </w:r>
      <w:r w:rsidR="0026176E" w:rsidRPr="000E57AE">
        <w:t>core</w:t>
      </w:r>
      <w:r w:rsidR="008F3CF7">
        <w:t>)</w:t>
      </w:r>
      <w:r w:rsidR="0026176E" w:rsidRPr="000E57AE">
        <w:t xml:space="preserve"> </w:t>
      </w:r>
      <w:r w:rsidR="003D2C74" w:rsidRPr="0043301C">
        <w:t>and</w:t>
      </w:r>
      <w:r w:rsidR="0026176E" w:rsidRPr="000E57AE">
        <w:t xml:space="preserve"> </w:t>
      </w:r>
      <w:r w:rsidR="008F3CF7">
        <w:t>other (</w:t>
      </w:r>
      <w:r w:rsidR="0026176E" w:rsidRPr="000E57AE">
        <w:t>non-core</w:t>
      </w:r>
      <w:r w:rsidR="008F3CF7">
        <w:t>)</w:t>
      </w:r>
      <w:r w:rsidR="0026176E" w:rsidRPr="000E57AE">
        <w:t>)</w:t>
      </w:r>
      <w:r w:rsidR="006017A3">
        <w:rPr>
          <w:rStyle w:val="FootnoteReference"/>
        </w:rPr>
        <w:footnoteReference w:id="5"/>
      </w:r>
      <w:r w:rsidR="0026176E" w:rsidRPr="000E57AE">
        <w:t xml:space="preserve"> to total activities (i.e.</w:t>
      </w:r>
      <w:r w:rsidR="000C4DE4">
        <w:t>,</w:t>
      </w:r>
      <w:r w:rsidR="0026176E" w:rsidRPr="000E57AE">
        <w:t xml:space="preserve"> management efficiency ratio) was </w:t>
      </w:r>
      <w:r w:rsidR="00A82DD0">
        <w:t>7.5</w:t>
      </w:r>
      <w:r w:rsidR="0026176E" w:rsidRPr="000E57AE">
        <w:t xml:space="preserve"> per cent (201</w:t>
      </w:r>
      <w:r w:rsidR="00A82DD0">
        <w:t>8</w:t>
      </w:r>
      <w:r w:rsidR="000A1FC9" w:rsidRPr="000E57AE">
        <w:t>:</w:t>
      </w:r>
      <w:r w:rsidR="0026176E" w:rsidRPr="000E57AE">
        <w:t xml:space="preserve"> </w:t>
      </w:r>
      <w:r w:rsidR="00A82DD0">
        <w:t>6.</w:t>
      </w:r>
      <w:r w:rsidR="000636B0">
        <w:t>7</w:t>
      </w:r>
      <w:r w:rsidR="0026176E" w:rsidRPr="000E57AE">
        <w:t xml:space="preserve"> per cent)</w:t>
      </w:r>
      <w:r w:rsidR="0065428D" w:rsidRPr="000E57AE">
        <w:t>;</w:t>
      </w:r>
      <w:r w:rsidR="0026176E" w:rsidRPr="000E57AE">
        <w:t xml:space="preserve"> </w:t>
      </w:r>
    </w:p>
    <w:p w14:paraId="4E642C11" w14:textId="703B1B44" w:rsidR="0026176E" w:rsidRPr="00DC38D5" w:rsidRDefault="20AD0A7F" w:rsidP="00177E20">
      <w:pPr>
        <w:pStyle w:val="SingleTxt"/>
        <w:numPr>
          <w:ilvl w:val="2"/>
          <w:numId w:val="14"/>
        </w:numPr>
        <w:tabs>
          <w:tab w:val="clear" w:pos="1267"/>
          <w:tab w:val="clear" w:pos="1742"/>
          <w:tab w:val="clear" w:pos="2218"/>
          <w:tab w:val="left" w:pos="1620"/>
          <w:tab w:val="left" w:pos="2250"/>
        </w:tabs>
        <w:spacing w:before="240" w:after="240" w:line="240" w:lineRule="auto"/>
        <w:rPr>
          <w:lang w:val="en-US"/>
        </w:rPr>
      </w:pPr>
      <w:r>
        <w:t xml:space="preserve"> </w:t>
      </w:r>
      <w:r w:rsidR="000C4DE4">
        <w:t xml:space="preserve">the </w:t>
      </w:r>
      <w:r w:rsidR="0026176E" w:rsidRPr="000E57AE">
        <w:t>overall expenditure</w:t>
      </w:r>
      <w:r w:rsidR="000C4DE4">
        <w:t xml:space="preserve"> </w:t>
      </w:r>
      <w:r w:rsidR="0026176E" w:rsidRPr="000E57AE">
        <w:t xml:space="preserve">level of programmatic activities </w:t>
      </w:r>
      <w:r w:rsidR="00F771F5">
        <w:t>at the end of</w:t>
      </w:r>
      <w:r w:rsidR="00F771F5" w:rsidRPr="000E57AE">
        <w:t xml:space="preserve"> </w:t>
      </w:r>
      <w:r w:rsidR="0026176E" w:rsidRPr="000E57AE">
        <w:t>201</w:t>
      </w:r>
      <w:r w:rsidR="000636B0">
        <w:t>9</w:t>
      </w:r>
      <w:r w:rsidR="0026176E" w:rsidRPr="000E57AE">
        <w:t xml:space="preserve"> </w:t>
      </w:r>
      <w:r w:rsidR="00D61963">
        <w:t>reache</w:t>
      </w:r>
      <w:r w:rsidR="00B72FC4">
        <w:t>d</w:t>
      </w:r>
      <w:r w:rsidR="00D61963">
        <w:t xml:space="preserve"> </w:t>
      </w:r>
      <w:r w:rsidR="007F408F">
        <w:t>90.7</w:t>
      </w:r>
      <w:r w:rsidR="0026176E" w:rsidRPr="00D61963">
        <w:t xml:space="preserve"> per cent (</w:t>
      </w:r>
      <w:r w:rsidR="00E968FB">
        <w:t>2018: 90</w:t>
      </w:r>
      <w:r w:rsidR="0026176E" w:rsidRPr="00D61963">
        <w:t>.6 per cent).</w:t>
      </w:r>
    </w:p>
    <w:p w14:paraId="108F86BD" w14:textId="2558C4BD" w:rsidR="0026176E" w:rsidRPr="000E57AE" w:rsidRDefault="00F57891" w:rsidP="009D4BB3">
      <w:pPr>
        <w:pStyle w:val="SingleTxt"/>
        <w:numPr>
          <w:ilvl w:val="0"/>
          <w:numId w:val="5"/>
        </w:numPr>
        <w:tabs>
          <w:tab w:val="clear" w:pos="1742"/>
          <w:tab w:val="clear" w:pos="2218"/>
          <w:tab w:val="left" w:pos="1530"/>
        </w:tabs>
        <w:spacing w:before="240" w:after="240" w:line="240" w:lineRule="auto"/>
      </w:pPr>
      <w:r w:rsidRPr="000E57AE">
        <w:t>A</w:t>
      </w:r>
      <w:r>
        <w:t>ppendix</w:t>
      </w:r>
      <w:r w:rsidR="0026176E" w:rsidRPr="000E57AE">
        <w:t xml:space="preserve"> III.B presents 201</w:t>
      </w:r>
      <w:r w:rsidR="0026176E" w:rsidRPr="000E57AE" w:rsidDel="00761234">
        <w:t>8</w:t>
      </w:r>
      <w:r w:rsidR="00EB5020">
        <w:t>-</w:t>
      </w:r>
      <w:r w:rsidR="0026176E" w:rsidRPr="000E57AE">
        <w:t>201</w:t>
      </w:r>
      <w:r w:rsidR="00761234">
        <w:t>9</w:t>
      </w:r>
      <w:r w:rsidR="0026176E" w:rsidRPr="000E57AE">
        <w:t xml:space="preserve"> actuals versus estimates of the institutional components of the integrated resources plan by category of expenditures, while </w:t>
      </w:r>
      <w:r>
        <w:t>appendix</w:t>
      </w:r>
      <w:r w:rsidR="0026176E" w:rsidRPr="000E57AE">
        <w:t xml:space="preserve"> III.C presents information on resources allocated to posts by location.</w:t>
      </w:r>
    </w:p>
    <w:bookmarkEnd w:id="235"/>
    <w:p w14:paraId="7F05C532" w14:textId="24285E70" w:rsidR="003A32A3" w:rsidRPr="000E57AE" w:rsidRDefault="006A4015" w:rsidP="005F648C">
      <w:pPr>
        <w:pStyle w:val="HCh"/>
        <w:numPr>
          <w:ilvl w:val="0"/>
          <w:numId w:val="13"/>
        </w:numPr>
        <w:spacing w:before="360" w:after="240" w:line="240" w:lineRule="auto"/>
        <w:ind w:right="1267"/>
      </w:pPr>
      <w:r>
        <w:tab/>
      </w:r>
      <w:bookmarkStart w:id="354" w:name="_Toc46399212"/>
      <w:r w:rsidR="0044151A" w:rsidRPr="000E57AE">
        <w:t xml:space="preserve">Financial </w:t>
      </w:r>
      <w:r w:rsidR="00E82350" w:rsidRPr="000E57AE">
        <w:t>p</w:t>
      </w:r>
      <w:r w:rsidR="0044151A" w:rsidRPr="000E57AE">
        <w:t>osition</w:t>
      </w:r>
      <w:bookmarkEnd w:id="354"/>
    </w:p>
    <w:p w14:paraId="74F45DFF" w14:textId="1ABA1D9E" w:rsidR="00717F24" w:rsidRPr="009E5F63" w:rsidRDefault="004D3601" w:rsidP="005F648C">
      <w:pPr>
        <w:pStyle w:val="H1"/>
        <w:numPr>
          <w:ilvl w:val="1"/>
          <w:numId w:val="7"/>
        </w:numPr>
        <w:tabs>
          <w:tab w:val="clear" w:pos="1022"/>
          <w:tab w:val="clear" w:pos="1742"/>
          <w:tab w:val="right" w:pos="1440"/>
          <w:tab w:val="left" w:pos="1800"/>
        </w:tabs>
        <w:spacing w:before="240" w:after="240" w:line="240" w:lineRule="auto"/>
        <w:ind w:left="1152" w:right="0"/>
        <w:outlineLvl w:val="1"/>
      </w:pPr>
      <w:bookmarkStart w:id="355" w:name="_Toc39596168"/>
      <w:bookmarkStart w:id="356" w:name="_Toc39596212"/>
      <w:bookmarkStart w:id="357" w:name="_Toc39596256"/>
      <w:bookmarkStart w:id="358" w:name="_Toc46399213"/>
      <w:bookmarkStart w:id="359" w:name="_Hlk1477398"/>
      <w:bookmarkEnd w:id="355"/>
      <w:bookmarkEnd w:id="356"/>
      <w:bookmarkEnd w:id="357"/>
      <w:r w:rsidRPr="000E57AE">
        <w:t>Assets</w:t>
      </w:r>
      <w:bookmarkEnd w:id="358"/>
    </w:p>
    <w:bookmarkEnd w:id="359"/>
    <w:p w14:paraId="2327BEAB" w14:textId="2ACCA4B4" w:rsidR="009972C4" w:rsidRPr="000E5B58" w:rsidRDefault="00970A1E" w:rsidP="009D4BB3">
      <w:pPr>
        <w:pStyle w:val="SingleTxt"/>
        <w:numPr>
          <w:ilvl w:val="0"/>
          <w:numId w:val="5"/>
        </w:numPr>
        <w:tabs>
          <w:tab w:val="clear" w:pos="1742"/>
          <w:tab w:val="clear" w:pos="2218"/>
          <w:tab w:val="left" w:pos="1530"/>
        </w:tabs>
        <w:suppressAutoHyphens w:val="0"/>
        <w:spacing w:before="240" w:after="240" w:line="240" w:lineRule="auto"/>
        <w:rPr>
          <w:b/>
        </w:rPr>
      </w:pPr>
      <w:r w:rsidRPr="000E57AE">
        <w:t>Total assets registered $</w:t>
      </w:r>
      <w:r w:rsidR="00603373" w:rsidRPr="000E57AE">
        <w:t>12</w:t>
      </w:r>
      <w:r w:rsidR="00492099">
        <w:t>.</w:t>
      </w:r>
      <w:r w:rsidR="00E77522">
        <w:t>5</w:t>
      </w:r>
      <w:r w:rsidR="00E9711F" w:rsidRPr="000E57AE">
        <w:t xml:space="preserve"> </w:t>
      </w:r>
      <w:r w:rsidR="00F029F6">
        <w:t>b</w:t>
      </w:r>
      <w:r w:rsidR="00E9711F" w:rsidRPr="000E57AE">
        <w:t>illion (201</w:t>
      </w:r>
      <w:r w:rsidR="00036B97">
        <w:t>8</w:t>
      </w:r>
      <w:r w:rsidR="00415E70" w:rsidRPr="000E57AE">
        <w:t xml:space="preserve"> restated</w:t>
      </w:r>
      <w:r w:rsidR="00E9711F" w:rsidRPr="000E57AE">
        <w:t>: $</w:t>
      </w:r>
      <w:r w:rsidR="00036B97">
        <w:t>12</w:t>
      </w:r>
      <w:r w:rsidR="00492099">
        <w:t>.</w:t>
      </w:r>
      <w:r w:rsidR="00036B97">
        <w:t>2</w:t>
      </w:r>
      <w:r w:rsidR="00E9711F" w:rsidRPr="000E57AE">
        <w:t xml:space="preserve"> </w:t>
      </w:r>
      <w:r w:rsidR="006E6EBB">
        <w:t>b</w:t>
      </w:r>
      <w:r w:rsidR="00E9711F" w:rsidRPr="000E57AE">
        <w:t>illion)</w:t>
      </w:r>
      <w:r w:rsidR="00766914" w:rsidRPr="000E57AE">
        <w:t>,</w:t>
      </w:r>
      <w:r w:rsidR="004F6372" w:rsidRPr="000E57AE">
        <w:t xml:space="preserve"> representing an increase of </w:t>
      </w:r>
      <w:r w:rsidR="005F70EE">
        <w:t>2</w:t>
      </w:r>
      <w:r w:rsidR="00B4722F" w:rsidRPr="000E57AE">
        <w:t xml:space="preserve"> per</w:t>
      </w:r>
      <w:r w:rsidR="00B61A0A" w:rsidRPr="000E57AE">
        <w:t xml:space="preserve"> </w:t>
      </w:r>
      <w:r w:rsidR="00B4722F" w:rsidRPr="000E57AE">
        <w:t xml:space="preserve">cent. </w:t>
      </w:r>
      <w:r w:rsidR="00F123BD" w:rsidRPr="000E57AE">
        <w:t xml:space="preserve">UNDP assets consist mainly of </w:t>
      </w:r>
      <w:r w:rsidR="007E4833" w:rsidRPr="000E57AE">
        <w:t>investments</w:t>
      </w:r>
      <w:r w:rsidR="00F123BD" w:rsidRPr="000E57AE">
        <w:t xml:space="preserve"> to fund known liabilities, as well as </w:t>
      </w:r>
      <w:r w:rsidR="00A47F7C" w:rsidRPr="000E57AE">
        <w:t xml:space="preserve">contributions receivable, as set out below. </w:t>
      </w:r>
    </w:p>
    <w:p w14:paraId="34DEDD9C" w14:textId="63F122FF" w:rsidR="000B1F9D" w:rsidRPr="000E57AE" w:rsidRDefault="00B937C4" w:rsidP="5D788B90">
      <w:pPr>
        <w:pStyle w:val="SingleTxt"/>
        <w:keepNext/>
        <w:tabs>
          <w:tab w:val="clear" w:pos="2218"/>
        </w:tabs>
        <w:spacing w:after="0"/>
        <w:ind w:left="2398" w:hanging="1138"/>
        <w:jc w:val="center"/>
        <w:rPr>
          <w:b/>
          <w:bCs/>
        </w:rPr>
      </w:pPr>
      <w:r w:rsidRPr="5D788B90">
        <w:rPr>
          <w:b/>
          <w:bCs/>
        </w:rPr>
        <w:t xml:space="preserve">Figure </w:t>
      </w:r>
      <w:r w:rsidR="004D4DCC">
        <w:rPr>
          <w:b/>
          <w:bCs/>
        </w:rPr>
        <w:t>VI</w:t>
      </w:r>
      <w:r w:rsidR="00A1202C" w:rsidRPr="5D788B90">
        <w:rPr>
          <w:b/>
          <w:bCs/>
        </w:rPr>
        <w:t xml:space="preserve">.  </w:t>
      </w:r>
      <w:r w:rsidR="000B1F9D" w:rsidRPr="5D788B90">
        <w:rPr>
          <w:b/>
          <w:bCs/>
        </w:rPr>
        <w:t xml:space="preserve">UNDP </w:t>
      </w:r>
      <w:r w:rsidR="00452A2D" w:rsidRPr="5D788B90">
        <w:rPr>
          <w:b/>
          <w:bCs/>
        </w:rPr>
        <w:t>a</w:t>
      </w:r>
      <w:r w:rsidR="000B1F9D" w:rsidRPr="5D788B90">
        <w:rPr>
          <w:b/>
          <w:bCs/>
        </w:rPr>
        <w:t>ssets, 201</w:t>
      </w:r>
      <w:r w:rsidR="005F70EE" w:rsidRPr="5D788B90">
        <w:rPr>
          <w:b/>
          <w:bCs/>
        </w:rPr>
        <w:t>8</w:t>
      </w:r>
      <w:r w:rsidR="008240A8" w:rsidRPr="5D788B90">
        <w:rPr>
          <w:b/>
          <w:bCs/>
        </w:rPr>
        <w:t>-</w:t>
      </w:r>
      <w:r w:rsidR="000B1F9D" w:rsidRPr="5D788B90">
        <w:rPr>
          <w:b/>
          <w:bCs/>
        </w:rPr>
        <w:t>201</w:t>
      </w:r>
      <w:r w:rsidR="005F70EE" w:rsidRPr="5D788B90">
        <w:rPr>
          <w:b/>
          <w:bCs/>
        </w:rPr>
        <w:t>9</w:t>
      </w:r>
    </w:p>
    <w:p w14:paraId="162FC18F" w14:textId="021482B6" w:rsidR="00C4165F" w:rsidRDefault="00D05F08" w:rsidP="00F875D7">
      <w:pPr>
        <w:pStyle w:val="SingleTxt"/>
        <w:keepNext/>
        <w:tabs>
          <w:tab w:val="clear" w:pos="2218"/>
        </w:tabs>
        <w:ind w:left="3024" w:hanging="1764"/>
        <w:jc w:val="center"/>
        <w:rPr>
          <w:i/>
          <w:iCs/>
        </w:rPr>
      </w:pPr>
      <w:r>
        <w:rPr>
          <w:noProof/>
        </w:rPr>
        <w:drawing>
          <wp:anchor distT="0" distB="0" distL="114300" distR="114300" simplePos="0" relativeHeight="251658252" behindDoc="1" locked="0" layoutInCell="1" allowOverlap="1" wp14:anchorId="1C259585" wp14:editId="68191DAA">
            <wp:simplePos x="0" y="0"/>
            <wp:positionH relativeFrom="column">
              <wp:posOffset>514350</wp:posOffset>
            </wp:positionH>
            <wp:positionV relativeFrom="paragraph">
              <wp:posOffset>172720</wp:posOffset>
            </wp:positionV>
            <wp:extent cx="5314950" cy="2381250"/>
            <wp:effectExtent l="0" t="0" r="0" b="0"/>
            <wp:wrapTight wrapText="bothSides">
              <wp:wrapPolygon edited="0">
                <wp:start x="0" y="0"/>
                <wp:lineTo x="0" y="21427"/>
                <wp:lineTo x="21523" y="21427"/>
                <wp:lineTo x="2152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14950" cy="2381250"/>
                    </a:xfrm>
                    <a:prstGeom prst="rect">
                      <a:avLst/>
                    </a:prstGeom>
                  </pic:spPr>
                </pic:pic>
              </a:graphicData>
            </a:graphic>
            <wp14:sizeRelH relativeFrom="margin">
              <wp14:pctWidth>0</wp14:pctWidth>
            </wp14:sizeRelH>
            <wp14:sizeRelV relativeFrom="margin">
              <wp14:pctHeight>0</wp14:pctHeight>
            </wp14:sizeRelV>
          </wp:anchor>
        </w:drawing>
      </w:r>
      <w:r w:rsidR="00B61A0A" w:rsidRPr="5D788B90">
        <w:rPr>
          <w:i/>
          <w:iCs/>
        </w:rPr>
        <w:t xml:space="preserve">(in millions of </w:t>
      </w:r>
      <w:r w:rsidR="008240A8" w:rsidRPr="5D788B90">
        <w:rPr>
          <w:i/>
          <w:iCs/>
        </w:rPr>
        <w:t xml:space="preserve">United States </w:t>
      </w:r>
      <w:r w:rsidR="00B61A0A" w:rsidRPr="5D788B90">
        <w:rPr>
          <w:i/>
          <w:iCs/>
        </w:rPr>
        <w:t>dollars)</w:t>
      </w:r>
      <w:bookmarkStart w:id="360" w:name="_Toc39596258"/>
      <w:bookmarkStart w:id="361" w:name="_Toc40281206"/>
      <w:bookmarkStart w:id="362" w:name="_Toc40281365"/>
      <w:bookmarkStart w:id="363" w:name="_Toc44499892"/>
    </w:p>
    <w:p w14:paraId="56089FFD" w14:textId="35F8728C" w:rsidR="00033B7C" w:rsidRPr="00F875D7" w:rsidRDefault="00033B7C" w:rsidP="00F875D7">
      <w:pPr>
        <w:pStyle w:val="SingleTxt"/>
        <w:keepNext/>
        <w:tabs>
          <w:tab w:val="clear" w:pos="2218"/>
        </w:tabs>
        <w:ind w:left="3024" w:hanging="1764"/>
        <w:jc w:val="center"/>
        <w:rPr>
          <w:i/>
          <w:iCs/>
        </w:rPr>
      </w:pPr>
    </w:p>
    <w:p w14:paraId="7EA6C807" w14:textId="24F37BC9" w:rsidR="00472981" w:rsidRPr="009E5F63" w:rsidRDefault="00472981" w:rsidP="009E5F63">
      <w:pPr>
        <w:pStyle w:val="H4"/>
        <w:tabs>
          <w:tab w:val="clear" w:pos="1742"/>
          <w:tab w:val="left" w:pos="1440"/>
          <w:tab w:val="left" w:pos="1620"/>
        </w:tabs>
        <w:spacing w:before="240" w:after="240" w:line="240" w:lineRule="auto"/>
        <w:ind w:left="1008" w:firstLine="0"/>
        <w:outlineLvl w:val="2"/>
      </w:pPr>
      <w:bookmarkStart w:id="364" w:name="_Toc44603240"/>
      <w:bookmarkStart w:id="365" w:name="_Toc44606553"/>
      <w:bookmarkStart w:id="366" w:name="_Toc45297438"/>
      <w:bookmarkStart w:id="367" w:name="_Toc46221150"/>
      <w:bookmarkStart w:id="368" w:name="_Toc46399214"/>
      <w:r w:rsidRPr="000E57AE">
        <w:t>Cash and investments</w:t>
      </w:r>
      <w:bookmarkEnd w:id="360"/>
      <w:bookmarkEnd w:id="361"/>
      <w:bookmarkEnd w:id="362"/>
      <w:bookmarkEnd w:id="363"/>
      <w:bookmarkEnd w:id="364"/>
      <w:bookmarkEnd w:id="365"/>
      <w:bookmarkEnd w:id="366"/>
      <w:bookmarkEnd w:id="367"/>
      <w:bookmarkEnd w:id="368"/>
    </w:p>
    <w:p w14:paraId="5F54AADA" w14:textId="337AB877" w:rsidR="002C1049" w:rsidRPr="00B92C08" w:rsidRDefault="009960EC" w:rsidP="009D4BB3">
      <w:pPr>
        <w:pStyle w:val="SingleTxt"/>
        <w:numPr>
          <w:ilvl w:val="0"/>
          <w:numId w:val="5"/>
        </w:numPr>
        <w:tabs>
          <w:tab w:val="clear" w:pos="1742"/>
          <w:tab w:val="clear" w:pos="2218"/>
          <w:tab w:val="left" w:pos="1530"/>
        </w:tabs>
        <w:spacing w:before="240" w:after="240" w:line="240" w:lineRule="auto"/>
        <w:rPr>
          <w:lang w:val="en-US"/>
        </w:rPr>
      </w:pPr>
      <w:r w:rsidRPr="000E57AE">
        <w:t xml:space="preserve">Total </w:t>
      </w:r>
      <w:r w:rsidR="00DE2BC5" w:rsidRPr="000E57AE">
        <w:t>cash and cash eq</w:t>
      </w:r>
      <w:r w:rsidR="005D5895" w:rsidRPr="000E57AE">
        <w:t>u</w:t>
      </w:r>
      <w:r w:rsidR="00DE2BC5" w:rsidRPr="000E57AE">
        <w:t xml:space="preserve">ivalents </w:t>
      </w:r>
      <w:r w:rsidR="005D5895" w:rsidRPr="000E57AE">
        <w:t xml:space="preserve">and </w:t>
      </w:r>
      <w:r w:rsidR="00C734EB" w:rsidRPr="000E57AE">
        <w:t xml:space="preserve">investments </w:t>
      </w:r>
      <w:r w:rsidR="00DB0C47" w:rsidRPr="000E57AE">
        <w:t>amounted to $</w:t>
      </w:r>
      <w:r w:rsidR="006548E0">
        <w:t>527</w:t>
      </w:r>
      <w:r w:rsidR="00DB0C47" w:rsidRPr="000E57AE">
        <w:t xml:space="preserve"> million and $</w:t>
      </w:r>
      <w:r w:rsidR="00F3040E">
        <w:t>6</w:t>
      </w:r>
      <w:r w:rsidR="00492099">
        <w:t>.</w:t>
      </w:r>
      <w:r w:rsidR="009B76FC">
        <w:t>5</w:t>
      </w:r>
      <w:r w:rsidR="00492099">
        <w:t xml:space="preserve"> billion</w:t>
      </w:r>
      <w:r w:rsidR="0015701C">
        <w:t>,</w:t>
      </w:r>
      <w:r w:rsidR="00DB0C47" w:rsidRPr="000E57AE">
        <w:t xml:space="preserve"> respectively</w:t>
      </w:r>
      <w:r w:rsidR="00CB5862" w:rsidRPr="000E57AE">
        <w:t>.</w:t>
      </w:r>
      <w:r w:rsidR="00D2391E" w:rsidRPr="27DE5AD2">
        <w:rPr>
          <w:rFonts w:asciiTheme="minorHAnsi" w:eastAsiaTheme="minorEastAsia" w:hAnsiTheme="minorHAnsi" w:cstheme="minorBidi"/>
          <w:b/>
          <w:sz w:val="22"/>
          <w:szCs w:val="22"/>
          <w:lang w:val="en-US"/>
        </w:rPr>
        <w:t xml:space="preserve"> </w:t>
      </w:r>
    </w:p>
    <w:p w14:paraId="4E2B6634" w14:textId="2810A1CD" w:rsidR="001326F4" w:rsidRPr="000E57AE" w:rsidRDefault="00986235" w:rsidP="009D4BB3">
      <w:pPr>
        <w:pStyle w:val="SingleTxt"/>
        <w:numPr>
          <w:ilvl w:val="0"/>
          <w:numId w:val="5"/>
        </w:numPr>
        <w:tabs>
          <w:tab w:val="clear" w:pos="1742"/>
          <w:tab w:val="clear" w:pos="2218"/>
          <w:tab w:val="left" w:pos="1530"/>
        </w:tabs>
        <w:spacing w:before="240" w:after="240" w:line="240" w:lineRule="auto"/>
      </w:pPr>
      <w:r w:rsidRPr="000E57AE">
        <w:t xml:space="preserve">The </w:t>
      </w:r>
      <w:r w:rsidR="00584DAB" w:rsidRPr="000E57AE">
        <w:t>majority</w:t>
      </w:r>
      <w:r w:rsidR="001578CC" w:rsidRPr="000E57AE">
        <w:t xml:space="preserve"> </w:t>
      </w:r>
      <w:r w:rsidR="00584DAB" w:rsidRPr="000E57AE">
        <w:t xml:space="preserve">of investments and cash and cash equivalents </w:t>
      </w:r>
      <w:r w:rsidR="00BF4C75" w:rsidRPr="000E57AE">
        <w:t xml:space="preserve">in other resources </w:t>
      </w:r>
      <w:r w:rsidR="00584DAB" w:rsidRPr="000E57AE">
        <w:t xml:space="preserve">are </w:t>
      </w:r>
      <w:r w:rsidR="00CB6AC7" w:rsidRPr="000E57AE">
        <w:t xml:space="preserve">earmarked for programme activities </w:t>
      </w:r>
      <w:r w:rsidR="00BE0D2F" w:rsidRPr="000E57AE">
        <w:t>funded through cost-sharing and trust fund agreements with donors</w:t>
      </w:r>
      <w:r w:rsidR="001578CC" w:rsidRPr="000E57AE">
        <w:t xml:space="preserve">. </w:t>
      </w:r>
      <w:r w:rsidR="00992880" w:rsidRPr="000E57AE">
        <w:t>The investments</w:t>
      </w:r>
      <w:r w:rsidR="00F75026" w:rsidRPr="000E57AE">
        <w:t xml:space="preserve"> and cash equivalents in </w:t>
      </w:r>
      <w:r w:rsidR="00E374EA" w:rsidRPr="000E57AE">
        <w:t xml:space="preserve">regular resources and other resources </w:t>
      </w:r>
      <w:r w:rsidR="001326F4" w:rsidRPr="000E57AE">
        <w:t xml:space="preserve">also </w:t>
      </w:r>
      <w:r w:rsidR="00EF3A5C" w:rsidRPr="000E57AE">
        <w:t>include</w:t>
      </w:r>
      <w:r w:rsidR="00AF1D2C">
        <w:t>s</w:t>
      </w:r>
      <w:r w:rsidR="00EF3A5C" w:rsidRPr="000E57AE">
        <w:t xml:space="preserve"> </w:t>
      </w:r>
      <w:r w:rsidR="00782C88" w:rsidRPr="000E57AE">
        <w:t>$</w:t>
      </w:r>
      <w:r w:rsidR="00367DC3">
        <w:t>775</w:t>
      </w:r>
      <w:r w:rsidR="00142C8D" w:rsidRPr="000E57AE">
        <w:t xml:space="preserve"> million for </w:t>
      </w:r>
      <w:r w:rsidR="0015701C">
        <w:t xml:space="preserve">after-service health insurance </w:t>
      </w:r>
      <w:r w:rsidR="00B0558E" w:rsidRPr="00B0558E">
        <w:t>(ASHI)</w:t>
      </w:r>
      <w:r w:rsidR="00B0558E">
        <w:t xml:space="preserve"> </w:t>
      </w:r>
      <w:r w:rsidR="006F620A" w:rsidRPr="000E57AE">
        <w:t>and the amount</w:t>
      </w:r>
      <w:r w:rsidR="00D05994" w:rsidRPr="000E57AE">
        <w:t xml:space="preserve"> invested for </w:t>
      </w:r>
      <w:r w:rsidR="00BA02F2" w:rsidRPr="000E57AE">
        <w:t xml:space="preserve">the </w:t>
      </w:r>
      <w:r w:rsidR="00BC33B8" w:rsidRPr="000E57AE">
        <w:t xml:space="preserve">Executive Board mandated </w:t>
      </w:r>
      <w:r w:rsidR="00531DC0" w:rsidRPr="000E57AE">
        <w:t xml:space="preserve">operational </w:t>
      </w:r>
      <w:r w:rsidR="00BA02F2" w:rsidRPr="000E57AE">
        <w:t>reserves of $</w:t>
      </w:r>
      <w:r w:rsidR="00EE1E1E">
        <w:t>283</w:t>
      </w:r>
      <w:r w:rsidR="006D6B85">
        <w:t> </w:t>
      </w:r>
      <w:r w:rsidR="00BA02F2" w:rsidRPr="000E57AE">
        <w:t>million</w:t>
      </w:r>
      <w:r w:rsidR="00BC33B8" w:rsidRPr="000E57AE">
        <w:t xml:space="preserve"> and </w:t>
      </w:r>
      <w:r w:rsidR="0015701C">
        <w:t xml:space="preserve">the Programme of Assistance to the Palestinian People </w:t>
      </w:r>
      <w:r w:rsidR="006D6B85">
        <w:t xml:space="preserve">(PAPP) </w:t>
      </w:r>
      <w:r w:rsidR="00BC33B8" w:rsidRPr="000E57AE">
        <w:t>Endowment Fund of $3</w:t>
      </w:r>
      <w:r w:rsidR="0015701C">
        <w:t> </w:t>
      </w:r>
      <w:r w:rsidR="00346C4D" w:rsidRPr="000E57AE">
        <w:t>million</w:t>
      </w:r>
      <w:r w:rsidR="00C26EA7" w:rsidRPr="000E57AE">
        <w:t>.</w:t>
      </w:r>
    </w:p>
    <w:p w14:paraId="71FCC024" w14:textId="7CA79580" w:rsidR="00722D46" w:rsidRPr="000E57AE" w:rsidRDefault="001326F4" w:rsidP="009D4BB3">
      <w:pPr>
        <w:pStyle w:val="SingleTxt"/>
        <w:numPr>
          <w:ilvl w:val="0"/>
          <w:numId w:val="5"/>
        </w:numPr>
        <w:tabs>
          <w:tab w:val="clear" w:pos="1742"/>
          <w:tab w:val="clear" w:pos="2218"/>
          <w:tab w:val="left" w:pos="1530"/>
        </w:tabs>
        <w:spacing w:before="240" w:after="240" w:line="240" w:lineRule="auto"/>
      </w:pPr>
      <w:r w:rsidRPr="000E57AE">
        <w:t xml:space="preserve">The </w:t>
      </w:r>
      <w:r w:rsidR="00986235" w:rsidRPr="000E57AE">
        <w:t xml:space="preserve">total </w:t>
      </w:r>
      <w:r w:rsidR="00185F29" w:rsidRPr="000E57AE">
        <w:t xml:space="preserve">cash and investments </w:t>
      </w:r>
      <w:r w:rsidRPr="000E57AE">
        <w:t xml:space="preserve">for </w:t>
      </w:r>
      <w:r w:rsidR="002967DF">
        <w:t>Multi-Partner Trust Fund Office</w:t>
      </w:r>
      <w:r w:rsidRPr="000E57AE">
        <w:t xml:space="preserve"> </w:t>
      </w:r>
      <w:r w:rsidR="00986235" w:rsidRPr="000E57AE">
        <w:t>of $</w:t>
      </w:r>
      <w:r w:rsidR="002967DF">
        <w:t>874</w:t>
      </w:r>
      <w:r w:rsidR="00986235" w:rsidRPr="000E57AE">
        <w:t xml:space="preserve"> </w:t>
      </w:r>
      <w:r w:rsidR="00185F29" w:rsidRPr="000E57AE">
        <w:t xml:space="preserve">million </w:t>
      </w:r>
      <w:r w:rsidR="00434BCA" w:rsidRPr="000E57AE">
        <w:t xml:space="preserve">(cash and cash equivalents of </w:t>
      </w:r>
      <w:r w:rsidR="00041766" w:rsidRPr="000E57AE">
        <w:t>$</w:t>
      </w:r>
      <w:r w:rsidR="00FB3DBD">
        <w:t>286</w:t>
      </w:r>
      <w:r w:rsidR="00041766" w:rsidRPr="000E57AE">
        <w:t xml:space="preserve"> million and investments </w:t>
      </w:r>
      <w:r w:rsidR="0015701C">
        <w:t xml:space="preserve">of </w:t>
      </w:r>
      <w:r w:rsidR="00041766" w:rsidRPr="000E57AE">
        <w:t>$</w:t>
      </w:r>
      <w:r w:rsidR="004F46BD">
        <w:t>588</w:t>
      </w:r>
      <w:r w:rsidR="00041766" w:rsidRPr="000E57AE">
        <w:t xml:space="preserve"> million) </w:t>
      </w:r>
      <w:r w:rsidR="00FD476B" w:rsidRPr="000E57AE">
        <w:t xml:space="preserve">represent funds provided to UNDP by </w:t>
      </w:r>
      <w:r w:rsidR="007F64EF">
        <w:t>funding partners</w:t>
      </w:r>
      <w:r w:rsidR="00FD476B" w:rsidRPr="000E57AE">
        <w:t xml:space="preserve"> to be held on their behalf </w:t>
      </w:r>
      <w:r w:rsidR="00080AA8" w:rsidRPr="000E57AE">
        <w:t xml:space="preserve">for future disbursement to organizations of the United Nations system and to national governments. </w:t>
      </w:r>
    </w:p>
    <w:p w14:paraId="5E3EC56B" w14:textId="2B1E3EEF" w:rsidR="00472981" w:rsidRPr="009E5F63" w:rsidRDefault="00472981" w:rsidP="007A712B">
      <w:pPr>
        <w:pStyle w:val="H4"/>
        <w:tabs>
          <w:tab w:val="clear" w:pos="1742"/>
          <w:tab w:val="left" w:pos="1440"/>
          <w:tab w:val="left" w:pos="1620"/>
        </w:tabs>
        <w:spacing w:before="240" w:after="240" w:line="240" w:lineRule="auto"/>
        <w:ind w:left="1008" w:firstLine="0"/>
        <w:outlineLvl w:val="2"/>
      </w:pPr>
      <w:bookmarkStart w:id="369" w:name="_Toc39596259"/>
      <w:bookmarkStart w:id="370" w:name="_Toc40281207"/>
      <w:bookmarkStart w:id="371" w:name="_Toc40281366"/>
      <w:bookmarkStart w:id="372" w:name="_Toc44499893"/>
      <w:bookmarkStart w:id="373" w:name="_Toc44603241"/>
      <w:bookmarkStart w:id="374" w:name="_Toc44606554"/>
      <w:bookmarkStart w:id="375" w:name="_Toc45297439"/>
      <w:bookmarkStart w:id="376" w:name="_Toc46221151"/>
      <w:bookmarkStart w:id="377" w:name="_Toc46399215"/>
      <w:r w:rsidRPr="000E57AE">
        <w:t>Contributions receivable</w:t>
      </w:r>
      <w:bookmarkEnd w:id="369"/>
      <w:bookmarkEnd w:id="370"/>
      <w:bookmarkEnd w:id="371"/>
      <w:bookmarkEnd w:id="372"/>
      <w:bookmarkEnd w:id="373"/>
      <w:bookmarkEnd w:id="374"/>
      <w:bookmarkEnd w:id="375"/>
      <w:bookmarkEnd w:id="376"/>
      <w:bookmarkEnd w:id="377"/>
    </w:p>
    <w:p w14:paraId="2928774F" w14:textId="79DB6B86" w:rsidR="003A32A3" w:rsidRPr="000E57AE" w:rsidRDefault="002A502F" w:rsidP="009D4BB3">
      <w:pPr>
        <w:pStyle w:val="SingleTxt"/>
        <w:numPr>
          <w:ilvl w:val="0"/>
          <w:numId w:val="5"/>
        </w:numPr>
        <w:tabs>
          <w:tab w:val="clear" w:pos="1742"/>
          <w:tab w:val="clear" w:pos="2218"/>
          <w:tab w:val="left" w:pos="1530"/>
        </w:tabs>
        <w:spacing w:before="240" w:after="240" w:line="240" w:lineRule="auto"/>
      </w:pPr>
      <w:bookmarkStart w:id="378" w:name="_Hlk1474284"/>
      <w:r w:rsidRPr="000E57AE">
        <w:t>C</w:t>
      </w:r>
      <w:r w:rsidR="00472981" w:rsidRPr="000E57AE">
        <w:t xml:space="preserve">ontributions receivable from </w:t>
      </w:r>
      <w:r w:rsidR="00966DF8">
        <w:t>funding partners</w:t>
      </w:r>
      <w:r w:rsidR="00472981" w:rsidRPr="000E57AE">
        <w:t xml:space="preserve"> registered $</w:t>
      </w:r>
      <w:r w:rsidR="00621E9F">
        <w:t>4</w:t>
      </w:r>
      <w:r w:rsidR="00492099">
        <w:t>.1 billion</w:t>
      </w:r>
      <w:r w:rsidR="00562423" w:rsidRPr="000E57AE">
        <w:t xml:space="preserve">, a </w:t>
      </w:r>
      <w:r w:rsidR="0096176E">
        <w:t>decrease</w:t>
      </w:r>
      <w:r w:rsidR="00562423" w:rsidRPr="000E57AE">
        <w:t xml:space="preserve"> of </w:t>
      </w:r>
      <w:r w:rsidR="007A7C37" w:rsidRPr="000E57AE">
        <w:t>$</w:t>
      </w:r>
      <w:r w:rsidR="0096176E">
        <w:t>372</w:t>
      </w:r>
      <w:r w:rsidR="006B2B54">
        <w:t> </w:t>
      </w:r>
      <w:r w:rsidR="007A7C37" w:rsidRPr="000E57AE">
        <w:t>million (</w:t>
      </w:r>
      <w:r w:rsidR="00251665">
        <w:t>8</w:t>
      </w:r>
      <w:r w:rsidR="00470AD9" w:rsidRPr="000E57AE">
        <w:t xml:space="preserve"> per cent</w:t>
      </w:r>
      <w:r w:rsidR="007A7C37" w:rsidRPr="000E57AE">
        <w:t xml:space="preserve">) </w:t>
      </w:r>
      <w:r w:rsidR="00562423" w:rsidRPr="000E57AE">
        <w:t xml:space="preserve">from </w:t>
      </w:r>
      <w:r w:rsidR="00470AD9" w:rsidRPr="000E57AE">
        <w:t>the 201</w:t>
      </w:r>
      <w:r w:rsidR="00251665">
        <w:t>8</w:t>
      </w:r>
      <w:r w:rsidR="00470AD9" w:rsidRPr="000E57AE">
        <w:t xml:space="preserve"> restated amount of </w:t>
      </w:r>
      <w:r w:rsidR="00562423" w:rsidRPr="000E57AE">
        <w:t>$</w:t>
      </w:r>
      <w:r w:rsidR="00251665">
        <w:t>4</w:t>
      </w:r>
      <w:r w:rsidR="00492099">
        <w:t>.4 billion</w:t>
      </w:r>
      <w:r w:rsidR="007A7C37" w:rsidRPr="000E57AE">
        <w:t xml:space="preserve">. </w:t>
      </w:r>
      <w:bookmarkEnd w:id="378"/>
    </w:p>
    <w:p w14:paraId="1075E40C" w14:textId="4F12D0B2" w:rsidR="004232F3" w:rsidRPr="00794F4B" w:rsidRDefault="00794F4B" w:rsidP="009D4BB3">
      <w:pPr>
        <w:pStyle w:val="SingleTxt"/>
        <w:numPr>
          <w:ilvl w:val="0"/>
          <w:numId w:val="5"/>
        </w:numPr>
        <w:tabs>
          <w:tab w:val="clear" w:pos="1742"/>
          <w:tab w:val="clear" w:pos="2218"/>
          <w:tab w:val="left" w:pos="1530"/>
        </w:tabs>
        <w:spacing w:before="240" w:after="240" w:line="240" w:lineRule="auto"/>
      </w:pPr>
      <w:r w:rsidRPr="00794F4B">
        <w:t>C</w:t>
      </w:r>
      <w:r w:rsidR="003B4481" w:rsidRPr="00794F4B">
        <w:t xml:space="preserve">ontributions </w:t>
      </w:r>
      <w:r w:rsidR="003A218B" w:rsidRPr="00794F4B">
        <w:t>receivable</w:t>
      </w:r>
      <w:r w:rsidR="00101DA3" w:rsidRPr="00794F4B">
        <w:t xml:space="preserve"> amou</w:t>
      </w:r>
      <w:r w:rsidR="00931B31" w:rsidRPr="00794F4B">
        <w:t>nts</w:t>
      </w:r>
      <w:r w:rsidR="003B4481" w:rsidRPr="00794F4B">
        <w:t xml:space="preserve"> are </w:t>
      </w:r>
      <w:r w:rsidR="003A218B" w:rsidRPr="00794F4B">
        <w:t>recognized in full, including for multi-year contributions, at the time the agreement is signed</w:t>
      </w:r>
      <w:r w:rsidR="006857A0" w:rsidRPr="00794F4B">
        <w:t>,</w:t>
      </w:r>
      <w:r w:rsidR="003A218B" w:rsidRPr="00794F4B">
        <w:t xml:space="preserve"> except for programme government contribution agreements and agreements </w:t>
      </w:r>
      <w:r w:rsidR="006B2B54" w:rsidRPr="00794F4B">
        <w:t xml:space="preserve">that </w:t>
      </w:r>
      <w:r w:rsidR="003A218B" w:rsidRPr="00794F4B">
        <w:t xml:space="preserve">have performance conditions beyond the control of UNDP. </w:t>
      </w:r>
      <w:r w:rsidR="00FC3D9C" w:rsidRPr="00794F4B">
        <w:t>As these funds are not yet received, they are not available for utilization.</w:t>
      </w:r>
    </w:p>
    <w:p w14:paraId="15BA6BBD" w14:textId="34D889A6" w:rsidR="00C5001F" w:rsidRPr="00C5001F" w:rsidRDefault="005126F1" w:rsidP="009D4BB3">
      <w:pPr>
        <w:pStyle w:val="SingleTxt"/>
        <w:numPr>
          <w:ilvl w:val="0"/>
          <w:numId w:val="5"/>
        </w:numPr>
        <w:tabs>
          <w:tab w:val="clear" w:pos="1742"/>
          <w:tab w:val="clear" w:pos="2218"/>
          <w:tab w:val="left" w:pos="1530"/>
        </w:tabs>
        <w:spacing w:before="240" w:after="240" w:line="240" w:lineRule="auto"/>
      </w:pPr>
      <w:r w:rsidRPr="000E57AE">
        <w:t xml:space="preserve">Contributions receivable </w:t>
      </w:r>
      <w:r w:rsidR="00521B57" w:rsidRPr="000E57AE">
        <w:t xml:space="preserve">of </w:t>
      </w:r>
      <w:r w:rsidR="00EE4EF7" w:rsidRPr="000E57AE">
        <w:t>$</w:t>
      </w:r>
      <w:r w:rsidR="00085853">
        <w:t>4</w:t>
      </w:r>
      <w:r w:rsidR="00492099">
        <w:t>.1</w:t>
      </w:r>
      <w:r w:rsidR="00521B57" w:rsidRPr="000E57AE">
        <w:t xml:space="preserve"> </w:t>
      </w:r>
      <w:r w:rsidR="00492099">
        <w:t>b</w:t>
      </w:r>
      <w:r w:rsidR="00521B57" w:rsidRPr="000E57AE">
        <w:t xml:space="preserve">illion </w:t>
      </w:r>
      <w:r w:rsidRPr="000E57AE">
        <w:t>include</w:t>
      </w:r>
      <w:r w:rsidR="00A9572F" w:rsidRPr="000E57AE">
        <w:t xml:space="preserve"> $</w:t>
      </w:r>
      <w:r w:rsidR="00085853">
        <w:t>3</w:t>
      </w:r>
      <w:r w:rsidR="00492099">
        <w:t>.9</w:t>
      </w:r>
      <w:r w:rsidR="00A9572F" w:rsidRPr="000E57AE">
        <w:t xml:space="preserve"> </w:t>
      </w:r>
      <w:r w:rsidR="00492099">
        <w:t>b</w:t>
      </w:r>
      <w:r w:rsidR="00A9572F" w:rsidRPr="000E57AE">
        <w:t xml:space="preserve">illion </w:t>
      </w:r>
      <w:r w:rsidR="00593C88" w:rsidRPr="000E57AE">
        <w:t xml:space="preserve">committed to UNDP by </w:t>
      </w:r>
      <w:r w:rsidR="00EE7A8A" w:rsidRPr="000E57AE">
        <w:t xml:space="preserve">donors </w:t>
      </w:r>
      <w:r w:rsidR="00962BE1" w:rsidRPr="000E57AE">
        <w:t xml:space="preserve">in future years, </w:t>
      </w:r>
      <w:r w:rsidR="00EE7A8A" w:rsidRPr="000E57AE">
        <w:t>as set out in the payment schedule in signed agreements</w:t>
      </w:r>
      <w:r w:rsidR="00C13A88" w:rsidRPr="000E57AE">
        <w:t xml:space="preserve">. </w:t>
      </w:r>
      <w:r w:rsidR="008721A8" w:rsidRPr="000E57AE">
        <w:t xml:space="preserve">This amount </w:t>
      </w:r>
      <w:r w:rsidR="00962BE1" w:rsidRPr="000E57AE">
        <w:t xml:space="preserve">is </w:t>
      </w:r>
      <w:r w:rsidR="00EE7A8A" w:rsidRPr="000E57AE">
        <w:t>programmed accordingly for delivery in future years</w:t>
      </w:r>
      <w:r w:rsidR="00390152" w:rsidRPr="000E57AE">
        <w:t xml:space="preserve"> and </w:t>
      </w:r>
      <w:r w:rsidR="00EE7A8A" w:rsidRPr="000E57AE">
        <w:t>consists of $</w:t>
      </w:r>
      <w:r w:rsidR="001B2670">
        <w:t>35</w:t>
      </w:r>
      <w:r w:rsidR="00CC7075">
        <w:t>8</w:t>
      </w:r>
      <w:r w:rsidR="00EE7A8A" w:rsidRPr="000E57AE">
        <w:t xml:space="preserve"> million receivable for regular resources and $</w:t>
      </w:r>
      <w:r w:rsidR="001B2670">
        <w:t>3</w:t>
      </w:r>
      <w:r w:rsidR="00492099">
        <w:t>.</w:t>
      </w:r>
      <w:r w:rsidR="005951F7">
        <w:t>6</w:t>
      </w:r>
      <w:r w:rsidR="00492099">
        <w:t xml:space="preserve"> billion</w:t>
      </w:r>
      <w:r w:rsidR="00EE7A8A" w:rsidRPr="000E57AE">
        <w:t xml:space="preserve"> for other resources</w:t>
      </w:r>
      <w:r w:rsidR="00476FCB" w:rsidRPr="000E57AE">
        <w:t>.</w:t>
      </w:r>
    </w:p>
    <w:p w14:paraId="58D0CA43" w14:textId="145AC095" w:rsidR="00C56520" w:rsidRPr="000E57AE" w:rsidRDefault="00C56520" w:rsidP="009D4BB3">
      <w:pPr>
        <w:pStyle w:val="ListParagraph"/>
        <w:numPr>
          <w:ilvl w:val="0"/>
          <w:numId w:val="5"/>
        </w:numPr>
        <w:spacing w:before="240" w:after="240" w:line="240" w:lineRule="auto"/>
        <w:ind w:right="1267"/>
        <w:contextualSpacing w:val="0"/>
        <w:jc w:val="both"/>
      </w:pPr>
      <w:r w:rsidRPr="00C56520">
        <w:t xml:space="preserve">Of the </w:t>
      </w:r>
      <w:r w:rsidR="00B24C4B">
        <w:t xml:space="preserve">of </w:t>
      </w:r>
      <w:r w:rsidR="00B24C4B" w:rsidRPr="00C56520">
        <w:t>$358 million</w:t>
      </w:r>
      <w:r w:rsidRPr="00C56520">
        <w:t xml:space="preserve"> </w:t>
      </w:r>
      <w:r w:rsidR="003B35E3">
        <w:t xml:space="preserve">regular resources </w:t>
      </w:r>
      <w:r w:rsidRPr="00C56520">
        <w:t>contributions receivable, $260 million is due in 2020 and the balance of $98 million is due in future years. Of the</w:t>
      </w:r>
      <w:r w:rsidR="003B35E3">
        <w:t xml:space="preserve"> </w:t>
      </w:r>
      <w:r w:rsidR="00E435FC">
        <w:t>$</w:t>
      </w:r>
      <w:r w:rsidR="00DD2E25">
        <w:t>3.7</w:t>
      </w:r>
      <w:r w:rsidR="002E1F91">
        <w:t xml:space="preserve"> billion other</w:t>
      </w:r>
      <w:r w:rsidR="00DD2E25">
        <w:t xml:space="preserve"> </w:t>
      </w:r>
      <w:r w:rsidR="003B35E3">
        <w:t>resources</w:t>
      </w:r>
      <w:r w:rsidRPr="00C56520">
        <w:t xml:space="preserve"> contributions receivable,</w:t>
      </w:r>
      <w:r w:rsidR="00E41829">
        <w:t xml:space="preserve"> </w:t>
      </w:r>
      <w:r w:rsidR="00CC318B">
        <w:t xml:space="preserve">$104 million is past due, </w:t>
      </w:r>
      <w:r w:rsidRPr="00C56520">
        <w:t>$2.1 billion is due in 2020</w:t>
      </w:r>
      <w:r w:rsidR="00E41829">
        <w:t>,</w:t>
      </w:r>
      <w:r w:rsidRPr="00C56520">
        <w:t xml:space="preserve"> and the balance of $1.</w:t>
      </w:r>
      <w:r w:rsidR="00B55747">
        <w:t>5</w:t>
      </w:r>
      <w:r w:rsidRPr="00C56520">
        <w:t xml:space="preserve"> billion is due in future years. Three donors (Global Environment Fund, Green Climate Fund</w:t>
      </w:r>
      <w:r w:rsidR="005E52BD">
        <w:t>,</w:t>
      </w:r>
      <w:r w:rsidRPr="00C56520">
        <w:t xml:space="preserve"> and European Union) account for 49</w:t>
      </w:r>
      <w:r w:rsidR="003B35E3">
        <w:t xml:space="preserve"> per cent</w:t>
      </w:r>
      <w:r w:rsidRPr="00C56520">
        <w:t xml:space="preserve"> (2018: 50</w:t>
      </w:r>
      <w:r w:rsidR="003B35E3">
        <w:t xml:space="preserve"> per cent</w:t>
      </w:r>
      <w:r w:rsidRPr="00C56520">
        <w:t xml:space="preserve">) of total </w:t>
      </w:r>
      <w:r w:rsidR="008F3CF7">
        <w:t>other (</w:t>
      </w:r>
      <w:r w:rsidRPr="00C56520">
        <w:t>non-core</w:t>
      </w:r>
      <w:r w:rsidR="008F3CF7">
        <w:t>)</w:t>
      </w:r>
      <w:r w:rsidRPr="00C56520">
        <w:t xml:space="preserve"> outstanding receivables. This provides visibility of future year funding available for programme pipeline.</w:t>
      </w:r>
    </w:p>
    <w:p w14:paraId="3EB8FCA2" w14:textId="06AC65B6" w:rsidR="003278F9" w:rsidRDefault="00D520E6" w:rsidP="003F5F37">
      <w:pPr>
        <w:pStyle w:val="SingleTxt"/>
        <w:keepNext/>
        <w:tabs>
          <w:tab w:val="clear" w:pos="2218"/>
        </w:tabs>
        <w:spacing w:after="0" w:line="240" w:lineRule="auto"/>
        <w:jc w:val="center"/>
        <w:rPr>
          <w:b/>
        </w:rPr>
      </w:pPr>
      <w:r w:rsidRPr="000E57AE">
        <w:rPr>
          <w:b/>
        </w:rPr>
        <w:t xml:space="preserve">Table </w:t>
      </w:r>
      <w:r w:rsidR="0071731E" w:rsidRPr="000E57AE">
        <w:rPr>
          <w:b/>
        </w:rPr>
        <w:t>6</w:t>
      </w:r>
      <w:r w:rsidRPr="000E57AE">
        <w:rPr>
          <w:b/>
        </w:rPr>
        <w:t>. Contributions receivable, 201</w:t>
      </w:r>
      <w:r w:rsidR="00C362D3">
        <w:rPr>
          <w:b/>
        </w:rPr>
        <w:t>8</w:t>
      </w:r>
      <w:r w:rsidRPr="000E57AE">
        <w:rPr>
          <w:b/>
        </w:rPr>
        <w:t>-201</w:t>
      </w:r>
      <w:r w:rsidR="00C362D3">
        <w:rPr>
          <w:b/>
        </w:rPr>
        <w:t>9</w:t>
      </w:r>
    </w:p>
    <w:p w14:paraId="196D5106" w14:textId="0A3A25DF" w:rsidR="00931B31" w:rsidRPr="003278F9" w:rsidRDefault="00240245" w:rsidP="003F5F37">
      <w:pPr>
        <w:pStyle w:val="SingleTxt"/>
        <w:keepNext/>
        <w:tabs>
          <w:tab w:val="clear" w:pos="2218"/>
        </w:tabs>
        <w:jc w:val="center"/>
        <w:rPr>
          <w:i/>
        </w:rPr>
      </w:pPr>
      <w:r w:rsidRPr="003278F9">
        <w:rPr>
          <w:i/>
        </w:rPr>
        <w:t>(in millions</w:t>
      </w:r>
      <w:r w:rsidR="003278F9">
        <w:rPr>
          <w:i/>
        </w:rPr>
        <w:t xml:space="preserve"> of United States dollars</w:t>
      </w:r>
      <w:r w:rsidRPr="003278F9">
        <w:rPr>
          <w:i/>
        </w:rPr>
        <w:t>)</w:t>
      </w:r>
    </w:p>
    <w:tbl>
      <w:tblPr>
        <w:tblW w:w="6766" w:type="dxa"/>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048"/>
        <w:gridCol w:w="1147"/>
        <w:gridCol w:w="1026"/>
      </w:tblGrid>
      <w:tr w:rsidR="0099187E" w:rsidRPr="000E57AE" w14:paraId="5BA0926E" w14:textId="77777777" w:rsidTr="0099187E">
        <w:trPr>
          <w:trHeight w:val="487"/>
        </w:trPr>
        <w:tc>
          <w:tcPr>
            <w:tcW w:w="3545" w:type="dxa"/>
            <w:shd w:val="clear" w:color="auto" w:fill="auto"/>
            <w:vAlign w:val="center"/>
            <w:hideMark/>
          </w:tcPr>
          <w:p w14:paraId="11C9FF77" w14:textId="77777777" w:rsidR="0099187E" w:rsidRPr="000E57AE" w:rsidRDefault="0099187E" w:rsidP="0099187E">
            <w:pPr>
              <w:keepNext/>
              <w:suppressAutoHyphens w:val="0"/>
              <w:spacing w:line="240" w:lineRule="auto"/>
              <w:rPr>
                <w:rFonts w:eastAsia="Times New Roman"/>
                <w:b/>
                <w:bCs/>
                <w:color w:val="000000"/>
                <w:spacing w:val="0"/>
                <w:w w:val="100"/>
                <w:kern w:val="0"/>
                <w:sz w:val="16"/>
                <w:szCs w:val="16"/>
              </w:rPr>
            </w:pPr>
            <w:r w:rsidRPr="000E57AE">
              <w:rPr>
                <w:rFonts w:eastAsia="Times New Roman"/>
                <w:b/>
                <w:bCs/>
                <w:color w:val="000000"/>
                <w:spacing w:val="0"/>
                <w:w w:val="100"/>
                <w:kern w:val="0"/>
                <w:sz w:val="16"/>
                <w:szCs w:val="16"/>
              </w:rPr>
              <w:t>Contributions receivable</w:t>
            </w:r>
          </w:p>
        </w:tc>
        <w:tc>
          <w:tcPr>
            <w:tcW w:w="1048" w:type="dxa"/>
            <w:vAlign w:val="center"/>
          </w:tcPr>
          <w:p w14:paraId="62060DAE" w14:textId="2FB454FE" w:rsidR="0099187E" w:rsidRPr="000E57AE" w:rsidRDefault="0099187E" w:rsidP="0099187E">
            <w:pPr>
              <w:keepNext/>
              <w:suppressAutoHyphens w:val="0"/>
              <w:spacing w:line="240" w:lineRule="auto"/>
              <w:jc w:val="center"/>
              <w:rPr>
                <w:rFonts w:eastAsia="Times New Roman"/>
                <w:b/>
                <w:bCs/>
                <w:color w:val="000000"/>
                <w:spacing w:val="0"/>
                <w:w w:val="100"/>
                <w:kern w:val="0"/>
                <w:sz w:val="16"/>
                <w:szCs w:val="16"/>
              </w:rPr>
            </w:pPr>
            <w:r>
              <w:rPr>
                <w:rFonts w:eastAsia="Times New Roman"/>
                <w:b/>
                <w:bCs/>
                <w:color w:val="000000"/>
                <w:spacing w:val="0"/>
                <w:w w:val="100"/>
                <w:kern w:val="0"/>
                <w:sz w:val="16"/>
                <w:szCs w:val="16"/>
              </w:rPr>
              <w:t>2019</w:t>
            </w:r>
          </w:p>
        </w:tc>
        <w:tc>
          <w:tcPr>
            <w:tcW w:w="1147" w:type="dxa"/>
            <w:vAlign w:val="center"/>
          </w:tcPr>
          <w:p w14:paraId="378B6FD7" w14:textId="77777777" w:rsidR="0099187E" w:rsidRPr="008A1060" w:rsidRDefault="0099187E" w:rsidP="0099187E">
            <w:pPr>
              <w:keepNext/>
              <w:jc w:val="center"/>
              <w:rPr>
                <w:rFonts w:eastAsia="Times New Roman"/>
                <w:b/>
                <w:bCs/>
                <w:color w:val="000000"/>
                <w:sz w:val="16"/>
                <w:szCs w:val="16"/>
              </w:rPr>
            </w:pPr>
            <w:r w:rsidRPr="008A1060">
              <w:rPr>
                <w:rFonts w:eastAsia="Times New Roman"/>
                <w:b/>
                <w:bCs/>
                <w:color w:val="000000"/>
                <w:sz w:val="16"/>
                <w:szCs w:val="16"/>
              </w:rPr>
              <w:t>2018</w:t>
            </w:r>
          </w:p>
          <w:p w14:paraId="211F1CD8" w14:textId="7B4E64A4" w:rsidR="0099187E" w:rsidRPr="000E57AE" w:rsidRDefault="0099187E" w:rsidP="0099187E">
            <w:pPr>
              <w:keepNext/>
              <w:suppressAutoHyphens w:val="0"/>
              <w:spacing w:line="240" w:lineRule="auto"/>
              <w:jc w:val="center"/>
              <w:rPr>
                <w:rFonts w:eastAsia="Times New Roman"/>
                <w:b/>
                <w:bCs/>
                <w:color w:val="000000"/>
                <w:spacing w:val="0"/>
                <w:w w:val="100"/>
                <w:kern w:val="0"/>
                <w:sz w:val="16"/>
                <w:szCs w:val="16"/>
              </w:rPr>
            </w:pPr>
            <w:r w:rsidRPr="008A1060">
              <w:rPr>
                <w:rFonts w:eastAsia="Times New Roman"/>
                <w:b/>
                <w:bCs/>
                <w:color w:val="000000"/>
                <w:sz w:val="16"/>
                <w:szCs w:val="16"/>
              </w:rPr>
              <w:t>(restated)</w:t>
            </w:r>
          </w:p>
        </w:tc>
        <w:tc>
          <w:tcPr>
            <w:tcW w:w="1026" w:type="dxa"/>
            <w:shd w:val="clear" w:color="auto" w:fill="auto"/>
            <w:vAlign w:val="center"/>
            <w:hideMark/>
          </w:tcPr>
          <w:p w14:paraId="242C896B" w14:textId="77777777" w:rsidR="0099187E" w:rsidRPr="000E57AE" w:rsidRDefault="0099187E" w:rsidP="0099187E">
            <w:pPr>
              <w:keepNext/>
              <w:suppressAutoHyphens w:val="0"/>
              <w:spacing w:line="240" w:lineRule="auto"/>
              <w:jc w:val="center"/>
              <w:rPr>
                <w:rFonts w:eastAsia="Times New Roman"/>
                <w:b/>
                <w:bCs/>
                <w:color w:val="000000"/>
                <w:spacing w:val="0"/>
                <w:w w:val="100"/>
                <w:kern w:val="0"/>
                <w:sz w:val="16"/>
                <w:szCs w:val="16"/>
              </w:rPr>
            </w:pPr>
            <w:r w:rsidRPr="000E57AE">
              <w:rPr>
                <w:rFonts w:eastAsia="Times New Roman"/>
                <w:b/>
                <w:bCs/>
                <w:color w:val="000000"/>
                <w:spacing w:val="0"/>
                <w:w w:val="100"/>
                <w:kern w:val="0"/>
                <w:sz w:val="16"/>
                <w:szCs w:val="16"/>
              </w:rPr>
              <w:t>increase/ (decrease)</w:t>
            </w:r>
          </w:p>
        </w:tc>
      </w:tr>
      <w:tr w:rsidR="0099187E" w:rsidRPr="000E57AE" w14:paraId="0E82A712" w14:textId="77777777" w:rsidTr="0099187E">
        <w:trPr>
          <w:trHeight w:val="272"/>
        </w:trPr>
        <w:tc>
          <w:tcPr>
            <w:tcW w:w="3545" w:type="dxa"/>
            <w:shd w:val="clear" w:color="auto" w:fill="auto"/>
            <w:vAlign w:val="center"/>
            <w:hideMark/>
          </w:tcPr>
          <w:p w14:paraId="3A1E6785" w14:textId="77777777" w:rsidR="0099187E" w:rsidRPr="000E57AE" w:rsidRDefault="0099187E" w:rsidP="0099187E">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Contributions past due</w:t>
            </w:r>
          </w:p>
        </w:tc>
        <w:tc>
          <w:tcPr>
            <w:tcW w:w="1048" w:type="dxa"/>
            <w:vAlign w:val="center"/>
          </w:tcPr>
          <w:p w14:paraId="4AD0D76C" w14:textId="27C8E0FA" w:rsidR="0099187E" w:rsidRPr="000E57AE" w:rsidRDefault="0099187E" w:rsidP="0099187E">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104</w:t>
            </w:r>
          </w:p>
        </w:tc>
        <w:tc>
          <w:tcPr>
            <w:tcW w:w="1147" w:type="dxa"/>
            <w:vAlign w:val="center"/>
          </w:tcPr>
          <w:p w14:paraId="388DF6C6" w14:textId="0977EA1B" w:rsidR="0099187E" w:rsidRPr="000E57AE" w:rsidDel="00A05C94" w:rsidRDefault="0099187E" w:rsidP="0099187E">
            <w:pPr>
              <w:keepNext/>
              <w:suppressAutoHyphens w:val="0"/>
              <w:spacing w:line="240" w:lineRule="auto"/>
              <w:jc w:val="right"/>
              <w:rPr>
                <w:rFonts w:eastAsia="Times New Roman"/>
                <w:color w:val="000000"/>
                <w:spacing w:val="0"/>
                <w:w w:val="100"/>
                <w:kern w:val="0"/>
                <w:sz w:val="16"/>
                <w:szCs w:val="16"/>
              </w:rPr>
            </w:pPr>
            <w:r w:rsidRPr="008A1060">
              <w:rPr>
                <w:rFonts w:eastAsia="Times New Roman"/>
                <w:color w:val="000000"/>
                <w:sz w:val="16"/>
                <w:szCs w:val="16"/>
              </w:rPr>
              <w:t>143</w:t>
            </w:r>
          </w:p>
        </w:tc>
        <w:tc>
          <w:tcPr>
            <w:tcW w:w="1026" w:type="dxa"/>
            <w:shd w:val="clear" w:color="auto" w:fill="auto"/>
            <w:noWrap/>
            <w:vAlign w:val="center"/>
            <w:hideMark/>
          </w:tcPr>
          <w:p w14:paraId="1948877E" w14:textId="1EC69C82" w:rsidR="0099187E" w:rsidRPr="000E57AE" w:rsidRDefault="0099187E" w:rsidP="0099187E">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(39)</w:t>
            </w:r>
          </w:p>
        </w:tc>
      </w:tr>
      <w:tr w:rsidR="0099187E" w:rsidRPr="000E57AE" w14:paraId="21D318E5" w14:textId="77777777" w:rsidTr="0099187E">
        <w:trPr>
          <w:trHeight w:val="272"/>
        </w:trPr>
        <w:tc>
          <w:tcPr>
            <w:tcW w:w="3545" w:type="dxa"/>
            <w:shd w:val="clear" w:color="auto" w:fill="auto"/>
            <w:vAlign w:val="center"/>
            <w:hideMark/>
          </w:tcPr>
          <w:p w14:paraId="45501D27" w14:textId="77777777" w:rsidR="0099187E" w:rsidRPr="000E57AE" w:rsidRDefault="0099187E" w:rsidP="0099187E">
            <w:pPr>
              <w:keepNext/>
              <w:suppressAutoHyphens w:val="0"/>
              <w:spacing w:line="240" w:lineRule="auto"/>
              <w:rPr>
                <w:rFonts w:eastAsia="Times New Roman"/>
                <w:color w:val="000000"/>
                <w:spacing w:val="0"/>
                <w:w w:val="100"/>
                <w:kern w:val="0"/>
                <w:sz w:val="16"/>
                <w:szCs w:val="16"/>
              </w:rPr>
            </w:pPr>
            <w:r w:rsidRPr="000E57AE">
              <w:rPr>
                <w:rFonts w:eastAsia="Times New Roman"/>
                <w:color w:val="000000"/>
                <w:spacing w:val="0"/>
                <w:w w:val="100"/>
                <w:kern w:val="0"/>
                <w:sz w:val="16"/>
                <w:szCs w:val="16"/>
              </w:rPr>
              <w:t>Contributions due in future periods</w:t>
            </w:r>
          </w:p>
        </w:tc>
        <w:tc>
          <w:tcPr>
            <w:tcW w:w="1048" w:type="dxa"/>
            <w:vAlign w:val="center"/>
          </w:tcPr>
          <w:p w14:paraId="3465DD06" w14:textId="28B98331" w:rsidR="0099187E" w:rsidRPr="000E57AE" w:rsidRDefault="0099187E" w:rsidP="0099187E">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3,947</w:t>
            </w:r>
          </w:p>
        </w:tc>
        <w:tc>
          <w:tcPr>
            <w:tcW w:w="1147" w:type="dxa"/>
            <w:vAlign w:val="center"/>
          </w:tcPr>
          <w:p w14:paraId="10BC8E4E" w14:textId="585CD178" w:rsidR="0099187E" w:rsidRDefault="0099187E" w:rsidP="0099187E">
            <w:pPr>
              <w:keepNext/>
              <w:suppressAutoHyphens w:val="0"/>
              <w:spacing w:line="240" w:lineRule="auto"/>
              <w:jc w:val="right"/>
              <w:rPr>
                <w:rFonts w:eastAsia="Times New Roman"/>
                <w:color w:val="000000"/>
                <w:spacing w:val="0"/>
                <w:w w:val="100"/>
                <w:kern w:val="0"/>
                <w:sz w:val="16"/>
                <w:szCs w:val="16"/>
              </w:rPr>
            </w:pPr>
            <w:r w:rsidRPr="008A1060">
              <w:rPr>
                <w:rFonts w:eastAsia="Times New Roman"/>
                <w:color w:val="000000"/>
                <w:sz w:val="16"/>
                <w:szCs w:val="16"/>
              </w:rPr>
              <w:t>4,280</w:t>
            </w:r>
          </w:p>
        </w:tc>
        <w:tc>
          <w:tcPr>
            <w:tcW w:w="1026" w:type="dxa"/>
            <w:shd w:val="clear" w:color="auto" w:fill="auto"/>
            <w:noWrap/>
            <w:vAlign w:val="center"/>
            <w:hideMark/>
          </w:tcPr>
          <w:p w14:paraId="0A9F7188" w14:textId="446EF334" w:rsidR="0099187E" w:rsidRPr="000E57AE" w:rsidRDefault="0099187E" w:rsidP="0099187E">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(333)</w:t>
            </w:r>
          </w:p>
        </w:tc>
      </w:tr>
      <w:tr w:rsidR="0099187E" w:rsidRPr="000E57AE" w14:paraId="3460EE89" w14:textId="77777777" w:rsidTr="0099187E">
        <w:trPr>
          <w:trHeight w:val="272"/>
        </w:trPr>
        <w:tc>
          <w:tcPr>
            <w:tcW w:w="3545" w:type="dxa"/>
            <w:shd w:val="clear" w:color="auto" w:fill="auto"/>
            <w:vAlign w:val="center"/>
            <w:hideMark/>
          </w:tcPr>
          <w:p w14:paraId="3A6EBC4B" w14:textId="77777777" w:rsidR="0099187E" w:rsidRPr="000E57AE" w:rsidRDefault="0099187E" w:rsidP="0099187E">
            <w:pPr>
              <w:keepNext/>
              <w:suppressAutoHyphens w:val="0"/>
              <w:spacing w:line="240" w:lineRule="auto"/>
              <w:rPr>
                <w:rFonts w:eastAsia="Times New Roman"/>
                <w:b/>
                <w:bCs/>
                <w:color w:val="000000"/>
                <w:spacing w:val="0"/>
                <w:w w:val="100"/>
                <w:kern w:val="0"/>
                <w:sz w:val="16"/>
                <w:szCs w:val="16"/>
              </w:rPr>
            </w:pPr>
            <w:r w:rsidRPr="000E57AE">
              <w:rPr>
                <w:rFonts w:eastAsia="Times New Roman"/>
                <w:b/>
                <w:bCs/>
                <w:color w:val="000000"/>
                <w:spacing w:val="0"/>
                <w:w w:val="100"/>
                <w:kern w:val="0"/>
                <w:sz w:val="16"/>
                <w:szCs w:val="16"/>
              </w:rPr>
              <w:t xml:space="preserve">Total contributions receivables </w:t>
            </w:r>
          </w:p>
        </w:tc>
        <w:tc>
          <w:tcPr>
            <w:tcW w:w="1048" w:type="dxa"/>
            <w:vAlign w:val="center"/>
          </w:tcPr>
          <w:p w14:paraId="4A0F861E" w14:textId="5F21C465" w:rsidR="0099187E" w:rsidRPr="000E57AE" w:rsidRDefault="0099187E" w:rsidP="0099187E">
            <w:pPr>
              <w:keepNext/>
              <w:suppressAutoHyphens w:val="0"/>
              <w:spacing w:line="240" w:lineRule="auto"/>
              <w:jc w:val="right"/>
              <w:rPr>
                <w:rFonts w:eastAsia="Times New Roman"/>
                <w:b/>
                <w:bCs/>
                <w:color w:val="000000"/>
                <w:spacing w:val="0"/>
                <w:w w:val="100"/>
                <w:kern w:val="0"/>
                <w:sz w:val="16"/>
                <w:szCs w:val="16"/>
              </w:rPr>
            </w:pPr>
            <w:r>
              <w:rPr>
                <w:rFonts w:eastAsia="Times New Roman"/>
                <w:b/>
                <w:bCs/>
                <w:color w:val="000000"/>
                <w:spacing w:val="0"/>
                <w:w w:val="100"/>
                <w:kern w:val="0"/>
                <w:sz w:val="16"/>
                <w:szCs w:val="16"/>
              </w:rPr>
              <w:t>4,051</w:t>
            </w:r>
          </w:p>
        </w:tc>
        <w:tc>
          <w:tcPr>
            <w:tcW w:w="1147" w:type="dxa"/>
            <w:vAlign w:val="center"/>
          </w:tcPr>
          <w:p w14:paraId="73ECE8CA" w14:textId="6F74F2C5" w:rsidR="0099187E" w:rsidRPr="000E57AE" w:rsidRDefault="0099187E" w:rsidP="0099187E">
            <w:pPr>
              <w:keepNext/>
              <w:suppressAutoHyphens w:val="0"/>
              <w:spacing w:line="240" w:lineRule="auto"/>
              <w:jc w:val="right"/>
              <w:rPr>
                <w:rFonts w:eastAsia="Times New Roman"/>
                <w:b/>
                <w:bCs/>
                <w:color w:val="000000"/>
                <w:spacing w:val="0"/>
                <w:w w:val="100"/>
                <w:kern w:val="0"/>
                <w:sz w:val="16"/>
                <w:szCs w:val="16"/>
              </w:rPr>
            </w:pPr>
            <w:r w:rsidRPr="008A1060">
              <w:rPr>
                <w:rFonts w:eastAsia="Times New Roman"/>
                <w:b/>
                <w:bCs/>
                <w:color w:val="000000"/>
                <w:sz w:val="16"/>
                <w:szCs w:val="16"/>
              </w:rPr>
              <w:t>4,</w:t>
            </w:r>
            <w:r>
              <w:rPr>
                <w:rFonts w:eastAsia="Times New Roman"/>
                <w:b/>
                <w:bCs/>
                <w:color w:val="000000"/>
                <w:sz w:val="16"/>
                <w:szCs w:val="16"/>
              </w:rPr>
              <w:t>423</w:t>
            </w:r>
          </w:p>
        </w:tc>
        <w:tc>
          <w:tcPr>
            <w:tcW w:w="1026" w:type="dxa"/>
            <w:shd w:val="clear" w:color="auto" w:fill="auto"/>
            <w:noWrap/>
            <w:vAlign w:val="center"/>
            <w:hideMark/>
          </w:tcPr>
          <w:p w14:paraId="722FF1EC" w14:textId="74926A72" w:rsidR="0099187E" w:rsidRPr="000E57AE" w:rsidRDefault="0099187E" w:rsidP="0099187E">
            <w:pPr>
              <w:keepNext/>
              <w:suppressAutoHyphens w:val="0"/>
              <w:spacing w:line="240" w:lineRule="auto"/>
              <w:jc w:val="right"/>
              <w:rPr>
                <w:rFonts w:eastAsia="Times New Roman"/>
                <w:color w:val="000000"/>
                <w:spacing w:val="0"/>
                <w:w w:val="100"/>
                <w:kern w:val="0"/>
                <w:sz w:val="16"/>
                <w:szCs w:val="16"/>
              </w:rPr>
            </w:pPr>
            <w:r>
              <w:rPr>
                <w:rFonts w:eastAsia="Times New Roman"/>
                <w:color w:val="000000"/>
                <w:spacing w:val="0"/>
                <w:w w:val="100"/>
                <w:kern w:val="0"/>
                <w:sz w:val="16"/>
                <w:szCs w:val="16"/>
              </w:rPr>
              <w:t>(372)</w:t>
            </w:r>
          </w:p>
        </w:tc>
      </w:tr>
    </w:tbl>
    <w:p w14:paraId="29A6EDEF" w14:textId="7592F3EB" w:rsidR="00515B84" w:rsidRPr="009E5F63" w:rsidRDefault="00CA2EE4" w:rsidP="005F648C">
      <w:pPr>
        <w:pStyle w:val="H1"/>
        <w:numPr>
          <w:ilvl w:val="1"/>
          <w:numId w:val="7"/>
        </w:numPr>
        <w:tabs>
          <w:tab w:val="clear" w:pos="1022"/>
          <w:tab w:val="clear" w:pos="1742"/>
          <w:tab w:val="right" w:pos="1440"/>
          <w:tab w:val="left" w:pos="1800"/>
        </w:tabs>
        <w:spacing w:before="240" w:after="240" w:line="240" w:lineRule="auto"/>
        <w:ind w:left="1152" w:right="0"/>
        <w:outlineLvl w:val="1"/>
      </w:pPr>
      <w:bookmarkStart w:id="379" w:name="_Toc40281208"/>
      <w:bookmarkStart w:id="380" w:name="_Toc40281367"/>
      <w:bookmarkStart w:id="381" w:name="_Toc44499894"/>
      <w:bookmarkStart w:id="382" w:name="_Toc44600440"/>
      <w:bookmarkStart w:id="383" w:name="_Toc44600787"/>
      <w:bookmarkStart w:id="384" w:name="_Toc44603242"/>
      <w:bookmarkStart w:id="385" w:name="_Toc44606555"/>
      <w:bookmarkStart w:id="386" w:name="_Toc46399216"/>
      <w:bookmarkEnd w:id="379"/>
      <w:bookmarkEnd w:id="380"/>
      <w:bookmarkEnd w:id="381"/>
      <w:bookmarkEnd w:id="382"/>
      <w:bookmarkEnd w:id="383"/>
      <w:bookmarkEnd w:id="384"/>
      <w:bookmarkEnd w:id="385"/>
      <w:r w:rsidRPr="000E57AE">
        <w:t>Liabilities</w:t>
      </w:r>
      <w:bookmarkEnd w:id="386"/>
    </w:p>
    <w:p w14:paraId="796F5E8C" w14:textId="0D6275AB" w:rsidR="00602B26" w:rsidRPr="000E57AE" w:rsidRDefault="009F2F03" w:rsidP="009D4BB3">
      <w:pPr>
        <w:pStyle w:val="SingleTxt"/>
        <w:numPr>
          <w:ilvl w:val="0"/>
          <w:numId w:val="5"/>
        </w:numPr>
        <w:tabs>
          <w:tab w:val="clear" w:pos="1742"/>
          <w:tab w:val="clear" w:pos="2218"/>
          <w:tab w:val="left" w:pos="1530"/>
        </w:tabs>
        <w:spacing w:before="240" w:after="240" w:line="240" w:lineRule="auto"/>
      </w:pPr>
      <w:r w:rsidRPr="000E57AE">
        <w:t>Total liabilities amounted to $</w:t>
      </w:r>
      <w:r w:rsidR="00183E0C">
        <w:t>2</w:t>
      </w:r>
      <w:r w:rsidR="00492099">
        <w:t>.8 billion</w:t>
      </w:r>
      <w:r w:rsidR="00EF0803" w:rsidRPr="000E57AE">
        <w:t xml:space="preserve">, an increase of </w:t>
      </w:r>
      <w:r w:rsidR="00831900">
        <w:t>8</w:t>
      </w:r>
      <w:r w:rsidR="00253954" w:rsidRPr="000E57AE">
        <w:t xml:space="preserve"> per cent </w:t>
      </w:r>
      <w:r w:rsidR="00DD70F5" w:rsidRPr="000E57AE">
        <w:t>over</w:t>
      </w:r>
      <w:r w:rsidR="003173C0" w:rsidRPr="000E57AE">
        <w:t xml:space="preserve"> </w:t>
      </w:r>
      <w:r w:rsidR="007D3771" w:rsidRPr="000E57AE">
        <w:t xml:space="preserve">the </w:t>
      </w:r>
      <w:r w:rsidRPr="000E57AE">
        <w:t>201</w:t>
      </w:r>
      <w:r w:rsidR="00831900">
        <w:t>8</w:t>
      </w:r>
      <w:r w:rsidR="003173C0" w:rsidRPr="000E57AE">
        <w:t xml:space="preserve"> </w:t>
      </w:r>
      <w:r w:rsidR="004723E4" w:rsidRPr="000E57AE">
        <w:t xml:space="preserve">restated </w:t>
      </w:r>
      <w:r w:rsidR="003173C0" w:rsidRPr="000E57AE">
        <w:t xml:space="preserve">amount of </w:t>
      </w:r>
      <w:r w:rsidRPr="000E57AE">
        <w:t>$</w:t>
      </w:r>
      <w:r w:rsidR="00831900">
        <w:t>2</w:t>
      </w:r>
      <w:r w:rsidR="00492099">
        <w:t>.6 billion</w:t>
      </w:r>
      <w:r w:rsidR="007977F9" w:rsidRPr="000E57AE">
        <w:t xml:space="preserve">. </w:t>
      </w:r>
      <w:r w:rsidR="00F81DF5">
        <w:t>The change is mainly attributable to Payables for the Multi-Partner Trust Fund Office</w:t>
      </w:r>
      <w:r w:rsidR="00B83E66">
        <w:t xml:space="preserve">, </w:t>
      </w:r>
      <w:r w:rsidR="00F81DF5">
        <w:t xml:space="preserve">which increased by $150 million. </w:t>
      </w:r>
    </w:p>
    <w:p w14:paraId="408B1812" w14:textId="777E6D1C" w:rsidR="009F1C3D" w:rsidRPr="000E57AE" w:rsidRDefault="005E496A" w:rsidP="009D4BB3">
      <w:pPr>
        <w:pStyle w:val="SingleTxt"/>
        <w:numPr>
          <w:ilvl w:val="0"/>
          <w:numId w:val="5"/>
        </w:numPr>
        <w:tabs>
          <w:tab w:val="clear" w:pos="1742"/>
          <w:tab w:val="clear" w:pos="2218"/>
          <w:tab w:val="left" w:pos="1530"/>
        </w:tabs>
        <w:spacing w:before="240" w:after="240" w:line="240" w:lineRule="auto"/>
      </w:pPr>
      <w:r w:rsidRPr="000E57AE">
        <w:t>Funds received in advance</w:t>
      </w:r>
      <w:r w:rsidR="002D35CF" w:rsidRPr="000E57AE">
        <w:t xml:space="preserve"> </w:t>
      </w:r>
      <w:r w:rsidR="002F4D67" w:rsidRPr="000E57AE">
        <w:t>and deferred revenue</w:t>
      </w:r>
      <w:r w:rsidR="00F83D9C" w:rsidRPr="000E57AE">
        <w:t xml:space="preserve"> of $</w:t>
      </w:r>
      <w:r w:rsidR="00A0012B">
        <w:t>29</w:t>
      </w:r>
      <w:r w:rsidR="00F83D9C" w:rsidRPr="000E57AE">
        <w:t xml:space="preserve"> million </w:t>
      </w:r>
      <w:r w:rsidR="002F4D67" w:rsidRPr="000E57AE">
        <w:t xml:space="preserve">comprises </w:t>
      </w:r>
      <w:r w:rsidR="00B83E66">
        <w:t xml:space="preserve">of </w:t>
      </w:r>
      <w:r w:rsidR="004B3A62" w:rsidRPr="000E57AE">
        <w:t>$</w:t>
      </w:r>
      <w:r w:rsidR="008613D3">
        <w:t>7</w:t>
      </w:r>
      <w:r w:rsidR="00A33FAE">
        <w:t> </w:t>
      </w:r>
      <w:r w:rsidR="004B3A62" w:rsidRPr="000E57AE">
        <w:t>million</w:t>
      </w:r>
      <w:r w:rsidRPr="000E57AE">
        <w:t xml:space="preserve"> </w:t>
      </w:r>
      <w:r w:rsidR="00603C12">
        <w:t>funds</w:t>
      </w:r>
      <w:r w:rsidRPr="000E57AE">
        <w:t xml:space="preserve"> </w:t>
      </w:r>
      <w:r w:rsidR="00D61D43" w:rsidRPr="000E57AE">
        <w:t>received in advance</w:t>
      </w:r>
      <w:r w:rsidR="00E27F88">
        <w:t xml:space="preserve"> for </w:t>
      </w:r>
      <w:r w:rsidRPr="000E57AE">
        <w:t>future periods specified in donor contribution agreements</w:t>
      </w:r>
      <w:r w:rsidR="00C2010D" w:rsidRPr="000E57AE">
        <w:t>,</w:t>
      </w:r>
      <w:r w:rsidR="00BA0C98" w:rsidRPr="000E57AE">
        <w:t xml:space="preserve"> and $</w:t>
      </w:r>
      <w:r w:rsidR="008613D3">
        <w:t>22</w:t>
      </w:r>
      <w:r w:rsidR="00F83D9C" w:rsidRPr="000E57AE">
        <w:t xml:space="preserve"> million deferred revenue</w:t>
      </w:r>
      <w:r w:rsidR="0032505F">
        <w:t xml:space="preserve"> for contributions</w:t>
      </w:r>
      <w:r w:rsidRPr="000E57AE">
        <w:t>.</w:t>
      </w:r>
      <w:r w:rsidR="0082407E">
        <w:t xml:space="preserve"> </w:t>
      </w:r>
      <w:r w:rsidR="00111E6C">
        <w:t xml:space="preserve"> </w:t>
      </w:r>
    </w:p>
    <w:p w14:paraId="2D6A3279" w14:textId="661DC203" w:rsidR="00030166" w:rsidRPr="000E57AE" w:rsidRDefault="00030166" w:rsidP="003F5F37">
      <w:pPr>
        <w:pStyle w:val="SingleTxt"/>
        <w:keepNext/>
        <w:spacing w:after="0" w:line="240" w:lineRule="auto"/>
        <w:ind w:left="1530"/>
        <w:jc w:val="center"/>
        <w:rPr>
          <w:b/>
        </w:rPr>
      </w:pPr>
      <w:r w:rsidRPr="000E57AE">
        <w:rPr>
          <w:b/>
        </w:rPr>
        <w:t xml:space="preserve">Figure </w:t>
      </w:r>
      <w:r w:rsidR="004D4DCC">
        <w:rPr>
          <w:b/>
        </w:rPr>
        <w:t>VII</w:t>
      </w:r>
      <w:r w:rsidRPr="000E57AE">
        <w:rPr>
          <w:b/>
        </w:rPr>
        <w:t xml:space="preserve">. UNDP </w:t>
      </w:r>
      <w:r w:rsidR="00E73792">
        <w:rPr>
          <w:b/>
        </w:rPr>
        <w:t>l</w:t>
      </w:r>
      <w:r w:rsidRPr="000E57AE">
        <w:rPr>
          <w:b/>
        </w:rPr>
        <w:t>iabilities, 201</w:t>
      </w:r>
      <w:r w:rsidR="0018249E">
        <w:rPr>
          <w:b/>
        </w:rPr>
        <w:t>8</w:t>
      </w:r>
      <w:r w:rsidRPr="000E57AE">
        <w:rPr>
          <w:b/>
        </w:rPr>
        <w:t>-201</w:t>
      </w:r>
      <w:r w:rsidR="0018249E">
        <w:rPr>
          <w:b/>
        </w:rPr>
        <w:t>9</w:t>
      </w:r>
    </w:p>
    <w:p w14:paraId="6A02CB69" w14:textId="0A0FC0B7" w:rsidR="00A83234" w:rsidRDefault="00B82106" w:rsidP="003F5F37">
      <w:pPr>
        <w:pStyle w:val="SingleTxt"/>
        <w:keepNext/>
        <w:spacing w:line="240" w:lineRule="auto"/>
        <w:ind w:left="1530"/>
        <w:jc w:val="center"/>
        <w:rPr>
          <w:i/>
        </w:rPr>
      </w:pPr>
      <w:r>
        <w:rPr>
          <w:noProof/>
        </w:rPr>
        <w:drawing>
          <wp:anchor distT="0" distB="0" distL="114300" distR="114300" simplePos="0" relativeHeight="251658254" behindDoc="1" locked="0" layoutInCell="1" allowOverlap="1" wp14:anchorId="1FD82C52" wp14:editId="361BC6FA">
            <wp:simplePos x="0" y="0"/>
            <wp:positionH relativeFrom="column">
              <wp:posOffset>504825</wp:posOffset>
            </wp:positionH>
            <wp:positionV relativeFrom="paragraph">
              <wp:posOffset>225425</wp:posOffset>
            </wp:positionV>
            <wp:extent cx="5400675" cy="1902460"/>
            <wp:effectExtent l="0" t="0" r="9525" b="2540"/>
            <wp:wrapTight wrapText="bothSides">
              <wp:wrapPolygon edited="0">
                <wp:start x="0" y="0"/>
                <wp:lineTo x="0" y="21413"/>
                <wp:lineTo x="21562" y="21413"/>
                <wp:lineTo x="21562" y="0"/>
                <wp:lineTo x="0" y="0"/>
              </wp:wrapPolygon>
            </wp:wrapTight>
            <wp:docPr id="19056595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27">
                      <a:extLst>
                        <a:ext uri="{28A0092B-C50C-407E-A947-70E740481C1C}">
                          <a14:useLocalDpi xmlns:a14="http://schemas.microsoft.com/office/drawing/2010/main" val="0"/>
                        </a:ext>
                      </a:extLst>
                    </a:blip>
                    <a:stretch>
                      <a:fillRect/>
                    </a:stretch>
                  </pic:blipFill>
                  <pic:spPr>
                    <a:xfrm>
                      <a:off x="0" y="0"/>
                      <a:ext cx="5400675" cy="1902460"/>
                    </a:xfrm>
                    <a:prstGeom prst="rect">
                      <a:avLst/>
                    </a:prstGeom>
                  </pic:spPr>
                </pic:pic>
              </a:graphicData>
            </a:graphic>
            <wp14:sizeRelH relativeFrom="margin">
              <wp14:pctWidth>0</wp14:pctWidth>
            </wp14:sizeRelH>
          </wp:anchor>
        </w:drawing>
      </w:r>
      <w:r w:rsidR="00DB52C7" w:rsidRPr="57DEF1DD">
        <w:rPr>
          <w:i/>
          <w:iCs/>
        </w:rPr>
        <w:t xml:space="preserve">(in millions of </w:t>
      </w:r>
      <w:r w:rsidR="00E73792" w:rsidRPr="57DEF1DD">
        <w:rPr>
          <w:i/>
          <w:iCs/>
        </w:rPr>
        <w:t xml:space="preserve">United States </w:t>
      </w:r>
      <w:r w:rsidR="00DB52C7" w:rsidRPr="57DEF1DD">
        <w:rPr>
          <w:i/>
          <w:iCs/>
        </w:rPr>
        <w:t>dollars)</w:t>
      </w:r>
    </w:p>
    <w:p w14:paraId="4BCE62D1" w14:textId="4BAEC030" w:rsidR="00CE3B5E" w:rsidRPr="000E57AE" w:rsidRDefault="00CE3B5E" w:rsidP="003F5F37">
      <w:pPr>
        <w:pStyle w:val="SingleTxt"/>
        <w:keepNext/>
        <w:spacing w:line="240" w:lineRule="auto"/>
        <w:ind w:left="1530"/>
        <w:jc w:val="center"/>
      </w:pPr>
    </w:p>
    <w:p w14:paraId="78498519" w14:textId="72EB6776" w:rsidR="002865CE" w:rsidRPr="000E57AE" w:rsidRDefault="009941EA" w:rsidP="009D4BB3">
      <w:pPr>
        <w:pStyle w:val="SingleTxt"/>
        <w:numPr>
          <w:ilvl w:val="0"/>
          <w:numId w:val="5"/>
        </w:numPr>
        <w:tabs>
          <w:tab w:val="clear" w:pos="1742"/>
          <w:tab w:val="clear" w:pos="2218"/>
          <w:tab w:val="left" w:pos="1530"/>
        </w:tabs>
        <w:spacing w:before="240" w:after="240" w:line="240" w:lineRule="auto"/>
      </w:pPr>
      <w:r w:rsidRPr="000E57AE">
        <w:t xml:space="preserve">UNDP liabilities </w:t>
      </w:r>
      <w:r w:rsidR="00945345">
        <w:t xml:space="preserve">also </w:t>
      </w:r>
      <w:r w:rsidRPr="000E57AE">
        <w:t xml:space="preserve">include </w:t>
      </w:r>
      <w:r w:rsidR="00AB72AC" w:rsidRPr="000E57AE">
        <w:t>$1</w:t>
      </w:r>
      <w:r w:rsidR="00492099">
        <w:t>.4 billion</w:t>
      </w:r>
      <w:r w:rsidR="00AB72AC" w:rsidRPr="000E57AE">
        <w:t xml:space="preserve"> (201</w:t>
      </w:r>
      <w:r w:rsidR="00C14470">
        <w:t>8</w:t>
      </w:r>
      <w:r w:rsidR="00AB72AC" w:rsidRPr="000E57AE">
        <w:t xml:space="preserve">: </w:t>
      </w:r>
      <w:r w:rsidR="007805D5" w:rsidRPr="000E57AE">
        <w:t>$</w:t>
      </w:r>
      <w:r w:rsidR="00C14470">
        <w:t>1</w:t>
      </w:r>
      <w:r w:rsidR="00492099">
        <w:t>.3</w:t>
      </w:r>
      <w:r w:rsidR="00AB72AC" w:rsidRPr="000E57AE">
        <w:t xml:space="preserve"> </w:t>
      </w:r>
      <w:r w:rsidR="00492099">
        <w:t>b</w:t>
      </w:r>
      <w:r w:rsidR="00AB72AC" w:rsidRPr="000E57AE">
        <w:t xml:space="preserve">illion) </w:t>
      </w:r>
      <w:r w:rsidR="00E77C39">
        <w:t xml:space="preserve">in </w:t>
      </w:r>
      <w:r w:rsidR="00AB72AC" w:rsidRPr="000E57AE">
        <w:t>liabilities for employee benefits</w:t>
      </w:r>
      <w:r w:rsidR="003D3DAD" w:rsidRPr="000E57AE">
        <w:t xml:space="preserve">, of which </w:t>
      </w:r>
      <w:r w:rsidR="00AB72AC" w:rsidRPr="000E57AE">
        <w:t>$1</w:t>
      </w:r>
      <w:r w:rsidR="00492099">
        <w:t>.0 billion</w:t>
      </w:r>
      <w:r w:rsidR="00AB72AC" w:rsidRPr="000E57AE">
        <w:t xml:space="preserve"> </w:t>
      </w:r>
      <w:r w:rsidR="003D3DAD" w:rsidRPr="000E57AE">
        <w:t xml:space="preserve">is </w:t>
      </w:r>
      <w:r w:rsidR="00AB72AC" w:rsidRPr="000E57AE">
        <w:t>for after-service health insurance</w:t>
      </w:r>
      <w:r w:rsidR="007141E7" w:rsidRPr="000E57AE">
        <w:t xml:space="preserve"> (ASHI)</w:t>
      </w:r>
      <w:r w:rsidR="00AB72AC" w:rsidRPr="000E57AE">
        <w:t>.</w:t>
      </w:r>
      <w:r w:rsidR="002507A5" w:rsidRPr="000E57AE">
        <w:t xml:space="preserve"> </w:t>
      </w:r>
      <w:r w:rsidR="00830711">
        <w:t>In 201</w:t>
      </w:r>
      <w:r w:rsidR="00E93207">
        <w:t>9</w:t>
      </w:r>
      <w:r w:rsidR="00830711">
        <w:t xml:space="preserve">, </w:t>
      </w:r>
      <w:r w:rsidR="00E67FE8" w:rsidRPr="000E57AE">
        <w:t xml:space="preserve">ASHI liabilities </w:t>
      </w:r>
      <w:r w:rsidR="00956712">
        <w:t>increased</w:t>
      </w:r>
      <w:r w:rsidR="00E67FE8" w:rsidRPr="000E57AE">
        <w:t xml:space="preserve"> by </w:t>
      </w:r>
      <w:r w:rsidR="001D241F" w:rsidRPr="000E57AE">
        <w:t>$</w:t>
      </w:r>
      <w:r w:rsidR="00956712">
        <w:t>10</w:t>
      </w:r>
      <w:r w:rsidR="001D241F" w:rsidRPr="000E57AE">
        <w:t xml:space="preserve"> million (1 per cent)</w:t>
      </w:r>
      <w:r w:rsidR="004810FF" w:rsidRPr="000E57AE">
        <w:t xml:space="preserve"> from $</w:t>
      </w:r>
      <w:r w:rsidR="00956712">
        <w:t>1</w:t>
      </w:r>
      <w:r w:rsidR="00492099">
        <w:t>.0 billion</w:t>
      </w:r>
      <w:r w:rsidR="001B5A36" w:rsidRPr="000E57AE">
        <w:t xml:space="preserve">, resulting in an increase in the proportion of the liability funded </w:t>
      </w:r>
      <w:r w:rsidR="005253F5" w:rsidRPr="000E57AE">
        <w:t xml:space="preserve">fully </w:t>
      </w:r>
      <w:r w:rsidR="001B5A36" w:rsidRPr="000E57AE">
        <w:t xml:space="preserve">by UNDP from </w:t>
      </w:r>
      <w:r w:rsidR="00956712">
        <w:t>63</w:t>
      </w:r>
      <w:r w:rsidR="00830711">
        <w:t> </w:t>
      </w:r>
      <w:r w:rsidR="00AD0A96" w:rsidRPr="000E57AE">
        <w:t>per cent in 201</w:t>
      </w:r>
      <w:r w:rsidR="00956712">
        <w:t>8</w:t>
      </w:r>
      <w:r w:rsidR="00AD0A96" w:rsidRPr="000E57AE">
        <w:t xml:space="preserve"> to </w:t>
      </w:r>
      <w:r w:rsidR="00956712">
        <w:t>74</w:t>
      </w:r>
      <w:r w:rsidR="00AD0A96" w:rsidRPr="000E57AE">
        <w:t xml:space="preserve"> per cent in 201</w:t>
      </w:r>
      <w:r w:rsidR="00956712">
        <w:t>9</w:t>
      </w:r>
      <w:r w:rsidR="00D01A07" w:rsidRPr="000E57AE">
        <w:t xml:space="preserve">. </w:t>
      </w:r>
      <w:r w:rsidR="002865CE" w:rsidRPr="000E57AE">
        <w:t>UNDP participates in the United Nations system-wide valuation of post-retirement benefits, performed by an independent actuary. The latest valuation was carried out as at 31 December 201</w:t>
      </w:r>
      <w:r w:rsidR="002939C9">
        <w:t>9</w:t>
      </w:r>
      <w:r w:rsidR="00830711">
        <w:t xml:space="preserve"> and </w:t>
      </w:r>
      <w:r w:rsidR="004C6954">
        <w:t xml:space="preserve">the </w:t>
      </w:r>
      <w:r w:rsidR="00347B19">
        <w:t xml:space="preserve">$10 million </w:t>
      </w:r>
      <w:r w:rsidR="00AA1BF8">
        <w:t xml:space="preserve">increase </w:t>
      </w:r>
      <w:r w:rsidR="002865CE" w:rsidRPr="000E57AE">
        <w:t>(</w:t>
      </w:r>
      <w:r w:rsidR="000B2F3C" w:rsidRPr="000E57AE">
        <w:t>1</w:t>
      </w:r>
      <w:r w:rsidR="002865CE" w:rsidRPr="000E57AE">
        <w:t xml:space="preserve"> per cent) in the liability</w:t>
      </w:r>
      <w:r w:rsidR="00830711">
        <w:t xml:space="preserve"> was </w:t>
      </w:r>
      <w:r w:rsidR="004E70E6" w:rsidRPr="000E57AE">
        <w:t xml:space="preserve">largely due to </w:t>
      </w:r>
      <w:r w:rsidR="002939C9">
        <w:t xml:space="preserve">the decrease in valuation discount rates </w:t>
      </w:r>
      <w:r w:rsidR="00347B19">
        <w:t xml:space="preserve">as a result of </w:t>
      </w:r>
      <w:r w:rsidR="002939C9">
        <w:t>improved market yields during the year and a change in actuarial assumptions.</w:t>
      </w:r>
    </w:p>
    <w:p w14:paraId="378404AC" w14:textId="6A964AEF" w:rsidR="00715612" w:rsidRPr="000E57AE" w:rsidRDefault="002865CE" w:rsidP="009D4BB3">
      <w:pPr>
        <w:pStyle w:val="SingleTxt"/>
        <w:numPr>
          <w:ilvl w:val="0"/>
          <w:numId w:val="5"/>
        </w:numPr>
        <w:tabs>
          <w:tab w:val="clear" w:pos="1742"/>
          <w:tab w:val="clear" w:pos="2218"/>
          <w:tab w:val="left" w:pos="1530"/>
        </w:tabs>
        <w:spacing w:before="240" w:after="240" w:line="240" w:lineRule="auto"/>
      </w:pPr>
      <w:r w:rsidRPr="000E57AE">
        <w:t xml:space="preserve">UNDP </w:t>
      </w:r>
      <w:r w:rsidR="00C72513" w:rsidRPr="000E57AE">
        <w:t>continued to have</w:t>
      </w:r>
      <w:r w:rsidR="007F55BE" w:rsidRPr="000E57AE">
        <w:t xml:space="preserve"> </w:t>
      </w:r>
      <w:r w:rsidRPr="000E57AE">
        <w:t xml:space="preserve">a 15-year plan to fund its </w:t>
      </w:r>
      <w:r w:rsidR="00D725C3" w:rsidRPr="000E57AE">
        <w:t xml:space="preserve">ASHI </w:t>
      </w:r>
      <w:r w:rsidRPr="000E57AE">
        <w:t>liability</w:t>
      </w:r>
      <w:r w:rsidRPr="000E57AE" w:rsidDel="006B2048">
        <w:t xml:space="preserve">, </w:t>
      </w:r>
      <w:r w:rsidRPr="00C802E6" w:rsidDel="006B2048">
        <w:t xml:space="preserve">which </w:t>
      </w:r>
      <w:r w:rsidR="00A5372D">
        <w:t>is assessed periodically</w:t>
      </w:r>
      <w:r w:rsidRPr="000E57AE">
        <w:t>. Of the $1</w:t>
      </w:r>
      <w:r w:rsidR="00492099">
        <w:t>.0 billion</w:t>
      </w:r>
      <w:r w:rsidRPr="000E57AE">
        <w:t>, $</w:t>
      </w:r>
      <w:r w:rsidR="00D7200B">
        <w:t>775</w:t>
      </w:r>
      <w:r w:rsidR="009403B1">
        <w:t> </w:t>
      </w:r>
      <w:r w:rsidRPr="000E57AE">
        <w:t>million had been funded as of 31 December 201</w:t>
      </w:r>
      <w:r w:rsidR="00D7200B">
        <w:t>9</w:t>
      </w:r>
      <w:r w:rsidRPr="000E57AE">
        <w:t xml:space="preserve">. </w:t>
      </w:r>
      <w:r w:rsidR="007422CE" w:rsidRPr="000E57AE">
        <w:t>T</w:t>
      </w:r>
      <w:r w:rsidRPr="000E57AE">
        <w:t>he investment management of th</w:t>
      </w:r>
      <w:r w:rsidR="007422CE" w:rsidRPr="000E57AE">
        <w:t>is</w:t>
      </w:r>
      <w:r w:rsidRPr="000E57AE">
        <w:t xml:space="preserve"> portfolio </w:t>
      </w:r>
      <w:r w:rsidR="0097487B" w:rsidRPr="000E57AE">
        <w:t xml:space="preserve">is </w:t>
      </w:r>
      <w:r w:rsidR="00AA0029" w:rsidRPr="000E57AE">
        <w:t xml:space="preserve">fully </w:t>
      </w:r>
      <w:r w:rsidRPr="000E57AE">
        <w:t>outsourced to external managers</w:t>
      </w:r>
      <w:r w:rsidR="0097487B" w:rsidRPr="000E57AE">
        <w:t xml:space="preserve"> </w:t>
      </w:r>
      <w:r w:rsidR="00AA0029" w:rsidRPr="000E57AE">
        <w:t xml:space="preserve">to </w:t>
      </w:r>
      <w:r w:rsidRPr="000E57AE">
        <w:t>e</w:t>
      </w:r>
      <w:r w:rsidR="00AA0029" w:rsidRPr="000E57AE">
        <w:t>nsure an adequate level of investment return given the longer-term nature of the liabilities</w:t>
      </w:r>
      <w:r w:rsidRPr="000E57AE">
        <w:t xml:space="preserve">. UNDP, UNFPA, UNCDF, </w:t>
      </w:r>
      <w:r w:rsidR="009403B1">
        <w:t>the United Nations Children’s Fund (</w:t>
      </w:r>
      <w:r w:rsidR="007F55BE" w:rsidRPr="000E57AE">
        <w:t>UNICEF</w:t>
      </w:r>
      <w:r w:rsidR="009403B1">
        <w:t>)</w:t>
      </w:r>
      <w:r w:rsidRPr="000E57AE">
        <w:t xml:space="preserve"> and </w:t>
      </w:r>
      <w:r w:rsidR="009403B1">
        <w:t>the United Nations Entity for Gender Equality and the Empowerment of Women (</w:t>
      </w:r>
      <w:r w:rsidRPr="000E57AE">
        <w:t>UN-Women</w:t>
      </w:r>
      <w:r w:rsidR="009403B1">
        <w:t>)</w:t>
      </w:r>
      <w:r w:rsidRPr="000E57AE">
        <w:t xml:space="preserve"> collaborate in this arrangement</w:t>
      </w:r>
      <w:r w:rsidR="00AA0029" w:rsidRPr="000E57AE">
        <w:t>.</w:t>
      </w:r>
    </w:p>
    <w:p w14:paraId="5EB4063C" w14:textId="4D7FC782" w:rsidR="002865CE" w:rsidRPr="000E57AE" w:rsidRDefault="00F32955" w:rsidP="009D4BB3">
      <w:pPr>
        <w:pStyle w:val="SingleTxt"/>
        <w:numPr>
          <w:ilvl w:val="0"/>
          <w:numId w:val="5"/>
        </w:numPr>
        <w:tabs>
          <w:tab w:val="clear" w:pos="1742"/>
          <w:tab w:val="clear" w:pos="2218"/>
          <w:tab w:val="left" w:pos="1530"/>
        </w:tabs>
        <w:spacing w:before="240" w:after="240" w:line="240" w:lineRule="auto"/>
      </w:pPr>
      <w:r w:rsidRPr="000E57AE">
        <w:t>Payables</w:t>
      </w:r>
      <w:r w:rsidR="009403B1">
        <w:t xml:space="preserve"> (</w:t>
      </w:r>
      <w:r w:rsidRPr="000E57AE">
        <w:t>funds held in trust</w:t>
      </w:r>
      <w:r w:rsidR="009403B1">
        <w:t>)</w:t>
      </w:r>
      <w:r w:rsidRPr="000E57AE">
        <w:t xml:space="preserve"> represent </w:t>
      </w:r>
      <w:r w:rsidR="000B70F0" w:rsidRPr="000E57AE">
        <w:t>funds provided by donors to UNDP to be held on their behalf for future disbursement</w:t>
      </w:r>
      <w:r w:rsidR="00A612B4" w:rsidRPr="000E57AE">
        <w:t xml:space="preserve"> to organizations of the United Nations system and to national governments</w:t>
      </w:r>
      <w:r w:rsidR="005D0EA7" w:rsidRPr="000E57AE">
        <w:t xml:space="preserve">. </w:t>
      </w:r>
      <w:r w:rsidR="00007608" w:rsidRPr="000E57AE">
        <w:t>Th</w:t>
      </w:r>
      <w:r w:rsidR="00865ACC" w:rsidRPr="000E57AE">
        <w:t>e amount of $</w:t>
      </w:r>
      <w:r w:rsidR="00C12141">
        <w:t>1</w:t>
      </w:r>
      <w:r w:rsidR="00492099">
        <w:t>.1 billion</w:t>
      </w:r>
      <w:r w:rsidR="00865ACC" w:rsidRPr="000E57AE">
        <w:t xml:space="preserve"> </w:t>
      </w:r>
      <w:r w:rsidR="00795D85" w:rsidRPr="000E57AE">
        <w:t xml:space="preserve">in </w:t>
      </w:r>
      <w:r w:rsidR="00B617DC" w:rsidRPr="000E57AE">
        <w:t xml:space="preserve">figure </w:t>
      </w:r>
      <w:r w:rsidR="004D4DCC">
        <w:t>VII</w:t>
      </w:r>
      <w:r w:rsidR="00865ACC" w:rsidRPr="000E57AE">
        <w:t xml:space="preserve"> </w:t>
      </w:r>
      <w:r w:rsidR="00007608" w:rsidRPr="000E57AE">
        <w:t xml:space="preserve">includes </w:t>
      </w:r>
      <w:r w:rsidR="008A6441" w:rsidRPr="000E57AE">
        <w:t>$</w:t>
      </w:r>
      <w:r w:rsidR="009F70F1">
        <w:t>872</w:t>
      </w:r>
      <w:r w:rsidR="009F4790">
        <w:t> </w:t>
      </w:r>
      <w:r w:rsidR="008A6441" w:rsidRPr="000E57AE">
        <w:t xml:space="preserve">million </w:t>
      </w:r>
      <w:r w:rsidR="00BD4A79" w:rsidRPr="000E57AE">
        <w:t xml:space="preserve">for </w:t>
      </w:r>
      <w:r w:rsidR="00994639" w:rsidRPr="000E57AE">
        <w:t>multi-</w:t>
      </w:r>
      <w:r w:rsidR="00A23A31" w:rsidRPr="000E57AE">
        <w:t>partner trust funds that UNDP administers</w:t>
      </w:r>
      <w:r w:rsidR="009F4790">
        <w:t>,</w:t>
      </w:r>
      <w:r w:rsidR="00A23A31" w:rsidRPr="000E57AE">
        <w:t xml:space="preserve"> </w:t>
      </w:r>
      <w:r w:rsidR="008A6441" w:rsidRPr="000E57AE">
        <w:t>$</w:t>
      </w:r>
      <w:r w:rsidR="002A0A46">
        <w:t>168</w:t>
      </w:r>
      <w:r w:rsidR="008770B1" w:rsidRPr="000E57AE">
        <w:t xml:space="preserve"> million for </w:t>
      </w:r>
      <w:r w:rsidR="00805710" w:rsidRPr="000E57AE">
        <w:t>clearing accounts with United Na</w:t>
      </w:r>
      <w:r w:rsidR="0061284E" w:rsidRPr="000E57AE">
        <w:t>tions entities</w:t>
      </w:r>
      <w:r w:rsidR="008770B1" w:rsidRPr="000E57AE">
        <w:t>, and $</w:t>
      </w:r>
      <w:r w:rsidR="002A0A46">
        <w:t>91</w:t>
      </w:r>
      <w:r w:rsidR="008770B1" w:rsidRPr="000E57AE">
        <w:t xml:space="preserve"> million </w:t>
      </w:r>
      <w:r w:rsidR="00865ACC" w:rsidRPr="000E57AE">
        <w:t xml:space="preserve">for </w:t>
      </w:r>
      <w:r w:rsidR="00FC4D43" w:rsidRPr="000E57AE">
        <w:t>common services</w:t>
      </w:r>
      <w:r w:rsidR="006A7291">
        <w:t xml:space="preserve"> to United Nations entities</w:t>
      </w:r>
      <w:r w:rsidR="00FC4D43" w:rsidRPr="000E57AE">
        <w:t>.</w:t>
      </w:r>
    </w:p>
    <w:p w14:paraId="5C2ABD1C" w14:textId="54801A53" w:rsidR="00295AF8" w:rsidRPr="00BF7D9D" w:rsidRDefault="00295AF8" w:rsidP="005F648C">
      <w:pPr>
        <w:pStyle w:val="H1"/>
        <w:numPr>
          <w:ilvl w:val="1"/>
          <w:numId w:val="7"/>
        </w:numPr>
        <w:tabs>
          <w:tab w:val="clear" w:pos="1022"/>
          <w:tab w:val="clear" w:pos="1742"/>
          <w:tab w:val="right" w:pos="1440"/>
          <w:tab w:val="left" w:pos="1800"/>
        </w:tabs>
        <w:spacing w:before="240" w:after="240" w:line="240" w:lineRule="auto"/>
        <w:ind w:left="1152" w:right="0"/>
        <w:outlineLvl w:val="1"/>
      </w:pPr>
      <w:bookmarkStart w:id="387" w:name="_Toc46399217"/>
      <w:r w:rsidRPr="00BF7D9D">
        <w:t>Accumulated Surplus</w:t>
      </w:r>
      <w:bookmarkEnd w:id="387"/>
      <w:r w:rsidRPr="00BF7D9D">
        <w:t xml:space="preserve"> </w:t>
      </w:r>
    </w:p>
    <w:p w14:paraId="17F0931B" w14:textId="77DB9449" w:rsidR="009F70B4" w:rsidRPr="00BF7D9D" w:rsidRDefault="00836920" w:rsidP="009D4BB3">
      <w:pPr>
        <w:pStyle w:val="SingleTxt"/>
        <w:numPr>
          <w:ilvl w:val="0"/>
          <w:numId w:val="5"/>
        </w:numPr>
        <w:tabs>
          <w:tab w:val="clear" w:pos="1742"/>
          <w:tab w:val="clear" w:pos="2218"/>
          <w:tab w:val="left" w:pos="1530"/>
        </w:tabs>
        <w:spacing w:before="240" w:after="240" w:line="240" w:lineRule="auto"/>
      </w:pPr>
      <w:r w:rsidRPr="00BF7D9D">
        <w:t xml:space="preserve">The </w:t>
      </w:r>
      <w:r w:rsidR="00E605A4" w:rsidRPr="00BF7D9D">
        <w:t xml:space="preserve">financial regulations and rules </w:t>
      </w:r>
      <w:r w:rsidRPr="00BF7D9D">
        <w:t xml:space="preserve">of UNDP </w:t>
      </w:r>
      <w:r w:rsidR="00E605A4" w:rsidRPr="00BF7D9D">
        <w:t xml:space="preserve">require </w:t>
      </w:r>
      <w:r w:rsidR="004651F7" w:rsidRPr="00BF7D9D">
        <w:t>it</w:t>
      </w:r>
      <w:r w:rsidR="004651F7" w:rsidRPr="00BF7D9D" w:rsidDel="004651F7">
        <w:t xml:space="preserve"> </w:t>
      </w:r>
      <w:r w:rsidR="00E605A4" w:rsidRPr="00BF7D9D">
        <w:t>to operate on a fully</w:t>
      </w:r>
      <w:r w:rsidR="009403B1" w:rsidRPr="00BF7D9D">
        <w:t xml:space="preserve"> </w:t>
      </w:r>
      <w:r w:rsidR="00E605A4" w:rsidRPr="00BF7D9D">
        <w:t xml:space="preserve">funded basis for </w:t>
      </w:r>
      <w:r w:rsidR="00FC313E" w:rsidRPr="00BF7D9D">
        <w:t xml:space="preserve">activities funded by </w:t>
      </w:r>
      <w:r w:rsidR="00E605A4" w:rsidRPr="00BF7D9D">
        <w:t xml:space="preserve">other resources. In accordance with partnership agreements, all project balances are segregated for accounting and reporting purposes, with no commingling of balances between projects. Appropriate cash balances are held for </w:t>
      </w:r>
      <w:r w:rsidR="004B5A56" w:rsidRPr="00BF7D9D">
        <w:t xml:space="preserve">settling </w:t>
      </w:r>
      <w:r w:rsidR="00E605A4" w:rsidRPr="00BF7D9D">
        <w:t>liabilities.</w:t>
      </w:r>
    </w:p>
    <w:p w14:paraId="39AE6B48" w14:textId="088E51B1" w:rsidR="00DD0F41" w:rsidRPr="00BF7D9D" w:rsidRDefault="00DD0F41" w:rsidP="009D4BB3">
      <w:pPr>
        <w:pStyle w:val="SingleTxt"/>
        <w:numPr>
          <w:ilvl w:val="0"/>
          <w:numId w:val="5"/>
        </w:numPr>
        <w:spacing w:before="240" w:after="240" w:line="240" w:lineRule="auto"/>
      </w:pPr>
      <w:r w:rsidRPr="00BF7D9D">
        <w:t>UNDP receives programmatic resources for multi-year programmes link</w:t>
      </w:r>
      <w:r w:rsidR="000C015C" w:rsidRPr="00BF7D9D">
        <w:t>ed</w:t>
      </w:r>
      <w:r w:rsidRPr="00BF7D9D">
        <w:t xml:space="preserve"> to individual programmes or projects. Hence, in any given year</w:t>
      </w:r>
      <w:r w:rsidR="00825B48" w:rsidRPr="00BF7D9D">
        <w:t>,</w:t>
      </w:r>
      <w:r w:rsidRPr="00BF7D9D">
        <w:t xml:space="preserve"> there is an excess of resources over expenditure.  This excess of resources is referred to as the accumulated surplus, which consists mainly of resources committed for future programme delivery. </w:t>
      </w:r>
    </w:p>
    <w:p w14:paraId="0DE3AA5C" w14:textId="60803366" w:rsidR="008804E4" w:rsidRPr="00391F00" w:rsidRDefault="005B3D6B" w:rsidP="009D4BB3">
      <w:pPr>
        <w:pStyle w:val="SingleTxt"/>
        <w:numPr>
          <w:ilvl w:val="0"/>
          <w:numId w:val="5"/>
        </w:numPr>
        <w:spacing w:before="240" w:after="240" w:line="240" w:lineRule="auto"/>
      </w:pPr>
      <w:r w:rsidRPr="00391F00">
        <w:t>At 31 December 201</w:t>
      </w:r>
      <w:r w:rsidR="00070DCC" w:rsidRPr="00391F00">
        <w:t>9</w:t>
      </w:r>
      <w:r w:rsidRPr="00391F00">
        <w:t xml:space="preserve">, the accumulated </w:t>
      </w:r>
      <w:r w:rsidR="00E83200" w:rsidRPr="00391F00">
        <w:t>balance</w:t>
      </w:r>
      <w:r w:rsidRPr="00391F00">
        <w:t xml:space="preserve">, excluding reserves, </w:t>
      </w:r>
      <w:r w:rsidR="00FC0E90" w:rsidRPr="00391F00">
        <w:t>in</w:t>
      </w:r>
      <w:r w:rsidRPr="00391F00">
        <w:t xml:space="preserve">creased by </w:t>
      </w:r>
      <w:r w:rsidR="00AF087D" w:rsidRPr="00391F00">
        <w:t>0.8</w:t>
      </w:r>
      <w:r w:rsidRPr="00391F00">
        <w:t> per cent, to $</w:t>
      </w:r>
      <w:r w:rsidR="00AF087D" w:rsidRPr="00391F00">
        <w:t>9</w:t>
      </w:r>
      <w:r w:rsidR="00492099" w:rsidRPr="00391F00">
        <w:t>.4 billion</w:t>
      </w:r>
      <w:r w:rsidRPr="00391F00">
        <w:t xml:space="preserve"> (201</w:t>
      </w:r>
      <w:r w:rsidR="00AF087D" w:rsidRPr="00391F00">
        <w:t>8 (restated)</w:t>
      </w:r>
      <w:r w:rsidRPr="00391F00">
        <w:t>: $</w:t>
      </w:r>
      <w:r w:rsidR="00AF087D" w:rsidRPr="00391F00">
        <w:t>9</w:t>
      </w:r>
      <w:r w:rsidR="00492099" w:rsidRPr="00391F00">
        <w:t>.3</w:t>
      </w:r>
      <w:r w:rsidRPr="00391F00">
        <w:t xml:space="preserve"> </w:t>
      </w:r>
      <w:r w:rsidR="00492099" w:rsidRPr="00391F00">
        <w:t>b</w:t>
      </w:r>
      <w:r w:rsidRPr="00391F00">
        <w:t>illion)</w:t>
      </w:r>
      <w:r w:rsidR="008804E4" w:rsidRPr="00391F00">
        <w:t>.</w:t>
      </w:r>
      <w:r w:rsidR="001C4341" w:rsidRPr="00391F00">
        <w:t xml:space="preserve"> </w:t>
      </w:r>
      <w:r w:rsidR="00D37B2F" w:rsidRPr="00391F00">
        <w:t xml:space="preserve">The increase in accumulated balance </w:t>
      </w:r>
      <w:r w:rsidR="008F6B53">
        <w:t xml:space="preserve">from 2017 </w:t>
      </w:r>
      <w:r w:rsidR="00D37B2F" w:rsidRPr="00391F00">
        <w:t>is mostly attributed to the increase in receivables as a result of the change in the revenue recognition policy</w:t>
      </w:r>
      <w:r w:rsidR="008040A9" w:rsidRPr="00391F00">
        <w:t xml:space="preserve"> </w:t>
      </w:r>
      <w:r w:rsidR="00DF2011">
        <w:t xml:space="preserve">due to </w:t>
      </w:r>
      <w:r w:rsidR="008040A9" w:rsidRPr="00391F00">
        <w:t>International Public Sector Accounting Standards. Accordingly,</w:t>
      </w:r>
      <w:r w:rsidR="00A52A89" w:rsidRPr="00391F00">
        <w:t xml:space="preserve"> the </w:t>
      </w:r>
      <w:r w:rsidR="008804E4" w:rsidRPr="00391F00">
        <w:t>accumulated surplus now includes receivables from non-exchange transactions (net of past due) of $3</w:t>
      </w:r>
      <w:r w:rsidR="00492099" w:rsidRPr="00391F00">
        <w:t>.9 billion</w:t>
      </w:r>
      <w:r w:rsidR="008804E4" w:rsidRPr="00391F00">
        <w:t xml:space="preserve"> at 31 December 2019 (2018 (restated): $4</w:t>
      </w:r>
      <w:r w:rsidR="00492099" w:rsidRPr="00391F00">
        <w:t>.3 billion</w:t>
      </w:r>
      <w:r w:rsidR="008804E4" w:rsidRPr="00391F00">
        <w:t xml:space="preserve">). </w:t>
      </w:r>
      <w:r w:rsidR="000A5779" w:rsidRPr="00391F00">
        <w:t>Under U</w:t>
      </w:r>
      <w:r w:rsidR="008804E4" w:rsidRPr="00391F00">
        <w:t>NDP’s Financial Regulations and Rules, the organization is only permitted to spend when the cash is received</w:t>
      </w:r>
      <w:r w:rsidR="003D2590" w:rsidRPr="00391F00">
        <w:t xml:space="preserve">. </w:t>
      </w:r>
      <w:r w:rsidR="002306D2" w:rsidRPr="00391F00">
        <w:t xml:space="preserve"> i</w:t>
      </w:r>
      <w:r w:rsidR="003D2590" w:rsidRPr="00391F00">
        <w:t>.</w:t>
      </w:r>
      <w:r w:rsidR="002306D2" w:rsidRPr="00391F00">
        <w:t>e</w:t>
      </w:r>
      <w:r w:rsidR="003D2590" w:rsidRPr="00391F00">
        <w:t>.,</w:t>
      </w:r>
      <w:r w:rsidR="002306D2" w:rsidRPr="00391F00">
        <w:t xml:space="preserve"> </w:t>
      </w:r>
      <w:r w:rsidR="00296E3B" w:rsidRPr="00391F00">
        <w:t>t</w:t>
      </w:r>
      <w:r w:rsidR="003D2590" w:rsidRPr="00391F00">
        <w:t xml:space="preserve">he organization is not permitted to </w:t>
      </w:r>
      <w:r w:rsidR="002306D2" w:rsidRPr="00391F00">
        <w:t xml:space="preserve">spend </w:t>
      </w:r>
      <w:r w:rsidR="00CF5D9A" w:rsidRPr="00391F00">
        <w:t>the $3.9 billion</w:t>
      </w:r>
      <w:r w:rsidR="00D0208E" w:rsidRPr="00391F00">
        <w:t xml:space="preserve"> stated above</w:t>
      </w:r>
      <w:r w:rsidR="00CF5D9A" w:rsidRPr="00391F00">
        <w:t xml:space="preserve">. </w:t>
      </w:r>
      <w:r w:rsidR="00A52A89" w:rsidRPr="00391F00">
        <w:t xml:space="preserve">Figure </w:t>
      </w:r>
      <w:r w:rsidR="004D4DCC">
        <w:t>VIII</w:t>
      </w:r>
      <w:r w:rsidR="001943C4">
        <w:t xml:space="preserve"> (</w:t>
      </w:r>
      <w:r w:rsidR="00A52A89" w:rsidRPr="00391F00">
        <w:t>a</w:t>
      </w:r>
      <w:r w:rsidR="001943C4">
        <w:t>)</w:t>
      </w:r>
      <w:r w:rsidR="00A52A89" w:rsidRPr="00391F00">
        <w:t xml:space="preserve"> below </w:t>
      </w:r>
      <w:r w:rsidR="000F3281" w:rsidRPr="00391F00">
        <w:t>illustrates the trend in the accumulated balances</w:t>
      </w:r>
      <w:r w:rsidR="004129CA" w:rsidRPr="00391F00">
        <w:t xml:space="preserve">, and the impact of </w:t>
      </w:r>
      <w:r w:rsidR="008F6809" w:rsidRPr="00391F00">
        <w:t xml:space="preserve">changes in </w:t>
      </w:r>
      <w:r w:rsidR="004129CA" w:rsidRPr="00391F00">
        <w:t xml:space="preserve">the </w:t>
      </w:r>
      <w:r w:rsidR="00CE29A0" w:rsidRPr="00391F00">
        <w:t>receivables of non-exchange transactions</w:t>
      </w:r>
      <w:r w:rsidR="004129CA" w:rsidRPr="00391F00">
        <w:t xml:space="preserve">. </w:t>
      </w:r>
    </w:p>
    <w:p w14:paraId="13319B25" w14:textId="3140B4FC" w:rsidR="00394937" w:rsidRPr="003367B9" w:rsidRDefault="005605F7" w:rsidP="000B3DF2">
      <w:pPr>
        <w:keepNext/>
        <w:tabs>
          <w:tab w:val="left" w:pos="1260"/>
          <w:tab w:val="left" w:pos="1620"/>
          <w:tab w:val="left" w:pos="2218"/>
          <w:tab w:val="left" w:pos="2693"/>
          <w:tab w:val="left" w:pos="3182"/>
          <w:tab w:val="left" w:pos="3658"/>
          <w:tab w:val="left" w:pos="4133"/>
          <w:tab w:val="left" w:pos="4622"/>
          <w:tab w:val="left" w:pos="5098"/>
          <w:tab w:val="left" w:pos="5573"/>
          <w:tab w:val="left" w:pos="6048"/>
        </w:tabs>
        <w:ind w:left="1268" w:right="1267" w:hanging="274"/>
        <w:jc w:val="center"/>
        <w:rPr>
          <w:b/>
        </w:rPr>
      </w:pPr>
      <w:r w:rsidRPr="003367B9">
        <w:rPr>
          <w:b/>
          <w:bCs/>
        </w:rPr>
        <w:t xml:space="preserve">Figure </w:t>
      </w:r>
      <w:r w:rsidR="004D4DCC">
        <w:rPr>
          <w:b/>
          <w:bCs/>
        </w:rPr>
        <w:t>VIII</w:t>
      </w:r>
      <w:r w:rsidR="001943C4">
        <w:rPr>
          <w:b/>
          <w:bCs/>
        </w:rPr>
        <w:t xml:space="preserve"> (</w:t>
      </w:r>
      <w:r w:rsidR="0006661B" w:rsidRPr="003367B9">
        <w:rPr>
          <w:b/>
          <w:bCs/>
        </w:rPr>
        <w:t>a</w:t>
      </w:r>
      <w:r w:rsidR="001943C4">
        <w:rPr>
          <w:b/>
          <w:bCs/>
        </w:rPr>
        <w:t>)</w:t>
      </w:r>
      <w:r w:rsidR="0006661B" w:rsidRPr="003367B9">
        <w:rPr>
          <w:b/>
          <w:bCs/>
        </w:rPr>
        <w:t>.</w:t>
      </w:r>
      <w:r w:rsidRPr="003367B9">
        <w:rPr>
          <w:b/>
          <w:bCs/>
        </w:rPr>
        <w:t xml:space="preserve"> </w:t>
      </w:r>
      <w:r w:rsidR="00394937" w:rsidRPr="003367B9">
        <w:rPr>
          <w:b/>
        </w:rPr>
        <w:t>Accumulated balance, regular resources and other resources</w:t>
      </w:r>
    </w:p>
    <w:p w14:paraId="71198D64" w14:textId="4653A109" w:rsidR="00394937" w:rsidRDefault="00394937" w:rsidP="000B3DF2">
      <w:pPr>
        <w:keepNext/>
        <w:tabs>
          <w:tab w:val="left" w:pos="1260"/>
          <w:tab w:val="left" w:pos="1620"/>
          <w:tab w:val="left" w:pos="2218"/>
          <w:tab w:val="left" w:pos="2693"/>
          <w:tab w:val="left" w:pos="3182"/>
          <w:tab w:val="left" w:pos="3658"/>
          <w:tab w:val="left" w:pos="4133"/>
          <w:tab w:val="left" w:pos="4622"/>
          <w:tab w:val="left" w:pos="5098"/>
          <w:tab w:val="left" w:pos="5573"/>
          <w:tab w:val="left" w:pos="6048"/>
        </w:tabs>
        <w:ind w:left="1267" w:right="1267" w:hanging="277"/>
        <w:jc w:val="center"/>
        <w:rPr>
          <w:i/>
        </w:rPr>
      </w:pPr>
      <w:r w:rsidRPr="003367B9">
        <w:rPr>
          <w:i/>
        </w:rPr>
        <w:t>(in millions of United States dollars)</w:t>
      </w:r>
    </w:p>
    <w:p w14:paraId="70ADF044" w14:textId="3E8F5AF3" w:rsidR="00B04903" w:rsidRPr="003367B9" w:rsidRDefault="57DEF1DD" w:rsidP="00D118FF">
      <w:pPr>
        <w:keepNext/>
        <w:suppressAutoHyphens w:val="0"/>
        <w:spacing w:line="240" w:lineRule="auto"/>
        <w:rPr>
          <w:rFonts w:eastAsia="Times New Roman"/>
          <w:spacing w:val="0"/>
          <w:w w:val="100"/>
          <w:kern w:val="0"/>
          <w:sz w:val="24"/>
          <w:szCs w:val="24"/>
          <w:lang w:val="en-US" w:eastAsia="ja-JP"/>
        </w:rPr>
      </w:pPr>
      <w:r>
        <w:rPr>
          <w:noProof/>
        </w:rPr>
        <w:drawing>
          <wp:anchor distT="0" distB="0" distL="114300" distR="114300" simplePos="0" relativeHeight="251658247" behindDoc="1" locked="0" layoutInCell="1" allowOverlap="1" wp14:anchorId="56EE049A" wp14:editId="75CFA033">
            <wp:simplePos x="0" y="0"/>
            <wp:positionH relativeFrom="column">
              <wp:posOffset>638175</wp:posOffset>
            </wp:positionH>
            <wp:positionV relativeFrom="paragraph">
              <wp:posOffset>107950</wp:posOffset>
            </wp:positionV>
            <wp:extent cx="5192395" cy="2409825"/>
            <wp:effectExtent l="0" t="0" r="8255" b="9525"/>
            <wp:wrapTight wrapText="bothSides">
              <wp:wrapPolygon edited="0">
                <wp:start x="0" y="0"/>
                <wp:lineTo x="0" y="21515"/>
                <wp:lineTo x="21555" y="21515"/>
                <wp:lineTo x="21555" y="0"/>
                <wp:lineTo x="0" y="0"/>
              </wp:wrapPolygon>
            </wp:wrapTight>
            <wp:docPr id="2032223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28">
                      <a:extLst>
                        <a:ext uri="{28A0092B-C50C-407E-A947-70E740481C1C}">
                          <a14:useLocalDpi xmlns:a14="http://schemas.microsoft.com/office/drawing/2010/main" val="0"/>
                        </a:ext>
                      </a:extLst>
                    </a:blip>
                    <a:srcRect t="5948"/>
                    <a:stretch/>
                  </pic:blipFill>
                  <pic:spPr bwMode="auto">
                    <a:xfrm>
                      <a:off x="0" y="0"/>
                      <a:ext cx="5192395" cy="2409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7E04" w:rsidRPr="57DEF1DD">
        <w:rPr>
          <w:i/>
          <w:iCs/>
        </w:rPr>
        <w:t xml:space="preserve"> </w:t>
      </w:r>
    </w:p>
    <w:p w14:paraId="0253B70F" w14:textId="5696A844" w:rsidR="00FF1714" w:rsidRPr="00DE2E51" w:rsidRDefault="00836797" w:rsidP="00721BED">
      <w:pPr>
        <w:pStyle w:val="ListParagraph"/>
        <w:numPr>
          <w:ilvl w:val="0"/>
          <w:numId w:val="5"/>
        </w:numPr>
        <w:tabs>
          <w:tab w:val="left" w:pos="1530"/>
        </w:tabs>
        <w:spacing w:before="240" w:after="240" w:line="240" w:lineRule="auto"/>
        <w:ind w:right="1267"/>
        <w:jc w:val="both"/>
      </w:pPr>
      <w:r w:rsidRPr="00391F00" w:rsidDel="00DA1CB8">
        <w:t>Available accumulated regular resource</w:t>
      </w:r>
      <w:r w:rsidR="00224A8B">
        <w:t>s</w:t>
      </w:r>
      <w:r w:rsidRPr="00391F00" w:rsidDel="00DA1CB8">
        <w:t xml:space="preserve"> (core) increased by $187 million mainly due </w:t>
      </w:r>
      <w:r w:rsidRPr="00DE2E51" w:rsidDel="00DA1CB8">
        <w:t xml:space="preserve">to </w:t>
      </w:r>
      <w:r w:rsidR="003830A8" w:rsidRPr="00DE2E51">
        <w:t xml:space="preserve">a </w:t>
      </w:r>
      <w:r w:rsidR="0030652C" w:rsidRPr="00DE2E51">
        <w:t xml:space="preserve">small </w:t>
      </w:r>
      <w:r w:rsidR="00876B80" w:rsidRPr="00DE2E51">
        <w:t>surplus</w:t>
      </w:r>
      <w:r w:rsidR="08EF2672" w:rsidRPr="00DE2E51">
        <w:t xml:space="preserve"> balance </w:t>
      </w:r>
      <w:r w:rsidRPr="00DE2E51" w:rsidDel="00DA1CB8">
        <w:t xml:space="preserve">of $58 million in 2019, </w:t>
      </w:r>
      <w:r w:rsidR="009A59DF" w:rsidRPr="00DE2E51">
        <w:t>along with an increase</w:t>
      </w:r>
      <w:r w:rsidR="00311FB9" w:rsidRPr="00DE2E51">
        <w:t xml:space="preserve"> </w:t>
      </w:r>
      <w:r w:rsidRPr="00DE2E51" w:rsidDel="00DA1CB8">
        <w:t xml:space="preserve">in the fair value of ASHI investments and an actuarial gain. The fair value change in ASHI investments and </w:t>
      </w:r>
      <w:r w:rsidR="00E86913" w:rsidRPr="00DE2E51">
        <w:t xml:space="preserve">the </w:t>
      </w:r>
      <w:r w:rsidRPr="00DE2E51" w:rsidDel="00DA1CB8">
        <w:t>actuarial gains are unrealized and therefore non-programmable.</w:t>
      </w:r>
      <w:r w:rsidR="000C015C" w:rsidRPr="00DE2E51">
        <w:t xml:space="preserve">  In addition, in line with Board decision 1999/9, a prudent level of liquidity for regular resources is equivalent to three to six months’ expenditures. UNDP maintained the year-end core liquidity position at 6.61 months of working capital, above the minimum threshold (2018: 7.61 months).</w:t>
      </w:r>
      <w:r w:rsidR="009A59DF" w:rsidRPr="00DE2E51">
        <w:t xml:space="preserve"> </w:t>
      </w:r>
    </w:p>
    <w:p w14:paraId="3CF951AF" w14:textId="122C2B18" w:rsidR="00601730" w:rsidRPr="00A946C4" w:rsidRDefault="00FF1714" w:rsidP="009D4BB3">
      <w:pPr>
        <w:numPr>
          <w:ilvl w:val="0"/>
          <w:numId w:val="5"/>
        </w:numPr>
        <w:tabs>
          <w:tab w:val="left" w:pos="1267"/>
          <w:tab w:val="left" w:pos="1530"/>
          <w:tab w:val="left" w:pos="2693"/>
          <w:tab w:val="left" w:pos="3182"/>
          <w:tab w:val="left" w:pos="3658"/>
          <w:tab w:val="left" w:pos="4133"/>
          <w:tab w:val="left" w:pos="4622"/>
          <w:tab w:val="left" w:pos="5098"/>
          <w:tab w:val="left" w:pos="5573"/>
          <w:tab w:val="left" w:pos="6048"/>
        </w:tabs>
        <w:spacing w:before="240" w:after="240" w:line="240" w:lineRule="auto"/>
        <w:ind w:right="1267"/>
        <w:jc w:val="both"/>
      </w:pPr>
      <w:r w:rsidRPr="00DE2E51">
        <w:t xml:space="preserve">Total accumulated </w:t>
      </w:r>
      <w:r w:rsidR="00DA1CB8" w:rsidRPr="00DE2E51">
        <w:t>other resources (</w:t>
      </w:r>
      <w:r w:rsidRPr="00DE2E51">
        <w:t>non-core</w:t>
      </w:r>
      <w:r w:rsidR="00DA1CB8" w:rsidRPr="00DE2E51">
        <w:t>)</w:t>
      </w:r>
      <w:r w:rsidRPr="00DE2E51">
        <w:t xml:space="preserve"> programme balances remained fairly flat in 2019 compared to 2018</w:t>
      </w:r>
      <w:r w:rsidR="004B7D62" w:rsidRPr="00DE2E51">
        <w:t>.</w:t>
      </w:r>
      <w:r w:rsidRPr="00DE2E51">
        <w:t>UNDP continued to seek opportunities to accelerate the delivery of development results and further draw down its accumulated balance, taking into account the late receipt of funds in 2019. Contributions received in the last quarter at 37 per cent (2018: 38 per cent) of</w:t>
      </w:r>
      <w:r w:rsidRPr="00A946C4">
        <w:t xml:space="preserve"> total contributions in 2019 were too late for delivery in the same year and will have to be budgeted in the following year. Early payments of contributions by funding partners aid the timely delivery of development results.</w:t>
      </w:r>
    </w:p>
    <w:p w14:paraId="4D8F0EE1" w14:textId="23E28A75" w:rsidR="00826095" w:rsidRPr="00A946C4" w:rsidRDefault="00826095" w:rsidP="009D4BB3">
      <w:pPr>
        <w:pStyle w:val="SingleTxt"/>
        <w:numPr>
          <w:ilvl w:val="0"/>
          <w:numId w:val="5"/>
        </w:numPr>
        <w:tabs>
          <w:tab w:val="clear" w:pos="1742"/>
          <w:tab w:val="clear" w:pos="2218"/>
          <w:tab w:val="left" w:pos="1530"/>
        </w:tabs>
        <w:spacing w:before="240" w:after="240" w:line="240" w:lineRule="auto"/>
      </w:pPr>
      <w:r w:rsidRPr="00A946C4">
        <w:t xml:space="preserve">In 2019, $6 million (2018: $10 million) was released to the accumulated surpluses from the operational reserve, in accordance with the operational reserve formula approved by the Executive Board in decision 1999/9. </w:t>
      </w:r>
    </w:p>
    <w:p w14:paraId="53AB5B7C" w14:textId="37F9D6F6" w:rsidR="00DA1CB8" w:rsidRPr="00A946C4" w:rsidRDefault="000320CC" w:rsidP="009D4BB3">
      <w:pPr>
        <w:pStyle w:val="SingleTxt"/>
        <w:numPr>
          <w:ilvl w:val="0"/>
          <w:numId w:val="5"/>
        </w:numPr>
        <w:tabs>
          <w:tab w:val="clear" w:pos="1742"/>
          <w:tab w:val="clear" w:pos="2218"/>
          <w:tab w:val="left" w:pos="1530"/>
        </w:tabs>
        <w:spacing w:before="240" w:after="240" w:line="240" w:lineRule="auto"/>
      </w:pPr>
      <w:r w:rsidRPr="00A946C4">
        <w:t xml:space="preserve">The attribution of the accumulated </w:t>
      </w:r>
      <w:r w:rsidR="004E26A8" w:rsidRPr="00A946C4">
        <w:t xml:space="preserve">balance </w:t>
      </w:r>
      <w:r w:rsidRPr="00A946C4">
        <w:t>to the various funding sources</w:t>
      </w:r>
      <w:r w:rsidR="00705947" w:rsidRPr="00A946C4">
        <w:t xml:space="preserve"> for future delivery </w:t>
      </w:r>
      <w:r w:rsidRPr="00A946C4">
        <w:t xml:space="preserve">is set out in </w:t>
      </w:r>
      <w:r w:rsidR="00F43855" w:rsidRPr="00A946C4">
        <w:t xml:space="preserve">figure </w:t>
      </w:r>
      <w:r w:rsidR="004D4DCC">
        <w:t>VIII</w:t>
      </w:r>
      <w:r w:rsidR="001943C4">
        <w:t xml:space="preserve"> (</w:t>
      </w:r>
      <w:r w:rsidR="00F43855" w:rsidRPr="00A946C4">
        <w:t>b</w:t>
      </w:r>
      <w:r w:rsidR="001943C4">
        <w:t>)</w:t>
      </w:r>
      <w:r w:rsidR="00636AF8">
        <w:t xml:space="preserve"> below</w:t>
      </w:r>
      <w:r w:rsidRPr="00A946C4">
        <w:t>.</w:t>
      </w:r>
      <w:r w:rsidR="007216F6" w:rsidRPr="00A946C4">
        <w:t xml:space="preserve"> </w:t>
      </w:r>
      <w:r w:rsidR="00194299" w:rsidRPr="00A946C4">
        <w:t xml:space="preserve"> This comprised of donor cost-sharing </w:t>
      </w:r>
      <w:r w:rsidR="08051FD4" w:rsidRPr="00A946C4">
        <w:t xml:space="preserve">balance </w:t>
      </w:r>
      <w:r w:rsidR="000C48ED" w:rsidRPr="00A946C4">
        <w:t xml:space="preserve">of </w:t>
      </w:r>
      <w:r w:rsidR="004562C4" w:rsidRPr="00A946C4">
        <w:t>$4</w:t>
      </w:r>
      <w:r w:rsidR="00FD5580" w:rsidRPr="00A946C4">
        <w:t>.3 billion</w:t>
      </w:r>
      <w:r w:rsidR="004562C4" w:rsidRPr="00A946C4">
        <w:t xml:space="preserve"> (2018</w:t>
      </w:r>
      <w:r w:rsidR="00DF098A" w:rsidRPr="00A946C4">
        <w:t xml:space="preserve"> (restated): </w:t>
      </w:r>
      <w:r w:rsidR="00B0578E" w:rsidRPr="00A946C4">
        <w:t>$</w:t>
      </w:r>
      <w:r w:rsidR="00FD5580" w:rsidRPr="00A946C4">
        <w:t>3.9 billion</w:t>
      </w:r>
      <w:r w:rsidR="005C440D" w:rsidRPr="00A946C4">
        <w:t>)</w:t>
      </w:r>
      <w:r w:rsidR="00BC6476" w:rsidRPr="00A946C4">
        <w:t>,</w:t>
      </w:r>
      <w:r w:rsidR="00632561" w:rsidRPr="00A946C4">
        <w:t xml:space="preserve"> vertical funds </w:t>
      </w:r>
      <w:r w:rsidR="61EF062E" w:rsidRPr="00A946C4">
        <w:t xml:space="preserve">balance </w:t>
      </w:r>
      <w:r w:rsidR="00632561" w:rsidRPr="00A946C4">
        <w:t>of $2</w:t>
      </w:r>
      <w:r w:rsidR="00FD5580" w:rsidRPr="00A946C4">
        <w:t>.5 billion</w:t>
      </w:r>
      <w:r w:rsidR="00632561" w:rsidRPr="00A946C4">
        <w:t xml:space="preserve"> (2018 (restated): $</w:t>
      </w:r>
      <w:r w:rsidR="00FD5580" w:rsidRPr="00A946C4">
        <w:t>3.0 billion</w:t>
      </w:r>
      <w:r w:rsidR="00632561" w:rsidRPr="00A946C4">
        <w:t>),</w:t>
      </w:r>
      <w:r w:rsidR="00CB6E74" w:rsidRPr="00A946C4">
        <w:t xml:space="preserve"> </w:t>
      </w:r>
      <w:r w:rsidR="00D36EFD" w:rsidRPr="00A946C4">
        <w:t>programme cost-sharing</w:t>
      </w:r>
      <w:r w:rsidR="7636703D" w:rsidRPr="00A946C4">
        <w:t xml:space="preserve"> balance </w:t>
      </w:r>
      <w:r w:rsidR="006A7517" w:rsidRPr="00A946C4">
        <w:t>of $821 million (2018 (restated): $</w:t>
      </w:r>
      <w:r w:rsidR="00CA3BB9" w:rsidRPr="00A946C4">
        <w:t>853</w:t>
      </w:r>
      <w:r w:rsidR="006A7517" w:rsidRPr="00A946C4">
        <w:t xml:space="preserve"> million),</w:t>
      </w:r>
      <w:r w:rsidR="00CA3BB9" w:rsidRPr="00A946C4">
        <w:t xml:space="preserve"> regular resources </w:t>
      </w:r>
      <w:r w:rsidR="02064447" w:rsidRPr="00A946C4">
        <w:t xml:space="preserve">balance </w:t>
      </w:r>
      <w:r w:rsidR="00CA3BB9" w:rsidRPr="00A946C4">
        <w:t>of $757 million (2018 (restated): $</w:t>
      </w:r>
      <w:r w:rsidR="00B13274" w:rsidRPr="00A946C4">
        <w:t>570</w:t>
      </w:r>
      <w:r w:rsidR="00CA3BB9" w:rsidRPr="00A946C4">
        <w:t xml:space="preserve"> million),</w:t>
      </w:r>
      <w:r w:rsidR="00626C31" w:rsidRPr="00A946C4">
        <w:t xml:space="preserve"> reimbursable support services </w:t>
      </w:r>
      <w:r w:rsidR="5D29570F" w:rsidRPr="00A946C4">
        <w:t xml:space="preserve">balance </w:t>
      </w:r>
      <w:r w:rsidR="00626C31" w:rsidRPr="00A946C4">
        <w:t xml:space="preserve">of $548 million (2018 (restated): $502 million), and trust funds </w:t>
      </w:r>
      <w:r w:rsidR="7D706C92" w:rsidRPr="00A946C4">
        <w:t xml:space="preserve">balance </w:t>
      </w:r>
      <w:r w:rsidR="00626C31" w:rsidRPr="00A946C4">
        <w:t>of $421 million (2018 (restated): $453 million).</w:t>
      </w:r>
    </w:p>
    <w:p w14:paraId="33D36C71" w14:textId="06B863E7" w:rsidR="00F833DE" w:rsidRPr="001E5A83" w:rsidRDefault="00FA309C" w:rsidP="007A712B">
      <w:pPr>
        <w:keepNext/>
        <w:tabs>
          <w:tab w:val="left" w:pos="1267"/>
          <w:tab w:val="left" w:pos="1620"/>
          <w:tab w:val="left" w:pos="2218"/>
          <w:tab w:val="left" w:pos="2693"/>
          <w:tab w:val="left" w:pos="3182"/>
          <w:tab w:val="left" w:pos="3658"/>
          <w:tab w:val="left" w:pos="4133"/>
          <w:tab w:val="left" w:pos="4622"/>
          <w:tab w:val="left" w:pos="5098"/>
          <w:tab w:val="left" w:pos="5573"/>
          <w:tab w:val="left" w:pos="6048"/>
        </w:tabs>
        <w:ind w:left="1526" w:right="1267"/>
        <w:jc w:val="center"/>
      </w:pPr>
      <w:r w:rsidRPr="00723150">
        <w:rPr>
          <w:b/>
        </w:rPr>
        <w:t xml:space="preserve">Figure </w:t>
      </w:r>
      <w:r w:rsidR="004D4DCC">
        <w:rPr>
          <w:b/>
        </w:rPr>
        <w:t>VIII</w:t>
      </w:r>
      <w:r w:rsidR="001943C4">
        <w:rPr>
          <w:b/>
        </w:rPr>
        <w:t xml:space="preserve"> (</w:t>
      </w:r>
      <w:r w:rsidRPr="00723150">
        <w:rPr>
          <w:b/>
        </w:rPr>
        <w:t>b</w:t>
      </w:r>
      <w:r w:rsidR="001943C4">
        <w:rPr>
          <w:b/>
        </w:rPr>
        <w:t>)</w:t>
      </w:r>
      <w:r w:rsidRPr="00723150">
        <w:rPr>
          <w:b/>
        </w:rPr>
        <w:t xml:space="preserve">. </w:t>
      </w:r>
      <w:r w:rsidR="00F833DE" w:rsidRPr="001E5A83">
        <w:rPr>
          <w:b/>
        </w:rPr>
        <w:t>Accumulated balance by funding source, 2018-2019</w:t>
      </w:r>
    </w:p>
    <w:p w14:paraId="47CDE658" w14:textId="4D0307B9" w:rsidR="00F833DE" w:rsidRDefault="00F833DE" w:rsidP="007A712B">
      <w:pPr>
        <w:pStyle w:val="SingleTxt"/>
        <w:keepNext/>
        <w:tabs>
          <w:tab w:val="clear" w:pos="1742"/>
          <w:tab w:val="left" w:pos="1620"/>
        </w:tabs>
        <w:spacing w:after="0"/>
        <w:ind w:left="1526"/>
        <w:jc w:val="center"/>
        <w:rPr>
          <w:i/>
          <w:iCs/>
        </w:rPr>
      </w:pPr>
      <w:r w:rsidRPr="11D2A197">
        <w:rPr>
          <w:i/>
          <w:iCs/>
        </w:rPr>
        <w:t xml:space="preserve"> </w:t>
      </w:r>
      <w:r>
        <w:rPr>
          <w:i/>
          <w:iCs/>
        </w:rPr>
        <w:tab/>
      </w:r>
      <w:r w:rsidRPr="11D2A197">
        <w:rPr>
          <w:i/>
          <w:iCs/>
        </w:rPr>
        <w:t>(in millions of United States dollars)</w:t>
      </w:r>
    </w:p>
    <w:p w14:paraId="72355EDE" w14:textId="3999F154" w:rsidR="009501F8" w:rsidRDefault="007A712B" w:rsidP="00B04903">
      <w:pPr>
        <w:pStyle w:val="SingleTxt"/>
        <w:tabs>
          <w:tab w:val="clear" w:pos="1742"/>
          <w:tab w:val="left" w:pos="1620"/>
        </w:tabs>
        <w:spacing w:after="0"/>
        <w:ind w:left="0"/>
        <w:rPr>
          <w:i/>
        </w:rPr>
      </w:pPr>
      <w:r>
        <w:rPr>
          <w:noProof/>
        </w:rPr>
        <w:drawing>
          <wp:anchor distT="0" distB="0" distL="114300" distR="114300" simplePos="0" relativeHeight="251658253" behindDoc="1" locked="0" layoutInCell="1" allowOverlap="1" wp14:anchorId="2B6F37FA" wp14:editId="20F6CAE4">
            <wp:simplePos x="0" y="0"/>
            <wp:positionH relativeFrom="column">
              <wp:posOffset>647065</wp:posOffset>
            </wp:positionH>
            <wp:positionV relativeFrom="paragraph">
              <wp:posOffset>0</wp:posOffset>
            </wp:positionV>
            <wp:extent cx="5269865" cy="2242820"/>
            <wp:effectExtent l="0" t="0" r="6985" b="5080"/>
            <wp:wrapTight wrapText="bothSides">
              <wp:wrapPolygon edited="0">
                <wp:start x="0" y="0"/>
                <wp:lineTo x="0" y="21465"/>
                <wp:lineTo x="21551" y="21465"/>
                <wp:lineTo x="215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69865" cy="2242820"/>
                    </a:xfrm>
                    <a:prstGeom prst="rect">
                      <a:avLst/>
                    </a:prstGeom>
                  </pic:spPr>
                </pic:pic>
              </a:graphicData>
            </a:graphic>
            <wp14:sizeRelH relativeFrom="margin">
              <wp14:pctWidth>0</wp14:pctWidth>
            </wp14:sizeRelH>
            <wp14:sizeRelV relativeFrom="margin">
              <wp14:pctHeight>0</wp14:pctHeight>
            </wp14:sizeRelV>
          </wp:anchor>
        </w:drawing>
      </w:r>
    </w:p>
    <w:p w14:paraId="2CAE8044" w14:textId="00E6D7B8" w:rsidR="003A4B22" w:rsidRDefault="003A4B22" w:rsidP="007216F6">
      <w:pPr>
        <w:pStyle w:val="SingleTxt"/>
        <w:tabs>
          <w:tab w:val="clear" w:pos="1742"/>
          <w:tab w:val="clear" w:pos="2218"/>
          <w:tab w:val="left" w:pos="1530"/>
        </w:tabs>
        <w:spacing w:before="240" w:after="240" w:line="240" w:lineRule="auto"/>
        <w:ind w:left="0"/>
      </w:pPr>
      <w:bookmarkStart w:id="388" w:name="_Hlk517100525"/>
    </w:p>
    <w:p w14:paraId="419A136C" w14:textId="021CC6B4" w:rsidR="00DA1CB8" w:rsidRPr="00A946C4" w:rsidRDefault="00DA1CB8" w:rsidP="009D4BB3">
      <w:pPr>
        <w:pStyle w:val="SingleTxt"/>
        <w:numPr>
          <w:ilvl w:val="0"/>
          <w:numId w:val="5"/>
        </w:numPr>
        <w:tabs>
          <w:tab w:val="clear" w:pos="1742"/>
          <w:tab w:val="clear" w:pos="2218"/>
          <w:tab w:val="left" w:pos="1530"/>
        </w:tabs>
        <w:spacing w:before="240" w:after="240" w:line="240" w:lineRule="auto"/>
      </w:pPr>
      <w:r w:rsidRPr="00A946C4">
        <w:t xml:space="preserve">Accumulated resources </w:t>
      </w:r>
      <w:r w:rsidR="008A32D3" w:rsidRPr="00A946C4">
        <w:t xml:space="preserve">of </w:t>
      </w:r>
      <w:r w:rsidRPr="00A946C4">
        <w:t>donor cost-sharing increased by $404 million</w:t>
      </w:r>
      <w:r w:rsidR="001354AC" w:rsidRPr="00A946C4">
        <w:t xml:space="preserve">, of which, </w:t>
      </w:r>
      <w:r w:rsidR="00290799" w:rsidRPr="00A946C4">
        <w:t>$18</w:t>
      </w:r>
      <w:r w:rsidR="008C3A14" w:rsidRPr="00A946C4">
        <w:t>3 million is due to the resources transferred by the Multi-Partner Trust Fund Office and $</w:t>
      </w:r>
      <w:r w:rsidR="004C3B64" w:rsidRPr="00A946C4">
        <w:t>65 million is due to</w:t>
      </w:r>
      <w:r w:rsidR="00751CCD" w:rsidRPr="00A946C4">
        <w:t xml:space="preserve"> resources </w:t>
      </w:r>
      <w:r w:rsidR="009578BB" w:rsidRPr="00A946C4">
        <w:t xml:space="preserve">from </w:t>
      </w:r>
      <w:r w:rsidR="00751CCD" w:rsidRPr="00A946C4">
        <w:t>UN agencies</w:t>
      </w:r>
      <w:r w:rsidR="009578BB" w:rsidRPr="00A946C4">
        <w:t xml:space="preserve">. </w:t>
      </w:r>
      <w:r w:rsidR="00004B02" w:rsidRPr="00A946C4">
        <w:t xml:space="preserve">Accumulated resources of vertical funds </w:t>
      </w:r>
      <w:r w:rsidR="008B41B8" w:rsidRPr="00A946C4">
        <w:t>decreased</w:t>
      </w:r>
      <w:r w:rsidR="00004B02" w:rsidRPr="00A946C4">
        <w:t xml:space="preserve"> by </w:t>
      </w:r>
      <w:r w:rsidR="00C26C23" w:rsidRPr="00A946C4">
        <w:t>$500 million</w:t>
      </w:r>
      <w:r w:rsidR="00A23922" w:rsidRPr="00A946C4">
        <w:t>,</w:t>
      </w:r>
      <w:r w:rsidR="00C26C23" w:rsidRPr="00A946C4">
        <w:t xml:space="preserve"> of which </w:t>
      </w:r>
      <w:r w:rsidR="00410D20" w:rsidRPr="00A946C4">
        <w:t>$296 million</w:t>
      </w:r>
      <w:r w:rsidR="004A60A5" w:rsidRPr="00A946C4">
        <w:t xml:space="preserve"> </w:t>
      </w:r>
      <w:r w:rsidR="00A23922" w:rsidRPr="00A946C4">
        <w:t>is</w:t>
      </w:r>
      <w:r w:rsidR="004A60A5" w:rsidRPr="00A946C4">
        <w:t xml:space="preserve"> </w:t>
      </w:r>
      <w:r w:rsidR="001354AC" w:rsidRPr="00A946C4">
        <w:t xml:space="preserve">due to </w:t>
      </w:r>
      <w:r w:rsidR="000F4AD0" w:rsidRPr="00A946C4">
        <w:t xml:space="preserve">reduction of the </w:t>
      </w:r>
      <w:r w:rsidR="7E039220" w:rsidRPr="00A946C4">
        <w:t xml:space="preserve">balance </w:t>
      </w:r>
      <w:r w:rsidR="001354AC" w:rsidRPr="00A946C4">
        <w:t>from the Global Fund to Fight AIDS, Tuberculosis and Malaria.</w:t>
      </w:r>
    </w:p>
    <w:p w14:paraId="57C0280B" w14:textId="34931546" w:rsidR="00E605A4" w:rsidRPr="00B80473" w:rsidRDefault="00E605A4" w:rsidP="005F648C">
      <w:pPr>
        <w:pStyle w:val="HCh"/>
        <w:numPr>
          <w:ilvl w:val="0"/>
          <w:numId w:val="13"/>
        </w:numPr>
        <w:spacing w:before="360" w:after="240" w:line="240" w:lineRule="auto"/>
        <w:ind w:right="1267"/>
      </w:pPr>
      <w:bookmarkStart w:id="389" w:name="_Toc46221154"/>
      <w:bookmarkStart w:id="390" w:name="_Toc46399219"/>
      <w:bookmarkEnd w:id="389"/>
      <w:r w:rsidRPr="00B80473">
        <w:t>Others</w:t>
      </w:r>
      <w:bookmarkEnd w:id="390"/>
    </w:p>
    <w:p w14:paraId="315C324C" w14:textId="2620D728" w:rsidR="005C7045" w:rsidRPr="000E57AE" w:rsidRDefault="005C7045" w:rsidP="009E5F63">
      <w:pPr>
        <w:pStyle w:val="H4"/>
        <w:tabs>
          <w:tab w:val="clear" w:pos="1267"/>
          <w:tab w:val="clear" w:pos="1742"/>
          <w:tab w:val="left" w:pos="1260"/>
          <w:tab w:val="left" w:pos="1440"/>
          <w:tab w:val="left" w:pos="1620"/>
        </w:tabs>
        <w:spacing w:before="240" w:after="240" w:line="240" w:lineRule="auto"/>
        <w:ind w:left="1008" w:firstLine="0"/>
        <w:outlineLvl w:val="2"/>
      </w:pPr>
      <w:bookmarkStart w:id="391" w:name="_Toc39596268"/>
      <w:bookmarkStart w:id="392" w:name="_Toc40281219"/>
      <w:bookmarkStart w:id="393" w:name="_Toc40281378"/>
      <w:bookmarkStart w:id="394" w:name="_Toc44499898"/>
      <w:bookmarkStart w:id="395" w:name="_Toc44603246"/>
      <w:bookmarkStart w:id="396" w:name="_Toc44606559"/>
      <w:bookmarkStart w:id="397" w:name="_Toc45297443"/>
      <w:bookmarkStart w:id="398" w:name="_Toc46221156"/>
      <w:bookmarkStart w:id="399" w:name="_Toc46399220"/>
      <w:r w:rsidRPr="000E57AE">
        <w:t>Management service agreements</w:t>
      </w:r>
      <w:bookmarkEnd w:id="391"/>
      <w:bookmarkEnd w:id="392"/>
      <w:bookmarkEnd w:id="393"/>
      <w:bookmarkEnd w:id="394"/>
      <w:bookmarkEnd w:id="395"/>
      <w:bookmarkEnd w:id="396"/>
      <w:bookmarkEnd w:id="397"/>
      <w:bookmarkEnd w:id="398"/>
      <w:bookmarkEnd w:id="399"/>
    </w:p>
    <w:p w14:paraId="27BE43B4" w14:textId="0C5C353B" w:rsidR="00E605A4" w:rsidRPr="000E57AE" w:rsidRDefault="00280F6F"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0E57AE">
        <w:t>Management service agreement</w:t>
      </w:r>
      <w:r w:rsidR="00E605A4" w:rsidRPr="000E57AE">
        <w:t xml:space="preserve"> </w:t>
      </w:r>
      <w:r w:rsidR="00473885" w:rsidRPr="000E57AE">
        <w:t xml:space="preserve">contributions </w:t>
      </w:r>
      <w:r w:rsidR="00D55C60">
        <w:t xml:space="preserve">totalled </w:t>
      </w:r>
      <w:r w:rsidR="00473885" w:rsidRPr="000E57AE">
        <w:t>$</w:t>
      </w:r>
      <w:r w:rsidR="00A635D2">
        <w:t>3</w:t>
      </w:r>
      <w:r w:rsidR="00473885" w:rsidRPr="000E57AE">
        <w:t xml:space="preserve"> million (201</w:t>
      </w:r>
      <w:r w:rsidR="00A635D2">
        <w:t>8</w:t>
      </w:r>
      <w:r w:rsidR="00473885" w:rsidRPr="000E57AE">
        <w:t>: $</w:t>
      </w:r>
      <w:r w:rsidR="00A2020B">
        <w:t>7</w:t>
      </w:r>
      <w:r w:rsidR="00D668B8" w:rsidRPr="000E57AE">
        <w:t> </w:t>
      </w:r>
      <w:r w:rsidR="00473885" w:rsidRPr="000E57AE">
        <w:t>million)</w:t>
      </w:r>
      <w:r w:rsidR="006A2FF4">
        <w:t>, t</w:t>
      </w:r>
      <w:r w:rsidR="00EC0DD7" w:rsidRPr="000E57AE">
        <w:t>otal expenses registered $</w:t>
      </w:r>
      <w:r w:rsidR="003718BF" w:rsidRPr="000E57AE">
        <w:t>6</w:t>
      </w:r>
      <w:r w:rsidR="00EC0DD7" w:rsidRPr="000E57AE">
        <w:t xml:space="preserve"> million (</w:t>
      </w:r>
      <w:r w:rsidR="003107FC" w:rsidRPr="000E57AE">
        <w:t>201</w:t>
      </w:r>
      <w:r w:rsidR="00800427">
        <w:t>8</w:t>
      </w:r>
      <w:r w:rsidR="00EC0DD7" w:rsidRPr="000E57AE">
        <w:t>: $</w:t>
      </w:r>
      <w:r w:rsidR="00800427">
        <w:t>6</w:t>
      </w:r>
      <w:r w:rsidR="00D55C60">
        <w:t> </w:t>
      </w:r>
      <w:r w:rsidR="00EC0DD7" w:rsidRPr="000E57AE">
        <w:t>million), and t</w:t>
      </w:r>
      <w:r w:rsidR="00E605A4" w:rsidRPr="000E57AE">
        <w:t xml:space="preserve">he accumulated </w:t>
      </w:r>
      <w:r w:rsidR="006E416A">
        <w:t>balance</w:t>
      </w:r>
      <w:r w:rsidR="00E605A4" w:rsidRPr="000E57AE">
        <w:t xml:space="preserve"> </w:t>
      </w:r>
      <w:r w:rsidR="00F91DFA" w:rsidRPr="000E57AE">
        <w:t xml:space="preserve">increased </w:t>
      </w:r>
      <w:r w:rsidR="007B1A9F" w:rsidRPr="000E57AE">
        <w:t xml:space="preserve">to </w:t>
      </w:r>
      <w:r w:rsidR="00E605A4" w:rsidRPr="000E57AE">
        <w:t>$</w:t>
      </w:r>
      <w:r w:rsidR="003B322E">
        <w:t>48</w:t>
      </w:r>
      <w:r w:rsidR="00E605A4" w:rsidRPr="000E57AE">
        <w:t xml:space="preserve"> million (</w:t>
      </w:r>
      <w:r w:rsidR="003107FC" w:rsidRPr="000E57AE">
        <w:t>201</w:t>
      </w:r>
      <w:r w:rsidR="003B322E">
        <w:t>8</w:t>
      </w:r>
      <w:r w:rsidR="00E605A4" w:rsidRPr="000E57AE">
        <w:t>: $</w:t>
      </w:r>
      <w:r w:rsidR="003B322E">
        <w:t>39</w:t>
      </w:r>
      <w:r w:rsidR="00D55C60">
        <w:t> </w:t>
      </w:r>
      <w:r w:rsidR="00E605A4" w:rsidRPr="000E57AE">
        <w:t>million).</w:t>
      </w:r>
      <w:r w:rsidR="004A42B4" w:rsidRPr="000E57AE">
        <w:t xml:space="preserve"> </w:t>
      </w:r>
      <w:r w:rsidR="00045485">
        <w:t>D</w:t>
      </w:r>
      <w:r w:rsidR="004A42B4">
        <w:t xml:space="preserve">etails </w:t>
      </w:r>
      <w:r w:rsidR="00045485">
        <w:t xml:space="preserve">are provided </w:t>
      </w:r>
      <w:r w:rsidR="004A42B4">
        <w:t xml:space="preserve">in </w:t>
      </w:r>
      <w:r w:rsidR="00D55C60">
        <w:t xml:space="preserve">document </w:t>
      </w:r>
      <w:hyperlink r:id="rId30">
        <w:r w:rsidR="004A42B4">
          <w:t>DP/20</w:t>
        </w:r>
        <w:r w:rsidR="00C6614C">
          <w:t>20</w:t>
        </w:r>
        <w:r w:rsidR="004A42B4">
          <w:t>/</w:t>
        </w:r>
        <w:r w:rsidR="00940A68">
          <w:t>2</w:t>
        </w:r>
        <w:r w:rsidR="003F3C5C">
          <w:t>0</w:t>
        </w:r>
        <w:r w:rsidR="004A42B4">
          <w:t>/Add.1</w:t>
        </w:r>
      </w:hyperlink>
      <w:r w:rsidR="004A42B4">
        <w:t>.</w:t>
      </w:r>
    </w:p>
    <w:p w14:paraId="493809A3" w14:textId="3162B77D" w:rsidR="00E605A4" w:rsidRPr="000E57AE" w:rsidRDefault="00E605A4" w:rsidP="009E5F63">
      <w:pPr>
        <w:pStyle w:val="H4"/>
        <w:tabs>
          <w:tab w:val="clear" w:pos="1267"/>
          <w:tab w:val="clear" w:pos="1742"/>
          <w:tab w:val="left" w:pos="1260"/>
          <w:tab w:val="left" w:pos="1440"/>
          <w:tab w:val="left" w:pos="1620"/>
        </w:tabs>
        <w:spacing w:before="240" w:after="240" w:line="240" w:lineRule="auto"/>
        <w:ind w:left="1008" w:firstLine="0"/>
        <w:outlineLvl w:val="2"/>
      </w:pPr>
      <w:bookmarkStart w:id="400" w:name="_Toc39596269"/>
      <w:bookmarkStart w:id="401" w:name="_Toc40281220"/>
      <w:bookmarkStart w:id="402" w:name="_Toc40281379"/>
      <w:bookmarkStart w:id="403" w:name="_Toc44499899"/>
      <w:bookmarkStart w:id="404" w:name="_Toc44603247"/>
      <w:bookmarkStart w:id="405" w:name="_Toc44606560"/>
      <w:bookmarkStart w:id="406" w:name="_Toc45297444"/>
      <w:bookmarkStart w:id="407" w:name="_Toc46221157"/>
      <w:bookmarkStart w:id="408" w:name="_Toc46399221"/>
      <w:bookmarkEnd w:id="388"/>
      <w:r w:rsidRPr="000E57AE">
        <w:t>United Nations Volunteers</w:t>
      </w:r>
      <w:bookmarkEnd w:id="400"/>
      <w:bookmarkEnd w:id="401"/>
      <w:bookmarkEnd w:id="402"/>
      <w:bookmarkEnd w:id="403"/>
      <w:bookmarkEnd w:id="404"/>
      <w:bookmarkEnd w:id="405"/>
      <w:bookmarkEnd w:id="406"/>
      <w:bookmarkEnd w:id="407"/>
      <w:bookmarkEnd w:id="408"/>
    </w:p>
    <w:p w14:paraId="1062E52D" w14:textId="3BA720A7" w:rsidR="00156F3B" w:rsidRDefault="00CB4B24" w:rsidP="009D4BB3">
      <w:pPr>
        <w:pStyle w:val="SingleTxt"/>
        <w:numPr>
          <w:ilvl w:val="0"/>
          <w:numId w:val="5"/>
        </w:numPr>
        <w:tabs>
          <w:tab w:val="clear" w:pos="1742"/>
          <w:tab w:val="clear" w:pos="2218"/>
          <w:tab w:val="left" w:pos="1530"/>
        </w:tabs>
        <w:spacing w:before="240" w:after="240" w:line="240" w:lineRule="auto"/>
      </w:pPr>
      <w:r>
        <w:t xml:space="preserve">In 2019, the second year of the implementation of the UNV Strategic Framework, 2018-2021, the total financial volume amounted to $221.3 million, a $21.3 million increase from $200 million in 2018, of which $211.8 million consisted of programme resources. </w:t>
      </w:r>
      <w:r w:rsidR="00156F3B" w:rsidRPr="009C4799">
        <w:t>Of this, programme regular resources expenses made directly by UNV through the Special Voluntary Fund, cost sharing, trust funds and full funding arrangements totalled $23.7 million (11 per cent). The remaining financial value was attributable to direct charges to United Nations organizations. The total financial volume in 2019 increased by US $21.3 million from US $200 million in 2018.</w:t>
      </w:r>
    </w:p>
    <w:p w14:paraId="131D6345" w14:textId="77777777" w:rsidR="00156F3B" w:rsidRDefault="00156F3B" w:rsidP="009D4BB3">
      <w:pPr>
        <w:pStyle w:val="SingleTxt"/>
        <w:numPr>
          <w:ilvl w:val="0"/>
          <w:numId w:val="5"/>
        </w:numPr>
        <w:tabs>
          <w:tab w:val="clear" w:pos="1742"/>
          <w:tab w:val="clear" w:pos="2218"/>
          <w:tab w:val="left" w:pos="1530"/>
        </w:tabs>
        <w:spacing w:before="240" w:after="240" w:line="240" w:lineRule="auto"/>
      </w:pPr>
      <w:r w:rsidRPr="009C4799">
        <w:t xml:space="preserve">In 2019, the Special Voluntary Fund received contributions (including multi-year) amounting to $4.5 million, a 14 per cent increase compared to $5.2 million in 2018. At the same time, contributions (including multi-year contributions) received for fully funded UN-Volunteers, including contributions for United Nations Youth Volunteers and United Nations University Volunteers, increased to $22 million in 2019 inclusive of interest and multi-year contributions. This is notably higher than $15.6 million of full funding contributions received in 2018, mainly due to a new revenue recognition policy which accounts for total agreement amounts, effective 2019. </w:t>
      </w:r>
    </w:p>
    <w:p w14:paraId="724ADEF4" w14:textId="31ACD95F" w:rsidR="00156F3B" w:rsidRPr="009C4799" w:rsidRDefault="00156F3B" w:rsidP="009D4BB3">
      <w:pPr>
        <w:pStyle w:val="SingleTxt"/>
        <w:numPr>
          <w:ilvl w:val="0"/>
          <w:numId w:val="5"/>
        </w:numPr>
        <w:tabs>
          <w:tab w:val="clear" w:pos="1742"/>
          <w:tab w:val="clear" w:pos="2218"/>
          <w:tab w:val="left" w:pos="1530"/>
        </w:tabs>
        <w:spacing w:before="240" w:after="240" w:line="240" w:lineRule="auto"/>
      </w:pPr>
      <w:r w:rsidRPr="009C4799">
        <w:t>UNV received funding for institutional activities through UNDP regular resources amount</w:t>
      </w:r>
      <w:r w:rsidR="00544465">
        <w:t>ing</w:t>
      </w:r>
      <w:r w:rsidRPr="009C4799">
        <w:t xml:space="preserve"> to $8.6 million, a slight decrease compared to </w:t>
      </w:r>
      <w:r w:rsidR="00544465">
        <w:t>$</w:t>
      </w:r>
      <w:r w:rsidRPr="009C4799">
        <w:t xml:space="preserve">8.8 million in 2018. UNV notes that it needs a stable and predictable level of UNDP regular resources to fulfil its mandate and provide high quality volunteers and innovative, cost-effective solutions to UNDP and other United Nations entities. </w:t>
      </w:r>
    </w:p>
    <w:p w14:paraId="0EB4B154" w14:textId="4375CEE0" w:rsidR="00897599" w:rsidRPr="000467FA" w:rsidRDefault="00897599" w:rsidP="009E5F63">
      <w:pPr>
        <w:pStyle w:val="H4"/>
        <w:tabs>
          <w:tab w:val="clear" w:pos="1742"/>
          <w:tab w:val="left" w:pos="1440"/>
          <w:tab w:val="left" w:pos="1620"/>
        </w:tabs>
        <w:spacing w:before="240" w:after="240" w:line="240" w:lineRule="auto"/>
        <w:ind w:left="1008" w:firstLine="0"/>
        <w:outlineLvl w:val="2"/>
      </w:pPr>
      <w:bookmarkStart w:id="409" w:name="_Toc39596270"/>
      <w:bookmarkStart w:id="410" w:name="_Toc40281221"/>
      <w:bookmarkStart w:id="411" w:name="_Toc40281380"/>
      <w:bookmarkStart w:id="412" w:name="_Toc44499900"/>
      <w:bookmarkStart w:id="413" w:name="_Toc44603248"/>
      <w:bookmarkStart w:id="414" w:name="_Toc44606561"/>
      <w:bookmarkStart w:id="415" w:name="_Toc45297445"/>
      <w:bookmarkStart w:id="416" w:name="_Toc46221158"/>
      <w:bookmarkStart w:id="417" w:name="_Toc46399222"/>
      <w:r w:rsidRPr="000E0F77">
        <w:t>United Nations Office of South-South Co</w:t>
      </w:r>
      <w:r w:rsidR="00632307" w:rsidRPr="000E0F77">
        <w:t>operation</w:t>
      </w:r>
      <w:bookmarkEnd w:id="409"/>
      <w:bookmarkEnd w:id="410"/>
      <w:bookmarkEnd w:id="411"/>
      <w:bookmarkEnd w:id="412"/>
      <w:bookmarkEnd w:id="413"/>
      <w:bookmarkEnd w:id="414"/>
      <w:bookmarkEnd w:id="415"/>
      <w:bookmarkEnd w:id="416"/>
      <w:bookmarkEnd w:id="417"/>
    </w:p>
    <w:p w14:paraId="450394D2" w14:textId="09F3751A" w:rsidR="00C97350" w:rsidRPr="000467FA" w:rsidRDefault="00C97350" w:rsidP="009D4BB3">
      <w:pPr>
        <w:pStyle w:val="SingleTxt"/>
        <w:numPr>
          <w:ilvl w:val="0"/>
          <w:numId w:val="5"/>
        </w:numPr>
        <w:tabs>
          <w:tab w:val="clear" w:pos="1267"/>
          <w:tab w:val="clear" w:pos="1742"/>
          <w:tab w:val="clear" w:pos="2218"/>
          <w:tab w:val="left" w:pos="1260"/>
          <w:tab w:val="left" w:pos="1530"/>
        </w:tabs>
        <w:spacing w:before="240" w:after="240" w:line="240" w:lineRule="auto"/>
      </w:pPr>
      <w:r w:rsidRPr="000467FA">
        <w:t>The overarching goal of the U</w:t>
      </w:r>
      <w:r w:rsidR="00F06869" w:rsidRPr="000467FA">
        <w:t>nited Nations Office of South-South Cooperation</w:t>
      </w:r>
      <w:r w:rsidR="00E019DE" w:rsidRPr="000467FA">
        <w:t xml:space="preserve"> (UN</w:t>
      </w:r>
      <w:r w:rsidR="00AE60AD" w:rsidRPr="000467FA">
        <w:t xml:space="preserve">OSSC) </w:t>
      </w:r>
      <w:r w:rsidRPr="000467FA">
        <w:t>Strategic Framework</w:t>
      </w:r>
      <w:r w:rsidR="00D55C60" w:rsidRPr="000467FA">
        <w:t xml:space="preserve">, </w:t>
      </w:r>
      <w:r w:rsidRPr="000467FA">
        <w:t>2018-2021</w:t>
      </w:r>
      <w:r w:rsidR="00D55C60" w:rsidRPr="000467FA">
        <w:t>,</w:t>
      </w:r>
      <w:r w:rsidRPr="000467FA">
        <w:t xml:space="preserve"> is to support of the efforts of Member States to eradicate poverty in all its forms and </w:t>
      </w:r>
      <w:r w:rsidR="00A33522">
        <w:t>to</w:t>
      </w:r>
      <w:r w:rsidR="00ED13C8">
        <w:t xml:space="preserve"> promote</w:t>
      </w:r>
      <w:r w:rsidRPr="000467FA">
        <w:t xml:space="preserve"> gender equality and women’s empowerment </w:t>
      </w:r>
      <w:r w:rsidR="00ED13C8">
        <w:t>so as to achieve the 2030 Agenda through enhanced South-South cooperation, including triangular cooperation</w:t>
      </w:r>
      <w:r w:rsidRPr="000467FA">
        <w:t>.</w:t>
      </w:r>
    </w:p>
    <w:p w14:paraId="00CF4B01" w14:textId="676F8542" w:rsidR="00E23C78" w:rsidRPr="000467FA" w:rsidRDefault="001F46BD" w:rsidP="009D4BB3">
      <w:pPr>
        <w:pStyle w:val="SingleTxt"/>
        <w:numPr>
          <w:ilvl w:val="0"/>
          <w:numId w:val="5"/>
        </w:numPr>
        <w:tabs>
          <w:tab w:val="clear" w:pos="1742"/>
          <w:tab w:val="clear" w:pos="2218"/>
          <w:tab w:val="left" w:pos="1530"/>
        </w:tabs>
        <w:spacing w:before="240" w:after="240" w:line="240" w:lineRule="auto"/>
      </w:pPr>
      <w:bookmarkStart w:id="418" w:name="_Hlk517439021"/>
      <w:r w:rsidRPr="009C4799">
        <w:t>UNOSSC benefitted from a UNDP-provided institutional budget of $2.3 million and a core programme budget of $3.4 million. Non-core mobilized contributions amounted to $14.1 million for the United Nations Fund for South-South Cooperation, $2 million for the India, Brazil and South Africa Facility for Poverty and Hunger Alleviation (India and South Africa: $1 million each), and various modest contributions under the Perez-Guerrero Trust Fund. The $14.1 million contributions for the United Nations Fund for South-South Cooperation include $9 million from India for the India-United Nations Development Partnership Fund (a dedicated facility therein), $1.5 million from China, $0.7 million from the Republic of Korea, $0.5 million from the World Green Economy Organization in Dubai, United Arab Emirates. Although in historical terms this resource mobilization figure is among the highest volumes UNOSSC has raised, it represents a 20 per cent decrease in non-core contributions compared to 2018, owing mostly to multi-year variations in the funding provided by the Government of India to the India-UN Development Partnership Fund, which are computed in the calendar year in which they are received. Non-core expenditures amounted to $11.4 million, representing a 14 per cent increase from 2018, as the India-UN Fund gained maturity in the implementation of its portfolio.</w:t>
      </w:r>
    </w:p>
    <w:p w14:paraId="279A2F41" w14:textId="1B87A2C6" w:rsidR="00E605A4" w:rsidRPr="00990843" w:rsidRDefault="00E605A4" w:rsidP="005F648C">
      <w:pPr>
        <w:pStyle w:val="HCh"/>
        <w:numPr>
          <w:ilvl w:val="0"/>
          <w:numId w:val="13"/>
        </w:numPr>
        <w:spacing w:before="360" w:after="240" w:line="240" w:lineRule="auto"/>
        <w:ind w:right="1267"/>
      </w:pPr>
      <w:bookmarkStart w:id="419" w:name="_Toc46221159"/>
      <w:bookmarkStart w:id="420" w:name="_Toc46399223"/>
      <w:bookmarkStart w:id="421" w:name="_Toc46221160"/>
      <w:bookmarkStart w:id="422" w:name="_Toc46399224"/>
      <w:bookmarkStart w:id="423" w:name="_Toc46221161"/>
      <w:bookmarkStart w:id="424" w:name="_Toc46399225"/>
      <w:bookmarkStart w:id="425" w:name="_Toc46399226"/>
      <w:bookmarkEnd w:id="418"/>
      <w:bookmarkEnd w:id="419"/>
      <w:bookmarkEnd w:id="420"/>
      <w:bookmarkEnd w:id="421"/>
      <w:bookmarkEnd w:id="422"/>
      <w:bookmarkEnd w:id="423"/>
      <w:bookmarkEnd w:id="424"/>
      <w:r w:rsidRPr="00990843">
        <w:t>United Nations reform and support to United Nations organizations</w:t>
      </w:r>
      <w:bookmarkEnd w:id="425"/>
    </w:p>
    <w:p w14:paraId="6C3AC3A6" w14:textId="6AA79A34" w:rsidR="00E605A4" w:rsidRPr="000E57AE" w:rsidRDefault="00E605A4" w:rsidP="009D4BB3">
      <w:pPr>
        <w:pStyle w:val="SingleTxt"/>
        <w:numPr>
          <w:ilvl w:val="0"/>
          <w:numId w:val="5"/>
        </w:numPr>
        <w:tabs>
          <w:tab w:val="clear" w:pos="1742"/>
          <w:tab w:val="clear" w:pos="2218"/>
          <w:tab w:val="left" w:pos="1530"/>
        </w:tabs>
        <w:spacing w:before="240" w:after="240" w:line="240" w:lineRule="auto"/>
      </w:pPr>
      <w:r w:rsidRPr="000E57AE">
        <w:t xml:space="preserve">UNDP </w:t>
      </w:r>
      <w:r w:rsidR="008E51E4" w:rsidRPr="000E57AE">
        <w:t xml:space="preserve">undertakes many </w:t>
      </w:r>
      <w:r w:rsidR="00472159" w:rsidRPr="000E57AE">
        <w:t xml:space="preserve">activities in </w:t>
      </w:r>
      <w:r w:rsidR="008E51E4" w:rsidRPr="000E57AE">
        <w:t xml:space="preserve">partnership with and </w:t>
      </w:r>
      <w:r w:rsidR="00472159" w:rsidRPr="000E57AE">
        <w:t xml:space="preserve">support to </w:t>
      </w:r>
      <w:r w:rsidR="00801BEA">
        <w:t xml:space="preserve">the </w:t>
      </w:r>
      <w:r w:rsidR="00472159" w:rsidRPr="000E57AE">
        <w:t>U</w:t>
      </w:r>
      <w:r w:rsidR="00801BEA">
        <w:t xml:space="preserve">nited </w:t>
      </w:r>
      <w:r w:rsidR="00472159" w:rsidRPr="000E57AE">
        <w:t>N</w:t>
      </w:r>
      <w:r w:rsidR="00801BEA">
        <w:t>ations</w:t>
      </w:r>
      <w:r w:rsidR="00472159" w:rsidRPr="000E57AE">
        <w:t xml:space="preserve"> system at large. </w:t>
      </w:r>
    </w:p>
    <w:p w14:paraId="6E3D1EFE" w14:textId="0A888438" w:rsidR="00E605A4" w:rsidRPr="004821D6" w:rsidRDefault="00E605A4" w:rsidP="005F648C">
      <w:pPr>
        <w:pStyle w:val="H1"/>
        <w:numPr>
          <w:ilvl w:val="1"/>
          <w:numId w:val="8"/>
        </w:numPr>
        <w:tabs>
          <w:tab w:val="clear" w:pos="1022"/>
          <w:tab w:val="clear" w:pos="1742"/>
          <w:tab w:val="right" w:pos="1440"/>
          <w:tab w:val="left" w:pos="1800"/>
        </w:tabs>
        <w:spacing w:before="240" w:after="240" w:line="240" w:lineRule="auto"/>
        <w:ind w:left="1152" w:right="0"/>
        <w:outlineLvl w:val="1"/>
      </w:pPr>
      <w:bookmarkStart w:id="426" w:name="_Toc46399227"/>
      <w:r w:rsidRPr="004821D6">
        <w:t>UNDP administrative agent function</w:t>
      </w:r>
      <w:bookmarkStart w:id="427" w:name="_Toc46221163"/>
      <w:bookmarkEnd w:id="426"/>
      <w:bookmarkEnd w:id="427"/>
    </w:p>
    <w:p w14:paraId="30F8C0B2" w14:textId="3C13A79E" w:rsidR="00447EBD" w:rsidRPr="00447EBD" w:rsidRDefault="00BF5144" w:rsidP="00447EBD">
      <w:pPr>
        <w:pStyle w:val="SingleTxt"/>
      </w:pPr>
      <w:r w:rsidRPr="004821D6">
        <w:t>UNDP supports joint programming</w:t>
      </w:r>
      <w:r w:rsidR="008E66CB" w:rsidRPr="004821D6">
        <w:t>,</w:t>
      </w:r>
      <w:r w:rsidRPr="004821D6">
        <w:t xml:space="preserve"> </w:t>
      </w:r>
      <w:r w:rsidR="00754234" w:rsidRPr="004821D6">
        <w:t xml:space="preserve">including </w:t>
      </w:r>
      <w:r w:rsidRPr="004821D6">
        <w:t xml:space="preserve">through its role in fund design and </w:t>
      </w:r>
      <w:r w:rsidR="002D7D52" w:rsidRPr="004821D6">
        <w:t>adm</w:t>
      </w:r>
      <w:r w:rsidRPr="004821D6">
        <w:t xml:space="preserve">inistration of joint programmes and multi-donor trust funds on behalf of the United Nations system and national </w:t>
      </w:r>
      <w:r w:rsidR="00F51A9A" w:rsidRPr="004821D6">
        <w:t>g</w:t>
      </w:r>
      <w:r w:rsidRPr="004821D6">
        <w:t>overnments, and through its programme implementation role as a participating United Nations organization.</w:t>
      </w:r>
      <w:r w:rsidR="004821D6">
        <w:t xml:space="preserve"> </w:t>
      </w:r>
      <w:r w:rsidR="004821D6" w:rsidRPr="00430A7A">
        <w:t xml:space="preserve">Details are set out in </w:t>
      </w:r>
      <w:r w:rsidR="00586BDD" w:rsidRPr="00430A7A">
        <w:t>DP/2020/</w:t>
      </w:r>
      <w:r w:rsidR="00430A7A" w:rsidRPr="00430A7A">
        <w:t>20</w:t>
      </w:r>
      <w:r w:rsidR="00B53F94" w:rsidRPr="00430A7A">
        <w:t xml:space="preserve">, </w:t>
      </w:r>
      <w:r w:rsidR="00447EBD" w:rsidRPr="00430A7A">
        <w:t>Section VI.</w:t>
      </w:r>
      <w:r w:rsidR="004821D6">
        <w:t xml:space="preserve"> </w:t>
      </w:r>
      <w:r w:rsidRPr="00393235">
        <w:rPr>
          <w:strike/>
        </w:rPr>
        <w:t xml:space="preserve"> </w:t>
      </w:r>
      <w:bookmarkStart w:id="428" w:name="_Toc46221164"/>
      <w:bookmarkEnd w:id="428"/>
    </w:p>
    <w:p w14:paraId="53E5FE5A" w14:textId="79311333" w:rsidR="00E605A4" w:rsidRPr="004E1172" w:rsidRDefault="00E605A4" w:rsidP="005F648C">
      <w:pPr>
        <w:pStyle w:val="H1"/>
        <w:numPr>
          <w:ilvl w:val="1"/>
          <w:numId w:val="8"/>
        </w:numPr>
        <w:tabs>
          <w:tab w:val="clear" w:pos="1022"/>
          <w:tab w:val="clear" w:pos="1742"/>
          <w:tab w:val="right" w:pos="1440"/>
          <w:tab w:val="left" w:pos="1800"/>
        </w:tabs>
        <w:spacing w:before="240" w:after="240" w:line="240" w:lineRule="auto"/>
        <w:ind w:left="1152" w:right="0"/>
        <w:outlineLvl w:val="1"/>
      </w:pPr>
      <w:bookmarkStart w:id="429" w:name="_Toc46399228"/>
      <w:r w:rsidRPr="004E1172">
        <w:t>Support to United Nations organizations</w:t>
      </w:r>
      <w:bookmarkEnd w:id="429"/>
    </w:p>
    <w:p w14:paraId="0B713B5C" w14:textId="2CA22495" w:rsidR="00E605A4" w:rsidRPr="004E1172" w:rsidRDefault="00AD54BA" w:rsidP="009D4BB3">
      <w:pPr>
        <w:pStyle w:val="SingleTxt"/>
        <w:numPr>
          <w:ilvl w:val="0"/>
          <w:numId w:val="5"/>
        </w:numPr>
        <w:tabs>
          <w:tab w:val="clear" w:pos="1742"/>
          <w:tab w:val="clear" w:pos="2218"/>
          <w:tab w:val="left" w:pos="1530"/>
        </w:tabs>
        <w:spacing w:before="240" w:after="240" w:line="240" w:lineRule="auto"/>
      </w:pPr>
      <w:r w:rsidRPr="004E1172">
        <w:t xml:space="preserve">UNDP provides services, on a </w:t>
      </w:r>
      <w:r w:rsidR="00AF1535" w:rsidRPr="004E1172">
        <w:t>cost-</w:t>
      </w:r>
      <w:r w:rsidRPr="004E1172">
        <w:t xml:space="preserve">recovery basis, to United Nations </w:t>
      </w:r>
      <w:r w:rsidR="00275A23" w:rsidRPr="004E1172">
        <w:t>organizations</w:t>
      </w:r>
      <w:r w:rsidRPr="004E1172">
        <w:t>, including peacekeeping missions</w:t>
      </w:r>
      <w:r w:rsidR="002978EA" w:rsidRPr="004E1172">
        <w:t xml:space="preserve">. </w:t>
      </w:r>
    </w:p>
    <w:p w14:paraId="796DC217" w14:textId="2E05AE31" w:rsidR="00E605A4" w:rsidRPr="00EC2242" w:rsidRDefault="00E605A4" w:rsidP="005F648C">
      <w:pPr>
        <w:pStyle w:val="H1"/>
        <w:numPr>
          <w:ilvl w:val="1"/>
          <w:numId w:val="8"/>
        </w:numPr>
        <w:tabs>
          <w:tab w:val="clear" w:pos="1022"/>
          <w:tab w:val="clear" w:pos="1742"/>
          <w:tab w:val="right" w:pos="1440"/>
          <w:tab w:val="left" w:pos="1800"/>
        </w:tabs>
        <w:spacing w:before="240" w:after="240" w:line="240" w:lineRule="auto"/>
        <w:ind w:left="1152" w:right="0"/>
        <w:outlineLvl w:val="1"/>
      </w:pPr>
      <w:bookmarkStart w:id="430" w:name="_Toc46399229"/>
      <w:r w:rsidRPr="00EC2242">
        <w:t>United Nations development coordination activities</w:t>
      </w:r>
      <w:bookmarkEnd w:id="430"/>
    </w:p>
    <w:p w14:paraId="7B66DE9C" w14:textId="1E7C4E5A" w:rsidR="00E605A4" w:rsidRPr="00441B62" w:rsidRDefault="00B86000" w:rsidP="009D4BB3">
      <w:pPr>
        <w:pStyle w:val="SingleTxt"/>
        <w:numPr>
          <w:ilvl w:val="0"/>
          <w:numId w:val="5"/>
        </w:numPr>
        <w:tabs>
          <w:tab w:val="clear" w:pos="1742"/>
          <w:tab w:val="clear" w:pos="2218"/>
          <w:tab w:val="left" w:pos="1530"/>
        </w:tabs>
        <w:spacing w:before="240" w:after="240" w:line="240" w:lineRule="auto"/>
      </w:pPr>
      <w:r w:rsidRPr="00441B62">
        <w:t xml:space="preserve">In </w:t>
      </w:r>
      <w:r w:rsidR="0022494D" w:rsidRPr="00441B62">
        <w:t>201</w:t>
      </w:r>
      <w:r w:rsidR="0092654D" w:rsidRPr="00441B62">
        <w:t>9</w:t>
      </w:r>
      <w:r w:rsidRPr="00441B62">
        <w:t>,</w:t>
      </w:r>
      <w:r w:rsidR="0022494D" w:rsidRPr="00441B62">
        <w:t xml:space="preserve"> </w:t>
      </w:r>
      <w:r w:rsidRPr="00441B62">
        <w:t xml:space="preserve">the </w:t>
      </w:r>
      <w:r w:rsidR="00E605A4" w:rsidRPr="00441B62">
        <w:t>UNDP</w:t>
      </w:r>
      <w:r w:rsidR="0088591B" w:rsidRPr="00441B62">
        <w:t xml:space="preserve"> role </w:t>
      </w:r>
      <w:r w:rsidRPr="00441B62">
        <w:t xml:space="preserve">ended </w:t>
      </w:r>
      <w:r w:rsidR="0088591B" w:rsidRPr="00441B62">
        <w:t xml:space="preserve">to coordinate </w:t>
      </w:r>
      <w:r w:rsidR="00A02796" w:rsidRPr="00441B62">
        <w:t>suppor</w:t>
      </w:r>
      <w:r w:rsidR="00AE3C32" w:rsidRPr="00441B62">
        <w:t>t</w:t>
      </w:r>
      <w:r w:rsidRPr="00441B62">
        <w:t xml:space="preserve"> </w:t>
      </w:r>
      <w:r w:rsidR="00AE3C32" w:rsidRPr="00441B62">
        <w:t xml:space="preserve">to the </w:t>
      </w:r>
      <w:r w:rsidR="00E605A4" w:rsidRPr="00441B62">
        <w:t xml:space="preserve">United Nations </w:t>
      </w:r>
      <w:r w:rsidRPr="00441B62">
        <w:t xml:space="preserve">development </w:t>
      </w:r>
      <w:r w:rsidR="00E605A4" w:rsidRPr="00441B62">
        <w:t>system and country-level coordination in support of national development</w:t>
      </w:r>
      <w:r w:rsidR="00DF5B71" w:rsidRPr="00441B62">
        <w:t xml:space="preserve">, as </w:t>
      </w:r>
      <w:r w:rsidR="000D3002" w:rsidRPr="00441B62">
        <w:t xml:space="preserve">UNDP </w:t>
      </w:r>
      <w:r w:rsidR="004739AF" w:rsidRPr="00441B62">
        <w:t>effectively support</w:t>
      </w:r>
      <w:r w:rsidR="00DF5B71" w:rsidRPr="00441B62">
        <w:t>ed</w:t>
      </w:r>
      <w:r w:rsidR="004739AF" w:rsidRPr="00441B62">
        <w:t xml:space="preserve"> the repositioning of the U</w:t>
      </w:r>
      <w:r w:rsidRPr="00441B62">
        <w:t xml:space="preserve">nited </w:t>
      </w:r>
      <w:r w:rsidR="004739AF" w:rsidRPr="00441B62">
        <w:t>N</w:t>
      </w:r>
      <w:r w:rsidRPr="00441B62">
        <w:t>ations</w:t>
      </w:r>
      <w:r w:rsidR="004739AF" w:rsidRPr="00441B62">
        <w:t xml:space="preserve"> </w:t>
      </w:r>
      <w:r w:rsidRPr="00441B62">
        <w:t>d</w:t>
      </w:r>
      <w:r w:rsidR="004739AF" w:rsidRPr="00441B62">
        <w:t xml:space="preserve">evelopment </w:t>
      </w:r>
      <w:r w:rsidRPr="00441B62">
        <w:t>s</w:t>
      </w:r>
      <w:r w:rsidR="004739AF" w:rsidRPr="00441B62">
        <w:t xml:space="preserve">ystem. </w:t>
      </w:r>
      <w:r w:rsidR="00E605A4" w:rsidRPr="00441B62">
        <w:t>Combined expenses totalled $</w:t>
      </w:r>
      <w:r w:rsidR="00960730">
        <w:t>22.4</w:t>
      </w:r>
      <w:r w:rsidR="00E605A4" w:rsidRPr="00441B62">
        <w:t xml:space="preserve"> million (</w:t>
      </w:r>
      <w:r w:rsidR="00C30B03">
        <w:t>$10.3 million to the cost-sharing arrangement among United Nations development system entities, double that of 2018, and an additional $12.1 million of legacy coordination support activities continued on a transitionary basis at the request of UN Development Coordination Office and its funding partners</w:t>
      </w:r>
      <w:r w:rsidR="00E605A4" w:rsidRPr="00441B62">
        <w:t>).</w:t>
      </w:r>
    </w:p>
    <w:p w14:paraId="67762AA4" w14:textId="40EFAC9C" w:rsidR="006531EC" w:rsidRPr="00441B62" w:rsidRDefault="00F6550E" w:rsidP="009D4BB3">
      <w:pPr>
        <w:pStyle w:val="SingleTxt"/>
        <w:numPr>
          <w:ilvl w:val="0"/>
          <w:numId w:val="5"/>
        </w:numPr>
        <w:tabs>
          <w:tab w:val="left" w:pos="1530"/>
        </w:tabs>
        <w:spacing w:before="240" w:after="240" w:line="240" w:lineRule="auto"/>
        <w:rPr>
          <w:lang w:val="en-US"/>
        </w:rPr>
      </w:pPr>
      <w:r>
        <w:rPr>
          <w:lang w:val="en-US"/>
        </w:rPr>
        <w:t xml:space="preserve">In support of </w:t>
      </w:r>
      <w:r w:rsidR="00DB3439" w:rsidRPr="00DB3439">
        <w:rPr>
          <w:lang w:val="en-US"/>
        </w:rPr>
        <w:t>the repositioning of the United Nations development system</w:t>
      </w:r>
      <w:r w:rsidR="00DB3439" w:rsidRPr="00DB3439" w:rsidDel="00F6550E">
        <w:rPr>
          <w:lang w:val="en-US"/>
        </w:rPr>
        <w:t xml:space="preserve"> </w:t>
      </w:r>
      <w:r w:rsidR="006531EC" w:rsidRPr="00441B62">
        <w:rPr>
          <w:lang w:val="en-US"/>
        </w:rPr>
        <w:t>from 1 January 2019, the following was requested by the GA resolution 72/279</w:t>
      </w:r>
      <w:r w:rsidR="00BF6B7F">
        <w:rPr>
          <w:lang w:val="en-US"/>
        </w:rPr>
        <w:t>:</w:t>
      </w:r>
      <w:r w:rsidR="006531EC" w:rsidRPr="00441B62">
        <w:rPr>
          <w:lang w:val="en-US"/>
        </w:rPr>
        <w:t> </w:t>
      </w:r>
    </w:p>
    <w:p w14:paraId="3B4ED093" w14:textId="620A6587" w:rsidR="006531EC" w:rsidRPr="000E0F77" w:rsidRDefault="006531EC" w:rsidP="005F648C">
      <w:pPr>
        <w:pStyle w:val="SingleTxt"/>
        <w:numPr>
          <w:ilvl w:val="2"/>
          <w:numId w:val="10"/>
        </w:numPr>
        <w:tabs>
          <w:tab w:val="left" w:pos="1530"/>
        </w:tabs>
        <w:spacing w:before="120" w:line="240" w:lineRule="auto"/>
        <w:ind w:left="1627" w:hanging="187"/>
        <w:rPr>
          <w:lang w:val="en-US"/>
        </w:rPr>
      </w:pPr>
      <w:r w:rsidRPr="00441B62">
        <w:rPr>
          <w:lang w:val="en-US"/>
        </w:rPr>
        <w:t xml:space="preserve">A one per cent coordination levy on tightly earmarked third-party non-core contributions to United Nations development-related activities, to be paid at source. UNDP established internal guidance, processes and communication channels to manage the levy collection and its transfer. UNDP monitors the process of levy collection and continuously engaged with Development Coordination Office and Resident Coordinator Offices on levy matters. </w:t>
      </w:r>
      <w:r w:rsidR="00E479F4">
        <w:t xml:space="preserve">For UNDP the aggregated amount of all levies received and transferred to the United Nations Secretariat was $2.6 million for 2019. </w:t>
      </w:r>
      <w:r w:rsidRPr="00441B62">
        <w:rPr>
          <w:lang w:val="en-US"/>
        </w:rPr>
        <w:t xml:space="preserve"> It is noted that for the same year UNDP estimated cost for administering the levy at $0.4 million, representing a substantial additional administrative cost that UNDP had to spend to able </w:t>
      </w:r>
      <w:r w:rsidRPr="000E0F77">
        <w:rPr>
          <w:lang w:val="en-US"/>
        </w:rPr>
        <w:t>the levy collection in 2019. </w:t>
      </w:r>
    </w:p>
    <w:p w14:paraId="281C8E49" w14:textId="2B669EE2" w:rsidR="00B143B8" w:rsidRPr="000B23F1" w:rsidRDefault="006531EC" w:rsidP="005F648C">
      <w:pPr>
        <w:pStyle w:val="SingleTxt"/>
        <w:numPr>
          <w:ilvl w:val="2"/>
          <w:numId w:val="10"/>
        </w:numPr>
        <w:tabs>
          <w:tab w:val="left" w:pos="1530"/>
        </w:tabs>
        <w:spacing w:before="120" w:line="240" w:lineRule="auto"/>
        <w:ind w:left="1627" w:hanging="187"/>
        <w:rPr>
          <w:lang w:val="en-US"/>
        </w:rPr>
      </w:pPr>
      <w:r w:rsidRPr="000B23F1">
        <w:rPr>
          <w:lang w:val="en-US"/>
        </w:rPr>
        <w:t xml:space="preserve">Doubling the current United Nations Sustainable Development Group cost-sharing arrangement among United Nations development system entities, amounting to </w:t>
      </w:r>
      <w:r w:rsidR="00087DFD" w:rsidRPr="000B23F1">
        <w:rPr>
          <w:lang w:val="en-US"/>
        </w:rPr>
        <w:t xml:space="preserve">an annual contribution of </w:t>
      </w:r>
      <w:r w:rsidRPr="000B23F1">
        <w:rPr>
          <w:lang w:val="en-US"/>
        </w:rPr>
        <w:t>$</w:t>
      </w:r>
      <w:r w:rsidR="00492099" w:rsidRPr="000B23F1">
        <w:rPr>
          <w:lang w:val="en-US"/>
        </w:rPr>
        <w:t xml:space="preserve">10.3 </w:t>
      </w:r>
      <w:r w:rsidR="002726A6" w:rsidRPr="000B23F1">
        <w:rPr>
          <w:lang w:val="en-US"/>
        </w:rPr>
        <w:t>m</w:t>
      </w:r>
      <w:r w:rsidR="00492099" w:rsidRPr="000B23F1">
        <w:rPr>
          <w:lang w:val="en-US"/>
        </w:rPr>
        <w:t>illion</w:t>
      </w:r>
      <w:r w:rsidRPr="000B23F1">
        <w:rPr>
          <w:lang w:val="en-US"/>
        </w:rPr>
        <w:t xml:space="preserve"> for UNDP</w:t>
      </w:r>
      <w:r w:rsidR="00087DFD" w:rsidRPr="000B23F1">
        <w:rPr>
          <w:lang w:val="en-US"/>
        </w:rPr>
        <w:t xml:space="preserve">. </w:t>
      </w:r>
      <w:r w:rsidR="005A236B" w:rsidRPr="000B23F1">
        <w:rPr>
          <w:lang w:val="en-US"/>
        </w:rPr>
        <w:t xml:space="preserve">The payment for 2019 was </w:t>
      </w:r>
      <w:r w:rsidR="00D936D6" w:rsidRPr="000B23F1">
        <w:rPr>
          <w:lang w:val="en-US"/>
        </w:rPr>
        <w:t xml:space="preserve">made by UNDP early, in </w:t>
      </w:r>
      <w:r w:rsidR="005C4E96" w:rsidRPr="000B23F1">
        <w:rPr>
          <w:lang w:val="en-US"/>
        </w:rPr>
        <w:t>December 2018</w:t>
      </w:r>
      <w:r w:rsidR="00D3412E" w:rsidRPr="000B23F1">
        <w:rPr>
          <w:lang w:val="en-US"/>
        </w:rPr>
        <w:t>.</w:t>
      </w:r>
    </w:p>
    <w:p w14:paraId="564F7C9D" w14:textId="038D3FA3" w:rsidR="00E605A4" w:rsidRPr="009E5F63" w:rsidRDefault="00E605A4" w:rsidP="005F648C">
      <w:pPr>
        <w:pStyle w:val="H1"/>
        <w:numPr>
          <w:ilvl w:val="1"/>
          <w:numId w:val="8"/>
        </w:numPr>
        <w:tabs>
          <w:tab w:val="clear" w:pos="1022"/>
          <w:tab w:val="clear" w:pos="1742"/>
          <w:tab w:val="right" w:pos="1440"/>
          <w:tab w:val="left" w:pos="1800"/>
        </w:tabs>
        <w:spacing w:before="240" w:after="240" w:line="240" w:lineRule="auto"/>
        <w:ind w:left="1152" w:right="0"/>
        <w:outlineLvl w:val="1"/>
      </w:pPr>
      <w:bookmarkStart w:id="431" w:name="_Toc46399230"/>
      <w:r w:rsidRPr="000E57AE">
        <w:t>United Nations-mandated security costs</w:t>
      </w:r>
      <w:bookmarkEnd w:id="431"/>
    </w:p>
    <w:p w14:paraId="7B85BEDB" w14:textId="65185E0A" w:rsidR="00493B43" w:rsidRDefault="0044021B" w:rsidP="009D4BB3">
      <w:pPr>
        <w:pStyle w:val="SingleTxt"/>
        <w:numPr>
          <w:ilvl w:val="0"/>
          <w:numId w:val="5"/>
        </w:numPr>
        <w:tabs>
          <w:tab w:val="clear" w:pos="1742"/>
          <w:tab w:val="clear" w:pos="2218"/>
          <w:tab w:val="left" w:pos="1530"/>
        </w:tabs>
        <w:spacing w:before="240" w:after="240" w:line="240" w:lineRule="auto"/>
      </w:pPr>
      <w:r w:rsidRPr="000E5B58">
        <w:t xml:space="preserve">In </w:t>
      </w:r>
      <w:r w:rsidR="00CC629C" w:rsidRPr="000E5B58">
        <w:t xml:space="preserve">its </w:t>
      </w:r>
      <w:r w:rsidRPr="000E5B58">
        <w:t xml:space="preserve">decision 2017/31, the Executive Board approved the UNDP integrated budget, 2018-2021. In document DP/2017/39 on the UNDP integrated budget, 2018-2021, and following prior practice, </w:t>
      </w:r>
      <w:r w:rsidR="00493B43" w:rsidRPr="00E575BB">
        <w:t>UNDP sought exceptional authority during 2018-2021 to disburse up to $30 million in regular resources for security measures, in addition to the approved appropriation from regular resources for the institutional component of the integrated budget of $1</w:t>
      </w:r>
      <w:r w:rsidR="00492099">
        <w:t>.1 billion</w:t>
      </w:r>
      <w:r w:rsidR="00493B43" w:rsidRPr="00E575BB">
        <w:t xml:space="preserve">, the use of which would be limited to new and emerging security mandates as defined in United Nations Department of Safety and Security directives. UNDP will report on these as and when they may occur. During 2019, no amount was drawn down from the $30 million. </w:t>
      </w:r>
    </w:p>
    <w:p w14:paraId="40F25E9F" w14:textId="1AEA0F42" w:rsidR="00493B43" w:rsidRPr="00E575BB" w:rsidRDefault="00493B43" w:rsidP="009D4BB3">
      <w:pPr>
        <w:pStyle w:val="SingleTxt"/>
        <w:numPr>
          <w:ilvl w:val="0"/>
          <w:numId w:val="5"/>
        </w:numPr>
        <w:tabs>
          <w:tab w:val="clear" w:pos="1742"/>
          <w:tab w:val="clear" w:pos="2218"/>
          <w:tab w:val="left" w:pos="1530"/>
        </w:tabs>
        <w:spacing w:before="240" w:after="240" w:line="240" w:lineRule="auto"/>
      </w:pPr>
      <w:r w:rsidRPr="00E575BB">
        <w:t>UNDP spent $30.2 million (2018: $31.2 million), of which $21.2 million (2018: $21.2 million) was associated with the UNDP share of the United Nations field security coordination programme; and $9.0 million (2018: $10.0 million) with security advisory services and security investments to ensure the compliance with minimum operating security standards. The latter included security assessments, compliance, and improvement of premises security, blast and seismic assessments, and security included office relocations; security communication and transportation equipment; as well as security trainings.</w:t>
      </w:r>
    </w:p>
    <w:p w14:paraId="78A8011F" w14:textId="53C0FB65" w:rsidR="00E605A4" w:rsidRPr="00EC2242" w:rsidRDefault="006A4015" w:rsidP="005F648C">
      <w:pPr>
        <w:pStyle w:val="HCh"/>
        <w:numPr>
          <w:ilvl w:val="0"/>
          <w:numId w:val="13"/>
        </w:numPr>
        <w:spacing w:before="360" w:after="240" w:line="240" w:lineRule="auto"/>
        <w:ind w:right="1267"/>
      </w:pPr>
      <w:r w:rsidRPr="00EC2242">
        <w:tab/>
      </w:r>
      <w:bookmarkStart w:id="432" w:name="_Toc46399231"/>
      <w:r w:rsidR="001C6268" w:rsidRPr="00EC2242">
        <w:t>‘</w:t>
      </w:r>
      <w:r w:rsidR="00E605A4" w:rsidRPr="00EC2242">
        <w:t>Greening</w:t>
      </w:r>
      <w:r w:rsidR="001C6268" w:rsidRPr="00EC2242">
        <w:t>’</w:t>
      </w:r>
      <w:r w:rsidR="00AF1535" w:rsidRPr="00EC2242">
        <w:t xml:space="preserve"> </w:t>
      </w:r>
      <w:r w:rsidR="00E605A4" w:rsidRPr="00EC2242">
        <w:t>UNDP</w:t>
      </w:r>
      <w:bookmarkEnd w:id="432"/>
    </w:p>
    <w:p w14:paraId="28D60041" w14:textId="06DB11F8" w:rsidR="00F3752D" w:rsidRPr="00EC2242" w:rsidRDefault="00EA4286" w:rsidP="009D4BB3">
      <w:pPr>
        <w:pStyle w:val="SingleTxt"/>
        <w:numPr>
          <w:ilvl w:val="0"/>
          <w:numId w:val="5"/>
        </w:numPr>
        <w:tabs>
          <w:tab w:val="clear" w:pos="1742"/>
          <w:tab w:val="clear" w:pos="2218"/>
          <w:tab w:val="left" w:pos="1530"/>
        </w:tabs>
        <w:spacing w:before="240" w:after="240" w:line="240" w:lineRule="auto"/>
        <w:rPr>
          <w:shd w:val="pct15" w:color="auto" w:fill="FFFFFF"/>
        </w:rPr>
      </w:pPr>
      <w:r w:rsidRPr="00EC2242">
        <w:t>In 2019, UNDP launched the ‘Greening UNDP Moonshot’, significantly accelerating UNDP’s ‘greening’ ambitions committing to reduce Greenhouse Gas</w:t>
      </w:r>
      <w:r w:rsidR="00172677" w:rsidRPr="00EC2242">
        <w:t xml:space="preserve"> (GHG)</w:t>
      </w:r>
      <w:r w:rsidRPr="00EC2242">
        <w:t xml:space="preserve"> emissions from global operations by 25</w:t>
      </w:r>
      <w:r w:rsidR="00802A13" w:rsidRPr="00EC2242">
        <w:t xml:space="preserve"> per cent</w:t>
      </w:r>
      <w:r w:rsidRPr="00EC2242">
        <w:t xml:space="preserve"> by 2025 and 5</w:t>
      </w:r>
      <w:r w:rsidR="00802A13" w:rsidRPr="00EC2242">
        <w:t>0 per cent</w:t>
      </w:r>
      <w:r w:rsidRPr="00EC2242">
        <w:t xml:space="preserve"> by 2030.  Building on and scaling up innovative ‘greening approaches’ already adopted throughout the organization, the ‘Greening Moonshot Facility’ was launched in November 2019 incentivizing contributions by UNDP facilities to the Moonshot targets via competitive calls for proposals. </w:t>
      </w:r>
    </w:p>
    <w:p w14:paraId="3D1BF081" w14:textId="3759B191" w:rsidR="00122E90" w:rsidRPr="00EC2242" w:rsidRDefault="00EA4286" w:rsidP="000B23F1">
      <w:pPr>
        <w:pStyle w:val="SingleTxt"/>
        <w:rPr>
          <w:b/>
          <w:spacing w:val="-2"/>
          <w:sz w:val="28"/>
          <w:szCs w:val="28"/>
        </w:rPr>
      </w:pPr>
      <w:r w:rsidRPr="00EC2242">
        <w:t>UNDP also banned single-use plastic from cafeterias, canteens and events and build a comprehensive staff greening engagement platform. Environmental Reporting via UNDP’s Environmental Management Tool increased significantly with 65 offices reporting their 2018 carbon footprint (during 2019). The organization-wide 2018 carbon footprint of 76,599 tons CO2e was offset with Certified Emission Reductions (CERs) from the Adaptation Fund established under the Kyoto Protocol of the United Nations Framework Convention on Climate Change</w:t>
      </w:r>
      <w:r w:rsidR="000E1F0E" w:rsidRPr="00EC2242">
        <w:t>. Similarly,</w:t>
      </w:r>
      <w:r w:rsidRPr="00EC2242">
        <w:t xml:space="preserve"> </w:t>
      </w:r>
      <w:r w:rsidR="000E1F0E" w:rsidRPr="00EC2242">
        <w:t xml:space="preserve">2019 GHG emission data are collected during 2020 and UNDP’s 2019 Carbon Footprint is expected to be offset by end of 2020. </w:t>
      </w:r>
      <w:r w:rsidRPr="00EC2242">
        <w:t>As such, UNDP continues to be climate neutral in its global operations.</w:t>
      </w:r>
    </w:p>
    <w:p w14:paraId="45174019" w14:textId="4AB02C5E" w:rsidR="00122E90" w:rsidRPr="007F402D" w:rsidRDefault="00DC38D5" w:rsidP="005F648C">
      <w:pPr>
        <w:pStyle w:val="HCh"/>
        <w:numPr>
          <w:ilvl w:val="0"/>
          <w:numId w:val="13"/>
        </w:numPr>
        <w:spacing w:before="360" w:after="240" w:line="240" w:lineRule="auto"/>
        <w:ind w:right="1267"/>
        <w:rPr>
          <w:b w:val="0"/>
          <w:bCs/>
        </w:rPr>
      </w:pPr>
      <w:r>
        <w:t xml:space="preserve"> </w:t>
      </w:r>
      <w:bookmarkStart w:id="433" w:name="_Toc46399232"/>
      <w:r w:rsidR="007F402D">
        <w:t xml:space="preserve">Appendices </w:t>
      </w:r>
      <w:r w:rsidR="00122E90" w:rsidRPr="007F402D">
        <w:rPr>
          <w:b w:val="0"/>
          <w:bCs/>
        </w:rPr>
        <w:t>(available on the UNDP Executive Board web page)</w:t>
      </w:r>
      <w:bookmarkEnd w:id="433"/>
    </w:p>
    <w:p w14:paraId="1F8D0F5D" w14:textId="18E7BDB5" w:rsidR="00DC38D5" w:rsidRPr="00DC38D5" w:rsidRDefault="00DC38D5" w:rsidP="008264C8">
      <w:pPr>
        <w:tabs>
          <w:tab w:val="right" w:pos="1080"/>
          <w:tab w:val="right" w:pos="1714"/>
          <w:tab w:val="left" w:pos="2160"/>
          <w:tab w:val="left" w:pos="2592"/>
          <w:tab w:val="left" w:pos="3024"/>
          <w:tab w:val="left" w:pos="3456"/>
          <w:tab w:val="right" w:leader="dot" w:pos="9360"/>
        </w:tabs>
        <w:spacing w:before="240" w:after="240" w:line="240" w:lineRule="auto"/>
        <w:ind w:left="360"/>
        <w:rPr>
          <w:sz w:val="24"/>
          <w:szCs w:val="24"/>
        </w:rPr>
      </w:pPr>
      <w:r w:rsidRPr="00DC38D5">
        <w:rPr>
          <w:sz w:val="24"/>
          <w:szCs w:val="24"/>
        </w:rPr>
        <w:t>Contents</w:t>
      </w:r>
    </w:p>
    <w:p w14:paraId="2802D9F9" w14:textId="21178D1B" w:rsidR="00122E90" w:rsidRPr="00E45F33" w:rsidRDefault="00122E90"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E45F33">
        <w:t>UNDP overview</w:t>
      </w:r>
    </w:p>
    <w:p w14:paraId="1070E599" w14:textId="77777777" w:rsidR="00122E90" w:rsidRPr="00E45F33" w:rsidRDefault="00122E90" w:rsidP="005F648C">
      <w:pPr>
        <w:pStyle w:val="ListParagraph"/>
        <w:numPr>
          <w:ilvl w:val="1"/>
          <w:numId w:val="9"/>
        </w:numPr>
        <w:tabs>
          <w:tab w:val="right" w:pos="1080"/>
          <w:tab w:val="right" w:pos="1714"/>
          <w:tab w:val="left" w:pos="2160"/>
          <w:tab w:val="left" w:pos="2592"/>
          <w:tab w:val="left" w:pos="3024"/>
          <w:tab w:val="left" w:pos="3456"/>
          <w:tab w:val="right" w:leader="dot" w:pos="9360"/>
        </w:tabs>
        <w:spacing w:before="240" w:after="240" w:line="240" w:lineRule="auto"/>
        <w:ind w:left="1800"/>
        <w:contextualSpacing w:val="0"/>
      </w:pPr>
      <w:r w:rsidRPr="00E45F33">
        <w:t>Statement of financial performance for the year ended 31 December 201</w:t>
      </w:r>
      <w:r>
        <w:t>9</w:t>
      </w:r>
    </w:p>
    <w:p w14:paraId="5624E4A4" w14:textId="77777777" w:rsidR="00122E90" w:rsidRPr="00E45F33" w:rsidRDefault="00122E90" w:rsidP="005F648C">
      <w:pPr>
        <w:pStyle w:val="ListParagraph"/>
        <w:numPr>
          <w:ilvl w:val="1"/>
          <w:numId w:val="9"/>
        </w:numPr>
        <w:tabs>
          <w:tab w:val="right" w:pos="1080"/>
          <w:tab w:val="right" w:pos="1714"/>
          <w:tab w:val="left" w:pos="2160"/>
          <w:tab w:val="left" w:pos="2592"/>
          <w:tab w:val="left" w:pos="3024"/>
          <w:tab w:val="left" w:pos="3456"/>
          <w:tab w:val="right" w:leader="dot" w:pos="9360"/>
        </w:tabs>
        <w:spacing w:before="240" w:after="240" w:line="240" w:lineRule="auto"/>
        <w:ind w:left="1800"/>
        <w:contextualSpacing w:val="0"/>
      </w:pPr>
      <w:r w:rsidRPr="00E45F33">
        <w:t>Statement of financial position as at 31 December 201</w:t>
      </w:r>
      <w:r>
        <w:t>9</w:t>
      </w:r>
    </w:p>
    <w:p w14:paraId="60643B0C" w14:textId="77777777" w:rsidR="00122E90" w:rsidRPr="00E45F33" w:rsidRDefault="00122E90"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E45F33">
        <w:t>Regular resources – comparison of budget to actual, 201</w:t>
      </w:r>
      <w:r>
        <w:t>9</w:t>
      </w:r>
    </w:p>
    <w:p w14:paraId="003A228A" w14:textId="77777777" w:rsidR="00122E90" w:rsidRPr="00AD52A4" w:rsidRDefault="00122E90"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AD52A4">
        <w:t>A.</w:t>
      </w:r>
      <w:r w:rsidRPr="00AD52A4">
        <w:tab/>
        <w:t xml:space="preserve">Integrated resources plan, 2018-2021 estimates compared to 2018-2019 actuals </w:t>
      </w:r>
    </w:p>
    <w:p w14:paraId="514BC02E" w14:textId="2F19A388" w:rsidR="00122E90" w:rsidRPr="00E45F33" w:rsidRDefault="00122E90" w:rsidP="008264C8">
      <w:pPr>
        <w:pStyle w:val="ListParagraph"/>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AD52A4">
        <w:t>B.</w:t>
      </w:r>
      <w:r w:rsidRPr="00AD52A4">
        <w:tab/>
        <w:t xml:space="preserve">Summary of institutional component of the integrated budget by category of expenditures: </w:t>
      </w:r>
      <w:r w:rsidR="00547348">
        <w:t>2018-</w:t>
      </w:r>
      <w:r w:rsidRPr="00AD52A4">
        <w:t>201</w:t>
      </w:r>
      <w:r w:rsidR="00AD52A4">
        <w:t>9</w:t>
      </w:r>
      <w:r w:rsidRPr="00AD52A4">
        <w:t xml:space="preserve"> annualized estimates versus </w:t>
      </w:r>
      <w:r w:rsidR="00547348">
        <w:t>2018-</w:t>
      </w:r>
      <w:r w:rsidRPr="00AD52A4">
        <w:t>201</w:t>
      </w:r>
      <w:r w:rsidR="00D837CF">
        <w:t>9</w:t>
      </w:r>
      <w:r w:rsidRPr="00AD52A4">
        <w:t xml:space="preserve"> actual expenditures</w:t>
      </w:r>
      <w:r w:rsidRPr="00E45F33">
        <w:t xml:space="preserve"> </w:t>
      </w:r>
    </w:p>
    <w:p w14:paraId="62187974" w14:textId="77777777" w:rsidR="00122E90" w:rsidRPr="00E45F33" w:rsidRDefault="00122E90" w:rsidP="008264C8">
      <w:pPr>
        <w:pStyle w:val="ListParagraph"/>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E45F33">
        <w:t>C.</w:t>
      </w:r>
      <w:r w:rsidRPr="00E45F33">
        <w:tab/>
        <w:t>Resources allocated to posts by location, 201</w:t>
      </w:r>
      <w:r>
        <w:t>9</w:t>
      </w:r>
    </w:p>
    <w:p w14:paraId="3B490305" w14:textId="1B15EC9C" w:rsidR="00AD52A4" w:rsidRDefault="00122E90"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E45F33">
        <w:t xml:space="preserve">Regular resources – </w:t>
      </w:r>
      <w:r w:rsidR="003A0517">
        <w:t xml:space="preserve">annual </w:t>
      </w:r>
      <w:r w:rsidRPr="00E45F33">
        <w:t>contributions from top 10 donors, 201</w:t>
      </w:r>
      <w:r>
        <w:t>8</w:t>
      </w:r>
      <w:r w:rsidRPr="00E45F33">
        <w:t>-201</w:t>
      </w:r>
      <w:r>
        <w:t>9</w:t>
      </w:r>
    </w:p>
    <w:p w14:paraId="14E15ED9" w14:textId="2D8DF531" w:rsidR="00AD52A4" w:rsidRDefault="00122E90"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rsidRPr="00E45F33">
        <w:t xml:space="preserve">Explanation of terms used </w:t>
      </w:r>
      <w:r w:rsidRPr="00C6614C">
        <w:t xml:space="preserve">in </w:t>
      </w:r>
      <w:r w:rsidR="003C118A">
        <w:t xml:space="preserve">Annex </w:t>
      </w:r>
      <w:r w:rsidR="007F402D">
        <w:t xml:space="preserve">I </w:t>
      </w:r>
      <w:r w:rsidR="003C118A">
        <w:t xml:space="preserve">to </w:t>
      </w:r>
      <w:r w:rsidRPr="00C6614C">
        <w:t>DP/2020/2</w:t>
      </w:r>
      <w:r w:rsidR="007F402D">
        <w:t>0</w:t>
      </w:r>
    </w:p>
    <w:p w14:paraId="445CD3F5" w14:textId="152154AB" w:rsidR="007F402D" w:rsidRDefault="00CB7133" w:rsidP="005F648C">
      <w:pPr>
        <w:pStyle w:val="ListParagraph"/>
        <w:numPr>
          <w:ilvl w:val="0"/>
          <w:numId w:val="12"/>
        </w:numPr>
        <w:tabs>
          <w:tab w:val="right" w:pos="1080"/>
          <w:tab w:val="right" w:pos="1714"/>
          <w:tab w:val="left" w:pos="2160"/>
          <w:tab w:val="left" w:pos="2592"/>
          <w:tab w:val="left" w:pos="3024"/>
          <w:tab w:val="left" w:pos="3456"/>
          <w:tab w:val="right" w:leader="dot" w:pos="9360"/>
        </w:tabs>
        <w:spacing w:before="240" w:after="240" w:line="240" w:lineRule="auto"/>
        <w:ind w:left="1080"/>
        <w:contextualSpacing w:val="0"/>
      </w:pPr>
      <w:r>
        <w:t xml:space="preserve">Supporting </w:t>
      </w:r>
      <w:r w:rsidR="007F402D">
        <w:t>information</w:t>
      </w:r>
      <w:r w:rsidR="000617F1">
        <w:t xml:space="preserve"> relating</w:t>
      </w:r>
      <w:r w:rsidR="007F402D">
        <w:t xml:space="preserve"> to the</w:t>
      </w:r>
      <w:r>
        <w:t xml:space="preserve"> detailed</w:t>
      </w:r>
      <w:r w:rsidR="007F402D">
        <w:t xml:space="preserve"> annual review of the financial situation, 2019.</w:t>
      </w:r>
    </w:p>
    <w:p w14:paraId="136BF76E" w14:textId="77777777" w:rsidR="00AD52A4" w:rsidRDefault="00AD52A4" w:rsidP="007A712B">
      <w:pPr>
        <w:tabs>
          <w:tab w:val="right" w:pos="1080"/>
          <w:tab w:val="right" w:pos="1714"/>
          <w:tab w:val="left" w:pos="2160"/>
          <w:tab w:val="left" w:pos="2592"/>
          <w:tab w:val="left" w:pos="3024"/>
          <w:tab w:val="left" w:pos="3456"/>
          <w:tab w:val="right" w:leader="dot" w:pos="9360"/>
        </w:tabs>
        <w:spacing w:before="120" w:after="120" w:line="240" w:lineRule="auto"/>
      </w:pPr>
    </w:p>
    <w:p w14:paraId="4350F02B" w14:textId="7887F918" w:rsidR="00FC4398" w:rsidRPr="000E57AE" w:rsidRDefault="00FC4398" w:rsidP="000B23F1">
      <w:pPr>
        <w:tabs>
          <w:tab w:val="right" w:pos="1080"/>
          <w:tab w:val="right" w:pos="1714"/>
          <w:tab w:val="left" w:pos="2160"/>
          <w:tab w:val="left" w:pos="2592"/>
          <w:tab w:val="left" w:pos="3024"/>
          <w:tab w:val="left" w:pos="3456"/>
          <w:tab w:val="right" w:leader="dot" w:pos="9360"/>
        </w:tabs>
        <w:spacing w:before="120" w:after="120" w:line="240" w:lineRule="auto"/>
      </w:pPr>
      <w:r w:rsidRPr="000E57AE">
        <w:rPr>
          <w:noProof/>
          <w:w w:val="100"/>
          <w:lang w:val="en-US"/>
        </w:rPr>
        <mc:AlternateContent>
          <mc:Choice Requires="wps">
            <w:drawing>
              <wp:anchor distT="0" distB="0" distL="114300" distR="114300" simplePos="0" relativeHeight="251658249" behindDoc="0" locked="0" layoutInCell="1" allowOverlap="1" wp14:anchorId="10CF8459" wp14:editId="04150D9F">
                <wp:simplePos x="0" y="0"/>
                <wp:positionH relativeFrom="column">
                  <wp:posOffset>2920365</wp:posOffset>
                </wp:positionH>
                <wp:positionV relativeFrom="paragraph">
                  <wp:posOffset>100838</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noFill/>
                        <a:ln w="3175" cap="flat" cmpd="sng" algn="ctr">
                          <a:solidFill>
                            <a:srgbClr val="010000"/>
                          </a:solidFill>
                          <a:prstDash val="solid"/>
                        </a:ln>
                        <a:effectLst/>
                      </wps:spPr>
                      <wps:bodyPr/>
                    </wps:wsp>
                  </a:graphicData>
                </a:graphic>
              </wp:anchor>
            </w:drawing>
          </mc:Choice>
          <mc:Fallback>
            <w:pict>
              <v:line w14:anchorId="782B3171" id="Straight Connector 4"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229.95pt,7.95pt" to="301.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" strokecolor="#010000" strokeweight=".25pt"/>
            </w:pict>
          </mc:Fallback>
        </mc:AlternateContent>
      </w:r>
    </w:p>
    <w:sectPr w:rsidR="00FC4398" w:rsidRPr="000E57AE" w:rsidSect="00A93A87">
      <w:endnotePr>
        <w:numFmt w:val="decimal"/>
      </w:endnotePr>
      <w:type w:val="continuous"/>
      <w:pgSz w:w="12240" w:h="15840" w:code="1"/>
      <w:pgMar w:top="1710" w:right="1195" w:bottom="1267" w:left="990" w:header="576" w:footer="864" w:gutter="0"/>
      <w:pgNumType w:start="1"/>
      <w:cols w:space="720"/>
      <w:noEndnote/>
      <w:docGrid w:linePitch="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38385" w14:textId="77777777" w:rsidR="00FB41B1" w:rsidRDefault="00FB41B1">
      <w:r>
        <w:separator/>
      </w:r>
    </w:p>
    <w:p w14:paraId="10B97530" w14:textId="77777777" w:rsidR="00FB41B1" w:rsidRDefault="00FB41B1"/>
  </w:endnote>
  <w:endnote w:type="continuationSeparator" w:id="0">
    <w:p w14:paraId="3E594702" w14:textId="77777777" w:rsidR="00FB41B1" w:rsidRDefault="00FB41B1">
      <w:r>
        <w:continuationSeparator/>
      </w:r>
    </w:p>
    <w:p w14:paraId="0205DCE4" w14:textId="77777777" w:rsidR="00FB41B1" w:rsidRDefault="00FB41B1"/>
  </w:endnote>
  <w:endnote w:type="continuationNotice" w:id="1">
    <w:p w14:paraId="7C1C1AE6" w14:textId="77777777" w:rsidR="00FB41B1" w:rsidRDefault="00FB41B1">
      <w:pPr>
        <w:spacing w:line="240" w:lineRule="auto"/>
      </w:pPr>
    </w:p>
    <w:p w14:paraId="5D40DA78" w14:textId="77777777" w:rsidR="00FB41B1" w:rsidRDefault="00FB4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rcode 3 of 9 by reques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ayout w:type="fixed"/>
      <w:tblLook w:val="0000" w:firstRow="0" w:lastRow="0" w:firstColumn="0" w:lastColumn="0" w:noHBand="0" w:noVBand="0"/>
    </w:tblPr>
    <w:tblGrid>
      <w:gridCol w:w="5028"/>
      <w:gridCol w:w="5028"/>
    </w:tblGrid>
    <w:tr w:rsidR="00A42B8D" w14:paraId="3326ABB6" w14:textId="77777777" w:rsidTr="00943B33">
      <w:tc>
        <w:tcPr>
          <w:tcW w:w="5028" w:type="dxa"/>
          <w:shd w:val="clear" w:color="auto" w:fill="auto"/>
        </w:tcPr>
        <w:p w14:paraId="78B33A15" w14:textId="77777777" w:rsidR="00A42B8D" w:rsidRPr="00943B33" w:rsidRDefault="00A42B8D" w:rsidP="007820E2">
          <w:pPr>
            <w:pStyle w:val="Footer"/>
            <w:jc w:val="right"/>
            <w:rPr>
              <w:b w:val="0"/>
              <w:w w:val="103"/>
              <w:sz w:val="14"/>
            </w:rPr>
          </w:pPr>
        </w:p>
      </w:tc>
      <w:tc>
        <w:tcPr>
          <w:tcW w:w="5028" w:type="dxa"/>
          <w:shd w:val="clear" w:color="auto" w:fill="auto"/>
        </w:tcPr>
        <w:p w14:paraId="0EC83F07" w14:textId="77777777" w:rsidR="00A42B8D" w:rsidRPr="00943B33" w:rsidRDefault="00A42B8D" w:rsidP="00D4624A">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10</w:t>
          </w:r>
          <w:r>
            <w:rPr>
              <w:w w:val="103"/>
            </w:rPr>
            <w:fldChar w:fldCharType="end"/>
          </w:r>
        </w:p>
      </w:tc>
    </w:tr>
  </w:tbl>
  <w:p w14:paraId="6D96397C" w14:textId="77777777" w:rsidR="00A42B8D" w:rsidRPr="00943B33" w:rsidRDefault="00A42B8D" w:rsidP="00943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ayout w:type="fixed"/>
      <w:tblLook w:val="0000" w:firstRow="0" w:lastRow="0" w:firstColumn="0" w:lastColumn="0" w:noHBand="0" w:noVBand="0"/>
    </w:tblPr>
    <w:tblGrid>
      <w:gridCol w:w="5028"/>
      <w:gridCol w:w="5028"/>
    </w:tblGrid>
    <w:tr w:rsidR="00A42B8D" w14:paraId="66DB47AB" w14:textId="77777777" w:rsidTr="00D81914">
      <w:trPr>
        <w:trHeight w:val="80"/>
      </w:trPr>
      <w:tc>
        <w:tcPr>
          <w:tcW w:w="5028" w:type="dxa"/>
          <w:shd w:val="clear" w:color="auto" w:fill="auto"/>
        </w:tcPr>
        <w:p w14:paraId="1CFDAA4C" w14:textId="77777777" w:rsidR="00A42B8D" w:rsidRPr="00943B33" w:rsidRDefault="00A42B8D" w:rsidP="00D4624A">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9</w:t>
          </w:r>
          <w:r>
            <w:rPr>
              <w:w w:val="103"/>
            </w:rPr>
            <w:fldChar w:fldCharType="end"/>
          </w:r>
        </w:p>
      </w:tc>
      <w:tc>
        <w:tcPr>
          <w:tcW w:w="5028" w:type="dxa"/>
          <w:shd w:val="clear" w:color="auto" w:fill="auto"/>
        </w:tcPr>
        <w:p w14:paraId="4A7ADF74" w14:textId="77777777" w:rsidR="00A42B8D" w:rsidRPr="00943B33" w:rsidRDefault="00A42B8D" w:rsidP="00943B33">
          <w:pPr>
            <w:pStyle w:val="Footer"/>
            <w:rPr>
              <w:b w:val="0"/>
              <w:w w:val="103"/>
              <w:sz w:val="14"/>
            </w:rPr>
          </w:pPr>
        </w:p>
      </w:tc>
    </w:tr>
  </w:tbl>
  <w:p w14:paraId="055965DC" w14:textId="77777777" w:rsidR="00A42B8D" w:rsidRPr="00943B33" w:rsidRDefault="00A42B8D" w:rsidP="00943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4920"/>
    </w:tblGrid>
    <w:tr w:rsidR="00A42B8D" w14:paraId="30FDBF18" w14:textId="77777777" w:rsidTr="5D788B90">
      <w:tc>
        <w:tcPr>
          <w:tcW w:w="3700" w:type="dxa"/>
          <w:shd w:val="clear" w:color="auto" w:fill="auto"/>
        </w:tcPr>
        <w:p w14:paraId="6B9F6A2F" w14:textId="3E32F62D" w:rsidR="00A42B8D" w:rsidRPr="00BB1219" w:rsidRDefault="00A42B8D">
          <w:pPr>
            <w:pStyle w:val="Footer"/>
            <w:rPr>
              <w:rFonts w:ascii="Barcode 3 of 9 by request" w:hAnsi="Barcode 3 of 9 by request"/>
              <w:b w:val="0"/>
              <w:sz w:val="24"/>
            </w:rPr>
          </w:pPr>
        </w:p>
      </w:tc>
      <w:tc>
        <w:tcPr>
          <w:tcW w:w="4920" w:type="dxa"/>
          <w:shd w:val="clear" w:color="auto" w:fill="auto"/>
        </w:tcPr>
        <w:p w14:paraId="5DB983AF" w14:textId="441B04CC" w:rsidR="00A42B8D" w:rsidRDefault="00A42B8D" w:rsidP="00BB1219">
          <w:pPr>
            <w:pStyle w:val="Footer"/>
            <w:spacing w:line="240" w:lineRule="atLeast"/>
            <w:jc w:val="right"/>
            <w:rPr>
              <w:b w:val="0"/>
              <w:sz w:val="20"/>
            </w:rPr>
          </w:pPr>
        </w:p>
      </w:tc>
    </w:tr>
  </w:tbl>
  <w:p w14:paraId="57FFDB2E" w14:textId="77777777" w:rsidR="00A42B8D" w:rsidRPr="00BB1219" w:rsidRDefault="00A42B8D">
    <w:pPr>
      <w:pStyle w:val="Footer"/>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162F0" w14:textId="77777777" w:rsidR="00FB41B1" w:rsidRDefault="00FB41B1">
      <w:r>
        <w:separator/>
      </w:r>
    </w:p>
    <w:p w14:paraId="3C3D8A59" w14:textId="77777777" w:rsidR="00FB41B1" w:rsidRDefault="00FB41B1"/>
  </w:footnote>
  <w:footnote w:type="continuationSeparator" w:id="0">
    <w:p w14:paraId="0643A6AC" w14:textId="77777777" w:rsidR="00FB41B1" w:rsidRDefault="00FB41B1">
      <w:r>
        <w:continuationSeparator/>
      </w:r>
    </w:p>
    <w:p w14:paraId="6C5DBF7E" w14:textId="77777777" w:rsidR="00FB41B1" w:rsidRDefault="00FB41B1"/>
  </w:footnote>
  <w:footnote w:type="continuationNotice" w:id="1">
    <w:p w14:paraId="798C6D73" w14:textId="77777777" w:rsidR="00FB41B1" w:rsidRDefault="00FB41B1">
      <w:pPr>
        <w:spacing w:line="240" w:lineRule="auto"/>
      </w:pPr>
    </w:p>
    <w:p w14:paraId="1B4FCC5E" w14:textId="77777777" w:rsidR="00FB41B1" w:rsidRDefault="00FB41B1"/>
  </w:footnote>
  <w:footnote w:id="2">
    <w:p w14:paraId="698214E2" w14:textId="2F66A3AA" w:rsidR="00A42B8D" w:rsidRPr="00FA1EE2" w:rsidRDefault="00A42B8D" w:rsidP="00D245E5">
      <w:pPr>
        <w:pStyle w:val="FootnoteText"/>
        <w:ind w:left="893"/>
        <w:rPr>
          <w:sz w:val="20"/>
        </w:rPr>
      </w:pPr>
      <w:r w:rsidRPr="00FA1EE2">
        <w:rPr>
          <w:rStyle w:val="FootnoteReference"/>
          <w:sz w:val="18"/>
          <w:szCs w:val="18"/>
        </w:rPr>
        <w:footnoteRef/>
      </w:r>
      <w:r w:rsidRPr="00FA1EE2">
        <w:rPr>
          <w:sz w:val="18"/>
          <w:szCs w:val="18"/>
        </w:rPr>
        <w:t xml:space="preserve"> </w:t>
      </w:r>
      <w:r>
        <w:rPr>
          <w:sz w:val="18"/>
          <w:szCs w:val="18"/>
        </w:rPr>
        <w:t>Amounts exclude a $12 million contribution for 2019 from the United States which was received in 2020.</w:t>
      </w:r>
    </w:p>
  </w:footnote>
  <w:footnote w:id="3">
    <w:p w14:paraId="2CDF86F1" w14:textId="36DFA06B" w:rsidR="00A42B8D" w:rsidRPr="00FA1EE2" w:rsidRDefault="00A42B8D" w:rsidP="00FA4994">
      <w:pPr>
        <w:pStyle w:val="FootnoteText"/>
        <w:ind w:left="893"/>
        <w:rPr>
          <w:sz w:val="20"/>
        </w:rPr>
      </w:pPr>
      <w:r w:rsidRPr="00FA1EE2">
        <w:rPr>
          <w:rStyle w:val="FootnoteReference"/>
          <w:sz w:val="18"/>
          <w:szCs w:val="18"/>
        </w:rPr>
        <w:footnoteRef/>
      </w:r>
      <w:r w:rsidRPr="00FA1EE2">
        <w:rPr>
          <w:sz w:val="18"/>
          <w:szCs w:val="18"/>
        </w:rPr>
        <w:t xml:space="preserve"> </w:t>
      </w:r>
      <w:r w:rsidRPr="00FA1EE2">
        <w:rPr>
          <w:rFonts w:eastAsia="Times New Roman"/>
          <w:color w:val="212121"/>
          <w:sz w:val="18"/>
          <w:szCs w:val="18"/>
        </w:rPr>
        <w:t>Taking into account a $12 million contribution for 2019 from the United States which was received in 2020</w:t>
      </w:r>
      <w:r>
        <w:rPr>
          <w:rFonts w:eastAsia="Times New Roman"/>
          <w:color w:val="212121"/>
          <w:sz w:val="18"/>
          <w:szCs w:val="18"/>
        </w:rPr>
        <w:t xml:space="preserve"> </w:t>
      </w:r>
    </w:p>
  </w:footnote>
  <w:footnote w:id="4">
    <w:p w14:paraId="0387E527" w14:textId="51156F00" w:rsidR="00A42B8D" w:rsidRPr="00AA75E9" w:rsidRDefault="00A42B8D" w:rsidP="00AA75E9">
      <w:pPr>
        <w:pStyle w:val="FootnoteText"/>
        <w:ind w:left="893"/>
        <w:rPr>
          <w:lang w:eastAsia="ja-JP"/>
        </w:rPr>
      </w:pPr>
      <w:r>
        <w:rPr>
          <w:rStyle w:val="FootnoteReference"/>
        </w:rPr>
        <w:footnoteRef/>
      </w:r>
      <w:r>
        <w:t xml:space="preserve"> See footnote 1.</w:t>
      </w:r>
    </w:p>
  </w:footnote>
  <w:footnote w:id="5">
    <w:p w14:paraId="3ABB800A" w14:textId="25F4A8D1" w:rsidR="00A42B8D" w:rsidRPr="006017A3" w:rsidRDefault="00A42B8D" w:rsidP="00D61963">
      <w:pPr>
        <w:pStyle w:val="FootnoteText"/>
        <w:ind w:left="979" w:right="1267" w:firstLine="0"/>
        <w:jc w:val="both"/>
        <w:rPr>
          <w:lang w:val="en-US"/>
        </w:rPr>
      </w:pPr>
      <w:r w:rsidRPr="0052018A">
        <w:rPr>
          <w:rStyle w:val="FootnoteReference"/>
          <w:sz w:val="16"/>
          <w:szCs w:val="16"/>
        </w:rPr>
        <w:footnoteRef/>
      </w:r>
      <w:r w:rsidRPr="0052018A">
        <w:rPr>
          <w:sz w:val="16"/>
          <w:szCs w:val="16"/>
        </w:rPr>
        <w:t xml:space="preserve"> As evidenced in the IRRF, the UNDP management efficiency ratio continues to improve and remains below the level of the corresponding annual milestone. UNDP continues to outperform its annual milestone. During 2018-2019, UNDP exceeded its targeted levels, moving to a management efficiency ratio of 6.7 per cent (actual) versus 6.9 per cent (milestone), and 7.5 per cent (actual) versus 7.7 per cent (milestone) for 2018 and 2019 respectively. The figures for 2019 reflect the impact of General Assembly resolution 72/279 on delinking the resident coordinator system from UNDP.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A42B8D" w14:paraId="34D17D8C" w14:textId="77777777" w:rsidTr="00943B33">
      <w:trPr>
        <w:trHeight w:hRule="exact" w:val="864"/>
      </w:trPr>
      <w:tc>
        <w:tcPr>
          <w:tcW w:w="4838" w:type="dxa"/>
          <w:shd w:val="clear" w:color="auto" w:fill="auto"/>
          <w:vAlign w:val="bottom"/>
        </w:tcPr>
        <w:p w14:paraId="14B97FDB" w14:textId="3A041E09" w:rsidR="00A42B8D" w:rsidRPr="00943B33" w:rsidRDefault="00A42B8D" w:rsidP="00FC022F">
          <w:pPr>
            <w:pStyle w:val="Header"/>
            <w:spacing w:after="80"/>
            <w:rPr>
              <w:b/>
            </w:rPr>
          </w:pPr>
          <w:r>
            <w:rPr>
              <w:b/>
            </w:rPr>
            <w:t>Annex I to DP/2020/20</w:t>
          </w:r>
        </w:p>
      </w:tc>
      <w:tc>
        <w:tcPr>
          <w:tcW w:w="5028" w:type="dxa"/>
          <w:shd w:val="clear" w:color="auto" w:fill="auto"/>
          <w:vAlign w:val="bottom"/>
        </w:tcPr>
        <w:p w14:paraId="2B6AA1E4" w14:textId="77777777" w:rsidR="00A42B8D" w:rsidRDefault="00A42B8D" w:rsidP="00943B33">
          <w:pPr>
            <w:pStyle w:val="Header"/>
          </w:pPr>
        </w:p>
      </w:tc>
    </w:tr>
  </w:tbl>
  <w:p w14:paraId="63CA35E7" w14:textId="77777777" w:rsidR="00A42B8D" w:rsidRPr="00943B33" w:rsidRDefault="00A42B8D" w:rsidP="007A6D5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A42B8D" w14:paraId="1DCC3476" w14:textId="77777777" w:rsidTr="00943B33">
      <w:trPr>
        <w:trHeight w:hRule="exact" w:val="864"/>
      </w:trPr>
      <w:tc>
        <w:tcPr>
          <w:tcW w:w="4838" w:type="dxa"/>
          <w:shd w:val="clear" w:color="auto" w:fill="auto"/>
          <w:vAlign w:val="bottom"/>
        </w:tcPr>
        <w:p w14:paraId="3A1E20CA" w14:textId="77777777" w:rsidR="00A42B8D" w:rsidRDefault="00A42B8D" w:rsidP="00943B33">
          <w:pPr>
            <w:pStyle w:val="Header"/>
          </w:pPr>
        </w:p>
      </w:tc>
      <w:tc>
        <w:tcPr>
          <w:tcW w:w="5028" w:type="dxa"/>
          <w:shd w:val="clear" w:color="auto" w:fill="auto"/>
          <w:vAlign w:val="bottom"/>
        </w:tcPr>
        <w:p w14:paraId="30DCB303" w14:textId="4B0112D0" w:rsidR="00A42B8D" w:rsidRPr="00943B33" w:rsidRDefault="00A42B8D" w:rsidP="00FC022F">
          <w:pPr>
            <w:pStyle w:val="Header"/>
            <w:spacing w:after="80"/>
            <w:jc w:val="right"/>
            <w:rPr>
              <w:b/>
            </w:rPr>
          </w:pPr>
          <w:r>
            <w:rPr>
              <w:b/>
            </w:rPr>
            <w:t>Annex I to DP/2020/20</w:t>
          </w:r>
        </w:p>
      </w:tc>
    </w:tr>
  </w:tbl>
  <w:p w14:paraId="3E055973" w14:textId="77777777" w:rsidR="00A42B8D" w:rsidRPr="00943B33" w:rsidRDefault="00A42B8D" w:rsidP="00943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1D8"/>
    <w:multiLevelType w:val="hybridMultilevel"/>
    <w:tmpl w:val="1B6E8C20"/>
    <w:lvl w:ilvl="0" w:tplc="3E9C76D6">
      <w:start w:val="1"/>
      <w:numFmt w:val="decimal"/>
      <w:lvlText w:val="%1."/>
      <w:lvlJc w:val="left"/>
      <w:pPr>
        <w:ind w:left="1343" w:hanging="360"/>
      </w:pPr>
      <w:rPr>
        <w:rFonts w:ascii="Times New Roman" w:hAnsi="Times New Roman" w:cs="Times New Roman" w:hint="default"/>
        <w:b w:val="0"/>
        <w:bCs/>
        <w:strike w:val="0"/>
      </w:rPr>
    </w:lvl>
    <w:lvl w:ilvl="1" w:tplc="04090019">
      <w:start w:val="1"/>
      <w:numFmt w:val="lowerLetter"/>
      <w:lvlText w:val="%2."/>
      <w:lvlJc w:val="left"/>
      <w:pPr>
        <w:ind w:left="2520" w:hanging="360"/>
      </w:pPr>
    </w:lvl>
    <w:lvl w:ilvl="2" w:tplc="E544281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2120B0"/>
    <w:multiLevelType w:val="hybridMultilevel"/>
    <w:tmpl w:val="4C8E3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05A52"/>
    <w:multiLevelType w:val="hybridMultilevel"/>
    <w:tmpl w:val="C4BAC26C"/>
    <w:lvl w:ilvl="0" w:tplc="AC76A948">
      <w:start w:val="1"/>
      <w:numFmt w:val="decimal"/>
      <w:lvlText w:val="%1."/>
      <w:lvlJc w:val="left"/>
      <w:pPr>
        <w:ind w:left="1343" w:hanging="360"/>
      </w:pPr>
      <w:rPr>
        <w:b w:val="0"/>
        <w:bCs/>
      </w:rPr>
    </w:lvl>
    <w:lvl w:ilvl="1" w:tplc="04090019">
      <w:start w:val="1"/>
      <w:numFmt w:val="lowerLetter"/>
      <w:lvlText w:val="%2."/>
      <w:lvlJc w:val="left"/>
      <w:pPr>
        <w:ind w:left="2520" w:hanging="360"/>
      </w:pPr>
    </w:lvl>
    <w:lvl w:ilvl="2" w:tplc="E544281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366C42"/>
    <w:multiLevelType w:val="hybridMultilevel"/>
    <w:tmpl w:val="1CBEF6FC"/>
    <w:lvl w:ilvl="0" w:tplc="C8DEA626">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81324"/>
    <w:multiLevelType w:val="multilevel"/>
    <w:tmpl w:val="D5907FDA"/>
    <w:lvl w:ilvl="0">
      <w:start w:val="1"/>
      <w:numFmt w:val="upperRoman"/>
      <w:lvlText w:val="%1."/>
      <w:lvlJc w:val="right"/>
      <w:pPr>
        <w:tabs>
          <w:tab w:val="num" w:pos="1296"/>
        </w:tabs>
        <w:ind w:left="1296" w:hanging="216"/>
      </w:pPr>
    </w:lvl>
    <w:lvl w:ilvl="1">
      <w:start w:val="1"/>
      <w:numFmt w:val="upperLetter"/>
      <w:lvlText w:val="%2."/>
      <w:lvlJc w:val="left"/>
      <w:pPr>
        <w:tabs>
          <w:tab w:val="num" w:pos="1692"/>
        </w:tabs>
        <w:ind w:left="1692"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6"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7" w15:restartNumberingAfterBreak="0">
    <w:nsid w:val="469743FD"/>
    <w:multiLevelType w:val="hybridMultilevel"/>
    <w:tmpl w:val="E88E3C7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03274"/>
    <w:multiLevelType w:val="hybridMultilevel"/>
    <w:tmpl w:val="977841F0"/>
    <w:lvl w:ilvl="0" w:tplc="9DBE2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145B2F"/>
    <w:multiLevelType w:val="hybridMultilevel"/>
    <w:tmpl w:val="FFFFFFFF"/>
    <w:lvl w:ilvl="0" w:tplc="BFE079BE">
      <w:start w:val="1"/>
      <w:numFmt w:val="decimal"/>
      <w:lvlText w:val="%1."/>
      <w:lvlJc w:val="left"/>
      <w:pPr>
        <w:ind w:left="720" w:hanging="360"/>
      </w:pPr>
    </w:lvl>
    <w:lvl w:ilvl="1" w:tplc="CE02C9C2">
      <w:start w:val="1"/>
      <w:numFmt w:val="lowerLetter"/>
      <w:lvlText w:val="%2."/>
      <w:lvlJc w:val="left"/>
      <w:pPr>
        <w:ind w:left="1440" w:hanging="360"/>
      </w:pPr>
    </w:lvl>
    <w:lvl w:ilvl="2" w:tplc="B7F01822">
      <w:start w:val="1"/>
      <w:numFmt w:val="lowerLetter"/>
      <w:lvlText w:val="(%3)"/>
      <w:lvlJc w:val="left"/>
      <w:pPr>
        <w:ind w:left="2160" w:hanging="180"/>
      </w:pPr>
    </w:lvl>
    <w:lvl w:ilvl="3" w:tplc="2E7816C6">
      <w:start w:val="1"/>
      <w:numFmt w:val="decimal"/>
      <w:lvlText w:val="%4."/>
      <w:lvlJc w:val="left"/>
      <w:pPr>
        <w:ind w:left="2880" w:hanging="360"/>
      </w:pPr>
    </w:lvl>
    <w:lvl w:ilvl="4" w:tplc="239A13D8">
      <w:start w:val="1"/>
      <w:numFmt w:val="lowerLetter"/>
      <w:lvlText w:val="%5."/>
      <w:lvlJc w:val="left"/>
      <w:pPr>
        <w:ind w:left="3600" w:hanging="360"/>
      </w:pPr>
    </w:lvl>
    <w:lvl w:ilvl="5" w:tplc="AFD89634">
      <w:start w:val="1"/>
      <w:numFmt w:val="lowerRoman"/>
      <w:lvlText w:val="%6."/>
      <w:lvlJc w:val="right"/>
      <w:pPr>
        <w:ind w:left="4320" w:hanging="180"/>
      </w:pPr>
    </w:lvl>
    <w:lvl w:ilvl="6" w:tplc="C14E40EA">
      <w:start w:val="1"/>
      <w:numFmt w:val="decimal"/>
      <w:lvlText w:val="%7."/>
      <w:lvlJc w:val="left"/>
      <w:pPr>
        <w:ind w:left="5040" w:hanging="360"/>
      </w:pPr>
    </w:lvl>
    <w:lvl w:ilvl="7" w:tplc="DC00762E">
      <w:start w:val="1"/>
      <w:numFmt w:val="lowerLetter"/>
      <w:lvlText w:val="%8."/>
      <w:lvlJc w:val="left"/>
      <w:pPr>
        <w:ind w:left="5760" w:hanging="360"/>
      </w:pPr>
    </w:lvl>
    <w:lvl w:ilvl="8" w:tplc="40429AD8">
      <w:start w:val="1"/>
      <w:numFmt w:val="lowerRoman"/>
      <w:lvlText w:val="%9."/>
      <w:lvlJc w:val="right"/>
      <w:pPr>
        <w:ind w:left="6480" w:hanging="180"/>
      </w:pPr>
    </w:lvl>
  </w:abstractNum>
  <w:abstractNum w:abstractNumId="10"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1" w15:restartNumberingAfterBreak="0">
    <w:nsid w:val="68350C7C"/>
    <w:multiLevelType w:val="hybridMultilevel"/>
    <w:tmpl w:val="EFF05C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C8572C"/>
    <w:multiLevelType w:val="hybridMultilevel"/>
    <w:tmpl w:val="1B8AD5CC"/>
    <w:lvl w:ilvl="0" w:tplc="04090017">
      <w:start w:val="1"/>
      <w:numFmt w:val="lowerLetter"/>
      <w:lvlText w:val="%1)"/>
      <w:lvlJc w:val="left"/>
      <w:pPr>
        <w:ind w:left="2063" w:hanging="360"/>
      </w:pPr>
      <w:rPr>
        <w:rFonts w:hint="default"/>
      </w:rPr>
    </w:lvl>
    <w:lvl w:ilvl="1" w:tplc="04090019" w:tentative="1">
      <w:start w:val="1"/>
      <w:numFmt w:val="lowerLetter"/>
      <w:lvlText w:val="%2."/>
      <w:lvlJc w:val="left"/>
      <w:pPr>
        <w:ind w:left="2783" w:hanging="360"/>
      </w:pPr>
    </w:lvl>
    <w:lvl w:ilvl="2" w:tplc="0409001B" w:tentative="1">
      <w:start w:val="1"/>
      <w:numFmt w:val="lowerRoman"/>
      <w:lvlText w:val="%3."/>
      <w:lvlJc w:val="right"/>
      <w:pPr>
        <w:ind w:left="3503" w:hanging="180"/>
      </w:pPr>
    </w:lvl>
    <w:lvl w:ilvl="3" w:tplc="0409000F" w:tentative="1">
      <w:start w:val="1"/>
      <w:numFmt w:val="decimal"/>
      <w:lvlText w:val="%4."/>
      <w:lvlJc w:val="left"/>
      <w:pPr>
        <w:ind w:left="4223" w:hanging="360"/>
      </w:pPr>
    </w:lvl>
    <w:lvl w:ilvl="4" w:tplc="04090019" w:tentative="1">
      <w:start w:val="1"/>
      <w:numFmt w:val="lowerLetter"/>
      <w:lvlText w:val="%5."/>
      <w:lvlJc w:val="left"/>
      <w:pPr>
        <w:ind w:left="4943" w:hanging="360"/>
      </w:pPr>
    </w:lvl>
    <w:lvl w:ilvl="5" w:tplc="0409001B" w:tentative="1">
      <w:start w:val="1"/>
      <w:numFmt w:val="lowerRoman"/>
      <w:lvlText w:val="%6."/>
      <w:lvlJc w:val="right"/>
      <w:pPr>
        <w:ind w:left="5663" w:hanging="180"/>
      </w:pPr>
    </w:lvl>
    <w:lvl w:ilvl="6" w:tplc="0409000F" w:tentative="1">
      <w:start w:val="1"/>
      <w:numFmt w:val="decimal"/>
      <w:lvlText w:val="%7."/>
      <w:lvlJc w:val="left"/>
      <w:pPr>
        <w:ind w:left="6383" w:hanging="360"/>
      </w:pPr>
    </w:lvl>
    <w:lvl w:ilvl="7" w:tplc="04090019" w:tentative="1">
      <w:start w:val="1"/>
      <w:numFmt w:val="lowerLetter"/>
      <w:lvlText w:val="%8."/>
      <w:lvlJc w:val="left"/>
      <w:pPr>
        <w:ind w:left="7103" w:hanging="360"/>
      </w:pPr>
    </w:lvl>
    <w:lvl w:ilvl="8" w:tplc="0409001B" w:tentative="1">
      <w:start w:val="1"/>
      <w:numFmt w:val="lowerRoman"/>
      <w:lvlText w:val="%9."/>
      <w:lvlJc w:val="right"/>
      <w:pPr>
        <w:ind w:left="7823" w:hanging="180"/>
      </w:pPr>
    </w:lvl>
  </w:abstractNum>
  <w:abstractNum w:abstractNumId="13" w15:restartNumberingAfterBreak="0">
    <w:nsid w:val="7D701788"/>
    <w:multiLevelType w:val="hybridMultilevel"/>
    <w:tmpl w:val="2F02B066"/>
    <w:lvl w:ilvl="0" w:tplc="AC76A948">
      <w:start w:val="1"/>
      <w:numFmt w:val="decimal"/>
      <w:lvlText w:val="%1."/>
      <w:lvlJc w:val="left"/>
      <w:pPr>
        <w:ind w:left="1343" w:hanging="360"/>
      </w:pPr>
      <w:rPr>
        <w:b w:val="0"/>
        <w:bCs/>
      </w:rPr>
    </w:lvl>
    <w:lvl w:ilvl="1" w:tplc="04090019">
      <w:start w:val="1"/>
      <w:numFmt w:val="lowerLetter"/>
      <w:lvlText w:val="%2."/>
      <w:lvlJc w:val="left"/>
      <w:pPr>
        <w:ind w:left="2520" w:hanging="360"/>
      </w:pPr>
    </w:lvl>
    <w:lvl w:ilvl="2" w:tplc="E544281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0"/>
  </w:num>
  <w:num w:numId="3">
    <w:abstractNumId w:val="6"/>
  </w:num>
  <w:num w:numId="4">
    <w:abstractNumId w:val="4"/>
  </w:num>
  <w:num w:numId="5">
    <w:abstractNumId w:val="0"/>
  </w:num>
  <w:num w:numId="6">
    <w:abstractNumId w:val="4"/>
    <w:lvlOverride w:ilvl="0">
      <w:startOverride w:val="5"/>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12"/>
  </w:num>
  <w:num w:numId="12">
    <w:abstractNumId w:val="11"/>
  </w:num>
  <w:num w:numId="13">
    <w:abstractNumId w:val="8"/>
  </w:num>
  <w:num w:numId="14">
    <w:abstractNumId w:val="9"/>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76"/>
  <w:hyphenationZone w:val="20"/>
  <w:doNotHyphenateCaps/>
  <w:evenAndOddHeaders/>
  <w:drawingGridHorizontalSpacing w:val="120"/>
  <w:displayHorizontalDrawingGridEvery w:val="2"/>
  <w:characterSpacingControl w:val="doNotCompress"/>
  <w:hdrShapeDefaults>
    <o:shapedefaults v:ext="edit" spidmax="4097"/>
  </w:hdrShapeDefaults>
  <w:footnotePr>
    <w:footnote w:id="-1"/>
    <w:footnote w:id="0"/>
    <w:footnote w:id="1"/>
  </w:footnotePr>
  <w:endnotePr>
    <w:pos w:val="sectEnd"/>
    <w:numFmt w:val="decimal"/>
    <w:endnote w:id="-1"/>
    <w:endnote w:id="0"/>
    <w:endnote w:id="1"/>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912420*"/>
    <w:docVar w:name="jobn" w:val="19-12420 (E)"/>
    <w:docVar w:name="JobNo" w:val="1912420E"/>
    <w:docVar w:name="ODSRefJobNo" w:val="1922504E"/>
    <w:docVar w:name="sss1" w:val="DP/2019/26"/>
    <w:docVar w:name="sss2" w:val="-"/>
  </w:docVars>
  <w:rsids>
    <w:rsidRoot w:val="009D2BFA"/>
    <w:rsid w:val="00000369"/>
    <w:rsid w:val="000003A1"/>
    <w:rsid w:val="0000061B"/>
    <w:rsid w:val="00000639"/>
    <w:rsid w:val="000007B6"/>
    <w:rsid w:val="00000847"/>
    <w:rsid w:val="0000085F"/>
    <w:rsid w:val="00000A30"/>
    <w:rsid w:val="0000107D"/>
    <w:rsid w:val="00001DE3"/>
    <w:rsid w:val="00001DE9"/>
    <w:rsid w:val="000022CC"/>
    <w:rsid w:val="00002852"/>
    <w:rsid w:val="00002A41"/>
    <w:rsid w:val="00002D8C"/>
    <w:rsid w:val="00002F18"/>
    <w:rsid w:val="0000301C"/>
    <w:rsid w:val="00003350"/>
    <w:rsid w:val="00003369"/>
    <w:rsid w:val="00004121"/>
    <w:rsid w:val="000044BD"/>
    <w:rsid w:val="000045F2"/>
    <w:rsid w:val="00004AB8"/>
    <w:rsid w:val="00004B02"/>
    <w:rsid w:val="00005127"/>
    <w:rsid w:val="00005746"/>
    <w:rsid w:val="00005769"/>
    <w:rsid w:val="00006536"/>
    <w:rsid w:val="00006821"/>
    <w:rsid w:val="00006964"/>
    <w:rsid w:val="00006A7F"/>
    <w:rsid w:val="00006D53"/>
    <w:rsid w:val="000073E4"/>
    <w:rsid w:val="000074D8"/>
    <w:rsid w:val="00007608"/>
    <w:rsid w:val="00007823"/>
    <w:rsid w:val="00007947"/>
    <w:rsid w:val="00007A02"/>
    <w:rsid w:val="00007DDE"/>
    <w:rsid w:val="00010121"/>
    <w:rsid w:val="0001033D"/>
    <w:rsid w:val="00010409"/>
    <w:rsid w:val="00010779"/>
    <w:rsid w:val="00010CB2"/>
    <w:rsid w:val="00010EAD"/>
    <w:rsid w:val="00010FBD"/>
    <w:rsid w:val="00011833"/>
    <w:rsid w:val="00011910"/>
    <w:rsid w:val="000119DF"/>
    <w:rsid w:val="00011BAF"/>
    <w:rsid w:val="00011C6E"/>
    <w:rsid w:val="00011E94"/>
    <w:rsid w:val="00011F66"/>
    <w:rsid w:val="00012694"/>
    <w:rsid w:val="00012950"/>
    <w:rsid w:val="00012A18"/>
    <w:rsid w:val="00012A44"/>
    <w:rsid w:val="00012B9B"/>
    <w:rsid w:val="000130E7"/>
    <w:rsid w:val="000137FE"/>
    <w:rsid w:val="00013912"/>
    <w:rsid w:val="00013955"/>
    <w:rsid w:val="00013C9F"/>
    <w:rsid w:val="00013E04"/>
    <w:rsid w:val="00013E71"/>
    <w:rsid w:val="00014135"/>
    <w:rsid w:val="00014243"/>
    <w:rsid w:val="0001436B"/>
    <w:rsid w:val="00014716"/>
    <w:rsid w:val="00014941"/>
    <w:rsid w:val="00014B74"/>
    <w:rsid w:val="000151E9"/>
    <w:rsid w:val="00015596"/>
    <w:rsid w:val="0001584F"/>
    <w:rsid w:val="00015AEF"/>
    <w:rsid w:val="00015EE0"/>
    <w:rsid w:val="00015F6F"/>
    <w:rsid w:val="000162F6"/>
    <w:rsid w:val="00016327"/>
    <w:rsid w:val="00016641"/>
    <w:rsid w:val="00016776"/>
    <w:rsid w:val="0001700A"/>
    <w:rsid w:val="00017279"/>
    <w:rsid w:val="0001755B"/>
    <w:rsid w:val="0001793F"/>
    <w:rsid w:val="00017D95"/>
    <w:rsid w:val="00020466"/>
    <w:rsid w:val="00020C67"/>
    <w:rsid w:val="00020F14"/>
    <w:rsid w:val="00021298"/>
    <w:rsid w:val="00021540"/>
    <w:rsid w:val="0002179A"/>
    <w:rsid w:val="00022990"/>
    <w:rsid w:val="00022C10"/>
    <w:rsid w:val="00022D86"/>
    <w:rsid w:val="000233A6"/>
    <w:rsid w:val="0002383E"/>
    <w:rsid w:val="00023BDE"/>
    <w:rsid w:val="00023D73"/>
    <w:rsid w:val="00024269"/>
    <w:rsid w:val="000243C1"/>
    <w:rsid w:val="0002455F"/>
    <w:rsid w:val="000245E1"/>
    <w:rsid w:val="000246DA"/>
    <w:rsid w:val="000249DC"/>
    <w:rsid w:val="00024B08"/>
    <w:rsid w:val="00024C41"/>
    <w:rsid w:val="00024E5A"/>
    <w:rsid w:val="00024FC7"/>
    <w:rsid w:val="00025297"/>
    <w:rsid w:val="000257D0"/>
    <w:rsid w:val="00025848"/>
    <w:rsid w:val="00025B83"/>
    <w:rsid w:val="00025C6B"/>
    <w:rsid w:val="00025E8C"/>
    <w:rsid w:val="00026167"/>
    <w:rsid w:val="0002623E"/>
    <w:rsid w:val="00026310"/>
    <w:rsid w:val="00026391"/>
    <w:rsid w:val="000263E8"/>
    <w:rsid w:val="000269E1"/>
    <w:rsid w:val="00026CE8"/>
    <w:rsid w:val="00026D4C"/>
    <w:rsid w:val="00027488"/>
    <w:rsid w:val="00027A02"/>
    <w:rsid w:val="00027C60"/>
    <w:rsid w:val="00030166"/>
    <w:rsid w:val="000306CC"/>
    <w:rsid w:val="000308AA"/>
    <w:rsid w:val="00030947"/>
    <w:rsid w:val="00030AD1"/>
    <w:rsid w:val="00031B62"/>
    <w:rsid w:val="00031CA3"/>
    <w:rsid w:val="00031F2D"/>
    <w:rsid w:val="000320CC"/>
    <w:rsid w:val="00032100"/>
    <w:rsid w:val="0003226B"/>
    <w:rsid w:val="000323B2"/>
    <w:rsid w:val="0003242E"/>
    <w:rsid w:val="000324A5"/>
    <w:rsid w:val="00032594"/>
    <w:rsid w:val="0003271B"/>
    <w:rsid w:val="00032B75"/>
    <w:rsid w:val="00032D69"/>
    <w:rsid w:val="00033019"/>
    <w:rsid w:val="00033164"/>
    <w:rsid w:val="00033316"/>
    <w:rsid w:val="000334FB"/>
    <w:rsid w:val="0003355C"/>
    <w:rsid w:val="000338F0"/>
    <w:rsid w:val="000339C7"/>
    <w:rsid w:val="00033ACD"/>
    <w:rsid w:val="00033B7C"/>
    <w:rsid w:val="0003402B"/>
    <w:rsid w:val="000341F1"/>
    <w:rsid w:val="000342F2"/>
    <w:rsid w:val="00034346"/>
    <w:rsid w:val="000343CE"/>
    <w:rsid w:val="000346CB"/>
    <w:rsid w:val="000348A3"/>
    <w:rsid w:val="00034D7D"/>
    <w:rsid w:val="000355B9"/>
    <w:rsid w:val="00035661"/>
    <w:rsid w:val="0003584D"/>
    <w:rsid w:val="00035EBA"/>
    <w:rsid w:val="000360BA"/>
    <w:rsid w:val="00036B97"/>
    <w:rsid w:val="00036DF5"/>
    <w:rsid w:val="0003738C"/>
    <w:rsid w:val="00037435"/>
    <w:rsid w:val="00037E4B"/>
    <w:rsid w:val="00040B07"/>
    <w:rsid w:val="00040B25"/>
    <w:rsid w:val="00040FE2"/>
    <w:rsid w:val="00041196"/>
    <w:rsid w:val="000413BF"/>
    <w:rsid w:val="00041429"/>
    <w:rsid w:val="00041520"/>
    <w:rsid w:val="00041766"/>
    <w:rsid w:val="000417F2"/>
    <w:rsid w:val="00041CAB"/>
    <w:rsid w:val="00042578"/>
    <w:rsid w:val="00042A96"/>
    <w:rsid w:val="0004311B"/>
    <w:rsid w:val="0004316C"/>
    <w:rsid w:val="00043343"/>
    <w:rsid w:val="00043410"/>
    <w:rsid w:val="0004353F"/>
    <w:rsid w:val="00043620"/>
    <w:rsid w:val="00044A03"/>
    <w:rsid w:val="00044A8C"/>
    <w:rsid w:val="00045266"/>
    <w:rsid w:val="00045485"/>
    <w:rsid w:val="00045658"/>
    <w:rsid w:val="00045847"/>
    <w:rsid w:val="000467FA"/>
    <w:rsid w:val="000469EA"/>
    <w:rsid w:val="00046A06"/>
    <w:rsid w:val="00046B0C"/>
    <w:rsid w:val="000473E6"/>
    <w:rsid w:val="0004781B"/>
    <w:rsid w:val="00047D11"/>
    <w:rsid w:val="000505AE"/>
    <w:rsid w:val="000509B8"/>
    <w:rsid w:val="00050A88"/>
    <w:rsid w:val="00050E3D"/>
    <w:rsid w:val="000511E4"/>
    <w:rsid w:val="00051981"/>
    <w:rsid w:val="00051B43"/>
    <w:rsid w:val="00051D6F"/>
    <w:rsid w:val="00051DBD"/>
    <w:rsid w:val="00051EA9"/>
    <w:rsid w:val="00052712"/>
    <w:rsid w:val="000527DC"/>
    <w:rsid w:val="00053056"/>
    <w:rsid w:val="00053147"/>
    <w:rsid w:val="000531A6"/>
    <w:rsid w:val="00053358"/>
    <w:rsid w:val="00053446"/>
    <w:rsid w:val="000536C3"/>
    <w:rsid w:val="00053A0C"/>
    <w:rsid w:val="00053D83"/>
    <w:rsid w:val="00053E24"/>
    <w:rsid w:val="00053FCB"/>
    <w:rsid w:val="0005459F"/>
    <w:rsid w:val="00054796"/>
    <w:rsid w:val="00054828"/>
    <w:rsid w:val="00054852"/>
    <w:rsid w:val="00054D22"/>
    <w:rsid w:val="00054DC7"/>
    <w:rsid w:val="000550F6"/>
    <w:rsid w:val="00055332"/>
    <w:rsid w:val="000554D6"/>
    <w:rsid w:val="00055A70"/>
    <w:rsid w:val="00055BDA"/>
    <w:rsid w:val="00055D1D"/>
    <w:rsid w:val="00055D6B"/>
    <w:rsid w:val="0005657F"/>
    <w:rsid w:val="000566C0"/>
    <w:rsid w:val="00056CE4"/>
    <w:rsid w:val="0005710F"/>
    <w:rsid w:val="000572F6"/>
    <w:rsid w:val="000573C7"/>
    <w:rsid w:val="000578BE"/>
    <w:rsid w:val="00057F15"/>
    <w:rsid w:val="00057FD3"/>
    <w:rsid w:val="00060138"/>
    <w:rsid w:val="000604DB"/>
    <w:rsid w:val="000609E6"/>
    <w:rsid w:val="00060B08"/>
    <w:rsid w:val="00060FB4"/>
    <w:rsid w:val="00061003"/>
    <w:rsid w:val="00061088"/>
    <w:rsid w:val="0006167E"/>
    <w:rsid w:val="0006171E"/>
    <w:rsid w:val="0006172E"/>
    <w:rsid w:val="000617B1"/>
    <w:rsid w:val="000617F1"/>
    <w:rsid w:val="00061855"/>
    <w:rsid w:val="00061A53"/>
    <w:rsid w:val="00061BF3"/>
    <w:rsid w:val="000625AA"/>
    <w:rsid w:val="000627E9"/>
    <w:rsid w:val="00062D30"/>
    <w:rsid w:val="00062E0F"/>
    <w:rsid w:val="00062E5D"/>
    <w:rsid w:val="000636B0"/>
    <w:rsid w:val="000639CF"/>
    <w:rsid w:val="00063E69"/>
    <w:rsid w:val="00064554"/>
    <w:rsid w:val="000647EE"/>
    <w:rsid w:val="000648EF"/>
    <w:rsid w:val="00065220"/>
    <w:rsid w:val="000654B8"/>
    <w:rsid w:val="000655A3"/>
    <w:rsid w:val="00065AF4"/>
    <w:rsid w:val="00065F8F"/>
    <w:rsid w:val="000660F0"/>
    <w:rsid w:val="000660FF"/>
    <w:rsid w:val="0006613C"/>
    <w:rsid w:val="000662D9"/>
    <w:rsid w:val="000662E5"/>
    <w:rsid w:val="00066352"/>
    <w:rsid w:val="00066453"/>
    <w:rsid w:val="000664AA"/>
    <w:rsid w:val="00066558"/>
    <w:rsid w:val="0006661B"/>
    <w:rsid w:val="000666BD"/>
    <w:rsid w:val="00066787"/>
    <w:rsid w:val="000667D5"/>
    <w:rsid w:val="00066849"/>
    <w:rsid w:val="000668BF"/>
    <w:rsid w:val="000669A7"/>
    <w:rsid w:val="00066AEF"/>
    <w:rsid w:val="00066C22"/>
    <w:rsid w:val="000673A8"/>
    <w:rsid w:val="00067814"/>
    <w:rsid w:val="00070280"/>
    <w:rsid w:val="000707EB"/>
    <w:rsid w:val="0007089B"/>
    <w:rsid w:val="00070B07"/>
    <w:rsid w:val="00070D3E"/>
    <w:rsid w:val="00070DCC"/>
    <w:rsid w:val="0007141D"/>
    <w:rsid w:val="00071735"/>
    <w:rsid w:val="00071794"/>
    <w:rsid w:val="0007273D"/>
    <w:rsid w:val="00072902"/>
    <w:rsid w:val="00072A0F"/>
    <w:rsid w:val="00072C7F"/>
    <w:rsid w:val="00072F33"/>
    <w:rsid w:val="000733C4"/>
    <w:rsid w:val="00073B00"/>
    <w:rsid w:val="00074028"/>
    <w:rsid w:val="00074132"/>
    <w:rsid w:val="00074EE8"/>
    <w:rsid w:val="00074FF8"/>
    <w:rsid w:val="000753A8"/>
    <w:rsid w:val="00075784"/>
    <w:rsid w:val="0007593C"/>
    <w:rsid w:val="0007599C"/>
    <w:rsid w:val="00075A11"/>
    <w:rsid w:val="00075CAF"/>
    <w:rsid w:val="00075D57"/>
    <w:rsid w:val="000761ED"/>
    <w:rsid w:val="000762EC"/>
    <w:rsid w:val="000762EF"/>
    <w:rsid w:val="00076459"/>
    <w:rsid w:val="00076A11"/>
    <w:rsid w:val="00076A7D"/>
    <w:rsid w:val="00076D75"/>
    <w:rsid w:val="00076F02"/>
    <w:rsid w:val="00076FB8"/>
    <w:rsid w:val="00076FCA"/>
    <w:rsid w:val="00077343"/>
    <w:rsid w:val="0007753A"/>
    <w:rsid w:val="00077953"/>
    <w:rsid w:val="00077C68"/>
    <w:rsid w:val="00077DB0"/>
    <w:rsid w:val="00077E3B"/>
    <w:rsid w:val="0008012E"/>
    <w:rsid w:val="00080229"/>
    <w:rsid w:val="000805B5"/>
    <w:rsid w:val="000806E4"/>
    <w:rsid w:val="000808F2"/>
    <w:rsid w:val="00080902"/>
    <w:rsid w:val="00080953"/>
    <w:rsid w:val="00080AA8"/>
    <w:rsid w:val="00080FC4"/>
    <w:rsid w:val="0008145A"/>
    <w:rsid w:val="0008166D"/>
    <w:rsid w:val="000816CC"/>
    <w:rsid w:val="0008171D"/>
    <w:rsid w:val="00081743"/>
    <w:rsid w:val="0008184F"/>
    <w:rsid w:val="00081B25"/>
    <w:rsid w:val="00081CC0"/>
    <w:rsid w:val="000820E1"/>
    <w:rsid w:val="000827AD"/>
    <w:rsid w:val="00082C4E"/>
    <w:rsid w:val="00082D34"/>
    <w:rsid w:val="00082F75"/>
    <w:rsid w:val="00082FBF"/>
    <w:rsid w:val="0008355C"/>
    <w:rsid w:val="000837C1"/>
    <w:rsid w:val="0008393B"/>
    <w:rsid w:val="00083A6F"/>
    <w:rsid w:val="00084D31"/>
    <w:rsid w:val="000850CA"/>
    <w:rsid w:val="00085290"/>
    <w:rsid w:val="00085498"/>
    <w:rsid w:val="00085853"/>
    <w:rsid w:val="00085BFD"/>
    <w:rsid w:val="00085C33"/>
    <w:rsid w:val="00086219"/>
    <w:rsid w:val="000866F6"/>
    <w:rsid w:val="00086705"/>
    <w:rsid w:val="00086FD8"/>
    <w:rsid w:val="000872AC"/>
    <w:rsid w:val="0008735F"/>
    <w:rsid w:val="000873DA"/>
    <w:rsid w:val="00087B2A"/>
    <w:rsid w:val="00087DFD"/>
    <w:rsid w:val="00087FDE"/>
    <w:rsid w:val="0009008A"/>
    <w:rsid w:val="00090194"/>
    <w:rsid w:val="00090434"/>
    <w:rsid w:val="0009062D"/>
    <w:rsid w:val="0009064F"/>
    <w:rsid w:val="000906A7"/>
    <w:rsid w:val="0009084E"/>
    <w:rsid w:val="00090D22"/>
    <w:rsid w:val="00090F2D"/>
    <w:rsid w:val="00091399"/>
    <w:rsid w:val="0009142F"/>
    <w:rsid w:val="00091700"/>
    <w:rsid w:val="0009211C"/>
    <w:rsid w:val="0009237A"/>
    <w:rsid w:val="000923B7"/>
    <w:rsid w:val="0009256F"/>
    <w:rsid w:val="00092646"/>
    <w:rsid w:val="00092C51"/>
    <w:rsid w:val="000930EA"/>
    <w:rsid w:val="00093162"/>
    <w:rsid w:val="000932F4"/>
    <w:rsid w:val="00093300"/>
    <w:rsid w:val="00093A67"/>
    <w:rsid w:val="00093B85"/>
    <w:rsid w:val="00093CEE"/>
    <w:rsid w:val="000941C1"/>
    <w:rsid w:val="0009479A"/>
    <w:rsid w:val="00094B11"/>
    <w:rsid w:val="00094B59"/>
    <w:rsid w:val="00094FCC"/>
    <w:rsid w:val="00095223"/>
    <w:rsid w:val="000955F0"/>
    <w:rsid w:val="00095653"/>
    <w:rsid w:val="00095CAC"/>
    <w:rsid w:val="00096089"/>
    <w:rsid w:val="000961CF"/>
    <w:rsid w:val="00096408"/>
    <w:rsid w:val="000964CE"/>
    <w:rsid w:val="0009659F"/>
    <w:rsid w:val="00096611"/>
    <w:rsid w:val="00096ACE"/>
    <w:rsid w:val="00096B83"/>
    <w:rsid w:val="00096C2F"/>
    <w:rsid w:val="00096D59"/>
    <w:rsid w:val="00097376"/>
    <w:rsid w:val="000979B9"/>
    <w:rsid w:val="000979DD"/>
    <w:rsid w:val="00097A8B"/>
    <w:rsid w:val="00097BA0"/>
    <w:rsid w:val="00097E8C"/>
    <w:rsid w:val="000A01E2"/>
    <w:rsid w:val="000A0263"/>
    <w:rsid w:val="000A0BB5"/>
    <w:rsid w:val="000A0E39"/>
    <w:rsid w:val="000A1401"/>
    <w:rsid w:val="000A14E3"/>
    <w:rsid w:val="000A16B4"/>
    <w:rsid w:val="000A19BF"/>
    <w:rsid w:val="000A1FC9"/>
    <w:rsid w:val="000A210E"/>
    <w:rsid w:val="000A21C4"/>
    <w:rsid w:val="000A2510"/>
    <w:rsid w:val="000A2923"/>
    <w:rsid w:val="000A2A7C"/>
    <w:rsid w:val="000A2F21"/>
    <w:rsid w:val="000A2F43"/>
    <w:rsid w:val="000A30F8"/>
    <w:rsid w:val="000A3668"/>
    <w:rsid w:val="000A37DF"/>
    <w:rsid w:val="000A3A85"/>
    <w:rsid w:val="000A3DFD"/>
    <w:rsid w:val="000A3EE6"/>
    <w:rsid w:val="000A3FBD"/>
    <w:rsid w:val="000A4013"/>
    <w:rsid w:val="000A41C8"/>
    <w:rsid w:val="000A4299"/>
    <w:rsid w:val="000A4444"/>
    <w:rsid w:val="000A4539"/>
    <w:rsid w:val="000A4BB4"/>
    <w:rsid w:val="000A4DB3"/>
    <w:rsid w:val="000A4DF0"/>
    <w:rsid w:val="000A4FBF"/>
    <w:rsid w:val="000A52BE"/>
    <w:rsid w:val="000A5524"/>
    <w:rsid w:val="000A5779"/>
    <w:rsid w:val="000A57BD"/>
    <w:rsid w:val="000A5948"/>
    <w:rsid w:val="000A5E98"/>
    <w:rsid w:val="000A6005"/>
    <w:rsid w:val="000A6045"/>
    <w:rsid w:val="000A6294"/>
    <w:rsid w:val="000A63C6"/>
    <w:rsid w:val="000A6526"/>
    <w:rsid w:val="000A67D3"/>
    <w:rsid w:val="000A6B39"/>
    <w:rsid w:val="000A7433"/>
    <w:rsid w:val="000A7625"/>
    <w:rsid w:val="000A7848"/>
    <w:rsid w:val="000A7938"/>
    <w:rsid w:val="000A7FEC"/>
    <w:rsid w:val="000B0F0F"/>
    <w:rsid w:val="000B0FEF"/>
    <w:rsid w:val="000B162A"/>
    <w:rsid w:val="000B19F7"/>
    <w:rsid w:val="000B1BE4"/>
    <w:rsid w:val="000B1F9D"/>
    <w:rsid w:val="000B22A7"/>
    <w:rsid w:val="000B23F1"/>
    <w:rsid w:val="000B2743"/>
    <w:rsid w:val="000B298B"/>
    <w:rsid w:val="000B2AB1"/>
    <w:rsid w:val="000B2BBB"/>
    <w:rsid w:val="000B2F3C"/>
    <w:rsid w:val="000B3404"/>
    <w:rsid w:val="000B38B7"/>
    <w:rsid w:val="000B38D2"/>
    <w:rsid w:val="000B3CC9"/>
    <w:rsid w:val="000B3DF2"/>
    <w:rsid w:val="000B4095"/>
    <w:rsid w:val="000B4141"/>
    <w:rsid w:val="000B44A9"/>
    <w:rsid w:val="000B4547"/>
    <w:rsid w:val="000B5407"/>
    <w:rsid w:val="000B552C"/>
    <w:rsid w:val="000B5621"/>
    <w:rsid w:val="000B5761"/>
    <w:rsid w:val="000B5832"/>
    <w:rsid w:val="000B5906"/>
    <w:rsid w:val="000B5F8C"/>
    <w:rsid w:val="000B5FAC"/>
    <w:rsid w:val="000B605D"/>
    <w:rsid w:val="000B6404"/>
    <w:rsid w:val="000B64B5"/>
    <w:rsid w:val="000B6960"/>
    <w:rsid w:val="000B6F32"/>
    <w:rsid w:val="000B70F0"/>
    <w:rsid w:val="000B7495"/>
    <w:rsid w:val="000B7508"/>
    <w:rsid w:val="000B7BE7"/>
    <w:rsid w:val="000B7C70"/>
    <w:rsid w:val="000B7C83"/>
    <w:rsid w:val="000B7CB9"/>
    <w:rsid w:val="000B7F17"/>
    <w:rsid w:val="000C015C"/>
    <w:rsid w:val="000C02F7"/>
    <w:rsid w:val="000C04AC"/>
    <w:rsid w:val="000C0693"/>
    <w:rsid w:val="000C124D"/>
    <w:rsid w:val="000C1866"/>
    <w:rsid w:val="000C1ABB"/>
    <w:rsid w:val="000C1EE5"/>
    <w:rsid w:val="000C1F2E"/>
    <w:rsid w:val="000C20C4"/>
    <w:rsid w:val="000C21DC"/>
    <w:rsid w:val="000C2888"/>
    <w:rsid w:val="000C294D"/>
    <w:rsid w:val="000C2F9A"/>
    <w:rsid w:val="000C30BC"/>
    <w:rsid w:val="000C3294"/>
    <w:rsid w:val="000C3311"/>
    <w:rsid w:val="000C3345"/>
    <w:rsid w:val="000C3493"/>
    <w:rsid w:val="000C3522"/>
    <w:rsid w:val="000C37E0"/>
    <w:rsid w:val="000C390A"/>
    <w:rsid w:val="000C3B41"/>
    <w:rsid w:val="000C3F67"/>
    <w:rsid w:val="000C3FD4"/>
    <w:rsid w:val="000C46F1"/>
    <w:rsid w:val="000C48ED"/>
    <w:rsid w:val="000C4B71"/>
    <w:rsid w:val="000C4BB6"/>
    <w:rsid w:val="000C4D7F"/>
    <w:rsid w:val="000C4DE4"/>
    <w:rsid w:val="000C4E85"/>
    <w:rsid w:val="000C5264"/>
    <w:rsid w:val="000C5858"/>
    <w:rsid w:val="000C58AF"/>
    <w:rsid w:val="000C5AB1"/>
    <w:rsid w:val="000C5F29"/>
    <w:rsid w:val="000C61C5"/>
    <w:rsid w:val="000C676D"/>
    <w:rsid w:val="000C6C71"/>
    <w:rsid w:val="000C7443"/>
    <w:rsid w:val="000C7638"/>
    <w:rsid w:val="000C7A4A"/>
    <w:rsid w:val="000C7C15"/>
    <w:rsid w:val="000D00B3"/>
    <w:rsid w:val="000D0145"/>
    <w:rsid w:val="000D07A5"/>
    <w:rsid w:val="000D0D50"/>
    <w:rsid w:val="000D0EC5"/>
    <w:rsid w:val="000D0ED1"/>
    <w:rsid w:val="000D120D"/>
    <w:rsid w:val="000D1593"/>
    <w:rsid w:val="000D15C4"/>
    <w:rsid w:val="000D191D"/>
    <w:rsid w:val="000D19CA"/>
    <w:rsid w:val="000D1B02"/>
    <w:rsid w:val="000D1D67"/>
    <w:rsid w:val="000D1DFF"/>
    <w:rsid w:val="000D1FE1"/>
    <w:rsid w:val="000D214C"/>
    <w:rsid w:val="000D2324"/>
    <w:rsid w:val="000D233C"/>
    <w:rsid w:val="000D2458"/>
    <w:rsid w:val="000D2786"/>
    <w:rsid w:val="000D27C8"/>
    <w:rsid w:val="000D2CDB"/>
    <w:rsid w:val="000D2E3F"/>
    <w:rsid w:val="000D3002"/>
    <w:rsid w:val="000D3C42"/>
    <w:rsid w:val="000D406B"/>
    <w:rsid w:val="000D50F3"/>
    <w:rsid w:val="000D529C"/>
    <w:rsid w:val="000D551D"/>
    <w:rsid w:val="000D5A99"/>
    <w:rsid w:val="000D5AD2"/>
    <w:rsid w:val="000D61AD"/>
    <w:rsid w:val="000D63C9"/>
    <w:rsid w:val="000D681C"/>
    <w:rsid w:val="000D6C37"/>
    <w:rsid w:val="000D6D91"/>
    <w:rsid w:val="000D7319"/>
    <w:rsid w:val="000D74C8"/>
    <w:rsid w:val="000D758D"/>
    <w:rsid w:val="000D75CA"/>
    <w:rsid w:val="000D7EA3"/>
    <w:rsid w:val="000E001C"/>
    <w:rsid w:val="000E0758"/>
    <w:rsid w:val="000E07BA"/>
    <w:rsid w:val="000E0A68"/>
    <w:rsid w:val="000E0F77"/>
    <w:rsid w:val="000E1251"/>
    <w:rsid w:val="000E13F5"/>
    <w:rsid w:val="000E16F4"/>
    <w:rsid w:val="000E1A17"/>
    <w:rsid w:val="000E1F0E"/>
    <w:rsid w:val="000E1F1E"/>
    <w:rsid w:val="000E20C6"/>
    <w:rsid w:val="000E28F8"/>
    <w:rsid w:val="000E2BB5"/>
    <w:rsid w:val="000E2CF7"/>
    <w:rsid w:val="000E2FF6"/>
    <w:rsid w:val="000E3393"/>
    <w:rsid w:val="000E363B"/>
    <w:rsid w:val="000E3E97"/>
    <w:rsid w:val="000E4445"/>
    <w:rsid w:val="000E4670"/>
    <w:rsid w:val="000E46CA"/>
    <w:rsid w:val="000E4B3E"/>
    <w:rsid w:val="000E4BE9"/>
    <w:rsid w:val="000E4DB4"/>
    <w:rsid w:val="000E4E73"/>
    <w:rsid w:val="000E4F84"/>
    <w:rsid w:val="000E506F"/>
    <w:rsid w:val="000E51D3"/>
    <w:rsid w:val="000E51D9"/>
    <w:rsid w:val="000E5445"/>
    <w:rsid w:val="000E578F"/>
    <w:rsid w:val="000E57AE"/>
    <w:rsid w:val="000E5947"/>
    <w:rsid w:val="000E5A90"/>
    <w:rsid w:val="000E5B58"/>
    <w:rsid w:val="000E5CD8"/>
    <w:rsid w:val="000E5E7E"/>
    <w:rsid w:val="000E6236"/>
    <w:rsid w:val="000E6346"/>
    <w:rsid w:val="000E6351"/>
    <w:rsid w:val="000E6547"/>
    <w:rsid w:val="000E657A"/>
    <w:rsid w:val="000E6736"/>
    <w:rsid w:val="000E68CE"/>
    <w:rsid w:val="000E6F03"/>
    <w:rsid w:val="000E6F3B"/>
    <w:rsid w:val="000E6F49"/>
    <w:rsid w:val="000E7157"/>
    <w:rsid w:val="000E7174"/>
    <w:rsid w:val="000E71A9"/>
    <w:rsid w:val="000E757C"/>
    <w:rsid w:val="000E786C"/>
    <w:rsid w:val="000E7902"/>
    <w:rsid w:val="000F02EC"/>
    <w:rsid w:val="000F0681"/>
    <w:rsid w:val="000F0BDC"/>
    <w:rsid w:val="000F17B6"/>
    <w:rsid w:val="000F1AB0"/>
    <w:rsid w:val="000F1D96"/>
    <w:rsid w:val="000F1FFA"/>
    <w:rsid w:val="000F271C"/>
    <w:rsid w:val="000F3281"/>
    <w:rsid w:val="000F345E"/>
    <w:rsid w:val="000F34B9"/>
    <w:rsid w:val="000F34D3"/>
    <w:rsid w:val="000F3975"/>
    <w:rsid w:val="000F3A41"/>
    <w:rsid w:val="000F3DCB"/>
    <w:rsid w:val="000F3DDA"/>
    <w:rsid w:val="000F3E54"/>
    <w:rsid w:val="000F4880"/>
    <w:rsid w:val="000F4AD0"/>
    <w:rsid w:val="000F52C3"/>
    <w:rsid w:val="000F5752"/>
    <w:rsid w:val="000F57F5"/>
    <w:rsid w:val="000F5853"/>
    <w:rsid w:val="000F5D03"/>
    <w:rsid w:val="000F5DDA"/>
    <w:rsid w:val="000F600D"/>
    <w:rsid w:val="000F604F"/>
    <w:rsid w:val="000F612E"/>
    <w:rsid w:val="000F690E"/>
    <w:rsid w:val="000F6915"/>
    <w:rsid w:val="000F6DFF"/>
    <w:rsid w:val="000F6E1A"/>
    <w:rsid w:val="000F6E8B"/>
    <w:rsid w:val="000F703A"/>
    <w:rsid w:val="000F70C3"/>
    <w:rsid w:val="000F7119"/>
    <w:rsid w:val="000F75F6"/>
    <w:rsid w:val="000F774C"/>
    <w:rsid w:val="000F7AD0"/>
    <w:rsid w:val="000F7DCA"/>
    <w:rsid w:val="00100179"/>
    <w:rsid w:val="001005C3"/>
    <w:rsid w:val="001006D0"/>
    <w:rsid w:val="0010084B"/>
    <w:rsid w:val="00100B22"/>
    <w:rsid w:val="00100E6E"/>
    <w:rsid w:val="0010103E"/>
    <w:rsid w:val="0010114E"/>
    <w:rsid w:val="00101414"/>
    <w:rsid w:val="001015D7"/>
    <w:rsid w:val="0010179B"/>
    <w:rsid w:val="00101CA3"/>
    <w:rsid w:val="00101DA3"/>
    <w:rsid w:val="00102031"/>
    <w:rsid w:val="001020B8"/>
    <w:rsid w:val="001023CD"/>
    <w:rsid w:val="001029DA"/>
    <w:rsid w:val="00102AFE"/>
    <w:rsid w:val="00102C44"/>
    <w:rsid w:val="00102C83"/>
    <w:rsid w:val="00102F9F"/>
    <w:rsid w:val="00103038"/>
    <w:rsid w:val="00103308"/>
    <w:rsid w:val="00103886"/>
    <w:rsid w:val="00103B33"/>
    <w:rsid w:val="00103E37"/>
    <w:rsid w:val="001041BB"/>
    <w:rsid w:val="0010458A"/>
    <w:rsid w:val="001045A5"/>
    <w:rsid w:val="001045C5"/>
    <w:rsid w:val="0010497A"/>
    <w:rsid w:val="00104A41"/>
    <w:rsid w:val="00104C2F"/>
    <w:rsid w:val="001051BE"/>
    <w:rsid w:val="0010530C"/>
    <w:rsid w:val="001059A7"/>
    <w:rsid w:val="00105A7D"/>
    <w:rsid w:val="00105C9B"/>
    <w:rsid w:val="001060B8"/>
    <w:rsid w:val="001064B8"/>
    <w:rsid w:val="00106FA1"/>
    <w:rsid w:val="001070A9"/>
    <w:rsid w:val="001078A3"/>
    <w:rsid w:val="00107996"/>
    <w:rsid w:val="00107C14"/>
    <w:rsid w:val="00107C91"/>
    <w:rsid w:val="00107D5F"/>
    <w:rsid w:val="00107EE4"/>
    <w:rsid w:val="001104C3"/>
    <w:rsid w:val="0011068A"/>
    <w:rsid w:val="001106D7"/>
    <w:rsid w:val="001113C7"/>
    <w:rsid w:val="00111E6C"/>
    <w:rsid w:val="001123F8"/>
    <w:rsid w:val="0011241F"/>
    <w:rsid w:val="00112559"/>
    <w:rsid w:val="001127BD"/>
    <w:rsid w:val="00112D17"/>
    <w:rsid w:val="00112E5F"/>
    <w:rsid w:val="00113635"/>
    <w:rsid w:val="00113764"/>
    <w:rsid w:val="00113C31"/>
    <w:rsid w:val="00113D96"/>
    <w:rsid w:val="00113F3A"/>
    <w:rsid w:val="00113F79"/>
    <w:rsid w:val="001140EB"/>
    <w:rsid w:val="001141C3"/>
    <w:rsid w:val="0011497F"/>
    <w:rsid w:val="001149F4"/>
    <w:rsid w:val="00114A50"/>
    <w:rsid w:val="00114C29"/>
    <w:rsid w:val="00114C79"/>
    <w:rsid w:val="00114F02"/>
    <w:rsid w:val="00114F96"/>
    <w:rsid w:val="00114F9E"/>
    <w:rsid w:val="001154D5"/>
    <w:rsid w:val="00115646"/>
    <w:rsid w:val="0011565A"/>
    <w:rsid w:val="001159A7"/>
    <w:rsid w:val="00115F65"/>
    <w:rsid w:val="001162C1"/>
    <w:rsid w:val="00116505"/>
    <w:rsid w:val="00116D56"/>
    <w:rsid w:val="00116FCC"/>
    <w:rsid w:val="00117786"/>
    <w:rsid w:val="001177B6"/>
    <w:rsid w:val="00117E3F"/>
    <w:rsid w:val="00117E6D"/>
    <w:rsid w:val="0012032E"/>
    <w:rsid w:val="00120387"/>
    <w:rsid w:val="001207A9"/>
    <w:rsid w:val="001208CF"/>
    <w:rsid w:val="00120C01"/>
    <w:rsid w:val="00120DB8"/>
    <w:rsid w:val="00121132"/>
    <w:rsid w:val="001221AC"/>
    <w:rsid w:val="00122279"/>
    <w:rsid w:val="001224F9"/>
    <w:rsid w:val="001226A4"/>
    <w:rsid w:val="00122D1F"/>
    <w:rsid w:val="00122E90"/>
    <w:rsid w:val="001231CF"/>
    <w:rsid w:val="001233CC"/>
    <w:rsid w:val="001234D6"/>
    <w:rsid w:val="00123918"/>
    <w:rsid w:val="00123A4B"/>
    <w:rsid w:val="00123BB3"/>
    <w:rsid w:val="00123D31"/>
    <w:rsid w:val="00123DF1"/>
    <w:rsid w:val="00123DFF"/>
    <w:rsid w:val="001241D4"/>
    <w:rsid w:val="00124566"/>
    <w:rsid w:val="00124995"/>
    <w:rsid w:val="00124C0E"/>
    <w:rsid w:val="00124EEA"/>
    <w:rsid w:val="00124F9C"/>
    <w:rsid w:val="001252B5"/>
    <w:rsid w:val="00125469"/>
    <w:rsid w:val="001255D1"/>
    <w:rsid w:val="0012628C"/>
    <w:rsid w:val="0012652C"/>
    <w:rsid w:val="001265D3"/>
    <w:rsid w:val="001268C7"/>
    <w:rsid w:val="001269AB"/>
    <w:rsid w:val="00126AC3"/>
    <w:rsid w:val="00126B47"/>
    <w:rsid w:val="00126E9B"/>
    <w:rsid w:val="00127480"/>
    <w:rsid w:val="001277C3"/>
    <w:rsid w:val="001278F0"/>
    <w:rsid w:val="00127BF2"/>
    <w:rsid w:val="00127D5D"/>
    <w:rsid w:val="00130502"/>
    <w:rsid w:val="001306EB"/>
    <w:rsid w:val="00130846"/>
    <w:rsid w:val="001314D9"/>
    <w:rsid w:val="001314EB"/>
    <w:rsid w:val="001317F0"/>
    <w:rsid w:val="001319A0"/>
    <w:rsid w:val="00131BE6"/>
    <w:rsid w:val="00131CCD"/>
    <w:rsid w:val="00132268"/>
    <w:rsid w:val="001324A5"/>
    <w:rsid w:val="001326F4"/>
    <w:rsid w:val="001327DC"/>
    <w:rsid w:val="001329B0"/>
    <w:rsid w:val="001329C3"/>
    <w:rsid w:val="00132C6A"/>
    <w:rsid w:val="00132CC5"/>
    <w:rsid w:val="00132DEC"/>
    <w:rsid w:val="00132DEF"/>
    <w:rsid w:val="00132F77"/>
    <w:rsid w:val="001333ED"/>
    <w:rsid w:val="00133AD2"/>
    <w:rsid w:val="00133AF6"/>
    <w:rsid w:val="00133EDE"/>
    <w:rsid w:val="00133EFF"/>
    <w:rsid w:val="0013404D"/>
    <w:rsid w:val="00134168"/>
    <w:rsid w:val="001341F8"/>
    <w:rsid w:val="001342F1"/>
    <w:rsid w:val="00134382"/>
    <w:rsid w:val="0013446E"/>
    <w:rsid w:val="001344FA"/>
    <w:rsid w:val="0013471B"/>
    <w:rsid w:val="00134A8E"/>
    <w:rsid w:val="00134AC7"/>
    <w:rsid w:val="00134CA6"/>
    <w:rsid w:val="00134ECE"/>
    <w:rsid w:val="00135007"/>
    <w:rsid w:val="00135380"/>
    <w:rsid w:val="001354AC"/>
    <w:rsid w:val="00135DA1"/>
    <w:rsid w:val="00135E51"/>
    <w:rsid w:val="00135FDA"/>
    <w:rsid w:val="00136410"/>
    <w:rsid w:val="0013658E"/>
    <w:rsid w:val="0013664E"/>
    <w:rsid w:val="00136699"/>
    <w:rsid w:val="00136879"/>
    <w:rsid w:val="00136ECF"/>
    <w:rsid w:val="00136F88"/>
    <w:rsid w:val="001373FD"/>
    <w:rsid w:val="001375B1"/>
    <w:rsid w:val="001376AA"/>
    <w:rsid w:val="00137B07"/>
    <w:rsid w:val="00137E64"/>
    <w:rsid w:val="0014051E"/>
    <w:rsid w:val="00141133"/>
    <w:rsid w:val="00141665"/>
    <w:rsid w:val="00141CFE"/>
    <w:rsid w:val="001424F9"/>
    <w:rsid w:val="001428B2"/>
    <w:rsid w:val="00142C8D"/>
    <w:rsid w:val="00143927"/>
    <w:rsid w:val="00143B40"/>
    <w:rsid w:val="001445A0"/>
    <w:rsid w:val="00144748"/>
    <w:rsid w:val="001448B4"/>
    <w:rsid w:val="00144C04"/>
    <w:rsid w:val="00144CB8"/>
    <w:rsid w:val="00145070"/>
    <w:rsid w:val="001450DA"/>
    <w:rsid w:val="00145156"/>
    <w:rsid w:val="001458A8"/>
    <w:rsid w:val="00145AC3"/>
    <w:rsid w:val="00145BE7"/>
    <w:rsid w:val="00145C4D"/>
    <w:rsid w:val="00145D85"/>
    <w:rsid w:val="001460CD"/>
    <w:rsid w:val="00146ADF"/>
    <w:rsid w:val="00146E4B"/>
    <w:rsid w:val="0014785B"/>
    <w:rsid w:val="00147AFF"/>
    <w:rsid w:val="00147D10"/>
    <w:rsid w:val="00147D8D"/>
    <w:rsid w:val="0015002F"/>
    <w:rsid w:val="001500B4"/>
    <w:rsid w:val="00150200"/>
    <w:rsid w:val="001503FD"/>
    <w:rsid w:val="001505B6"/>
    <w:rsid w:val="00150868"/>
    <w:rsid w:val="001509E0"/>
    <w:rsid w:val="00151588"/>
    <w:rsid w:val="00151607"/>
    <w:rsid w:val="001517E7"/>
    <w:rsid w:val="001518E2"/>
    <w:rsid w:val="00151962"/>
    <w:rsid w:val="00151980"/>
    <w:rsid w:val="00151C13"/>
    <w:rsid w:val="001522BC"/>
    <w:rsid w:val="001523A2"/>
    <w:rsid w:val="001528A2"/>
    <w:rsid w:val="00152BD4"/>
    <w:rsid w:val="00152BE7"/>
    <w:rsid w:val="00152C08"/>
    <w:rsid w:val="00152C51"/>
    <w:rsid w:val="00152CCA"/>
    <w:rsid w:val="00152CE7"/>
    <w:rsid w:val="00152E71"/>
    <w:rsid w:val="00153013"/>
    <w:rsid w:val="001531AF"/>
    <w:rsid w:val="00153482"/>
    <w:rsid w:val="001535C4"/>
    <w:rsid w:val="001536CA"/>
    <w:rsid w:val="00153AE7"/>
    <w:rsid w:val="00153EE1"/>
    <w:rsid w:val="00153FE1"/>
    <w:rsid w:val="0015405E"/>
    <w:rsid w:val="001540FF"/>
    <w:rsid w:val="0015411B"/>
    <w:rsid w:val="00154A4A"/>
    <w:rsid w:val="00154A7D"/>
    <w:rsid w:val="001552F8"/>
    <w:rsid w:val="001554AE"/>
    <w:rsid w:val="001559A3"/>
    <w:rsid w:val="00155DFF"/>
    <w:rsid w:val="0015617F"/>
    <w:rsid w:val="0015620D"/>
    <w:rsid w:val="001562A4"/>
    <w:rsid w:val="00156650"/>
    <w:rsid w:val="001567DA"/>
    <w:rsid w:val="00156824"/>
    <w:rsid w:val="0015682B"/>
    <w:rsid w:val="00156AE3"/>
    <w:rsid w:val="00156F3B"/>
    <w:rsid w:val="0015701C"/>
    <w:rsid w:val="00157178"/>
    <w:rsid w:val="001573F2"/>
    <w:rsid w:val="00157889"/>
    <w:rsid w:val="001578CC"/>
    <w:rsid w:val="00157A9D"/>
    <w:rsid w:val="00157A9F"/>
    <w:rsid w:val="00157AEA"/>
    <w:rsid w:val="0016044B"/>
    <w:rsid w:val="0016049C"/>
    <w:rsid w:val="00160ADD"/>
    <w:rsid w:val="00160BFA"/>
    <w:rsid w:val="0016123D"/>
    <w:rsid w:val="001616FD"/>
    <w:rsid w:val="0016184E"/>
    <w:rsid w:val="00161C5A"/>
    <w:rsid w:val="0016226F"/>
    <w:rsid w:val="0016231E"/>
    <w:rsid w:val="00162634"/>
    <w:rsid w:val="001626F2"/>
    <w:rsid w:val="0016342F"/>
    <w:rsid w:val="00163673"/>
    <w:rsid w:val="001636B9"/>
    <w:rsid w:val="00163BC2"/>
    <w:rsid w:val="00163C93"/>
    <w:rsid w:val="001640DF"/>
    <w:rsid w:val="00164364"/>
    <w:rsid w:val="00164710"/>
    <w:rsid w:val="001648A9"/>
    <w:rsid w:val="00164A62"/>
    <w:rsid w:val="00164BCE"/>
    <w:rsid w:val="00164D53"/>
    <w:rsid w:val="00164EE9"/>
    <w:rsid w:val="0016516B"/>
    <w:rsid w:val="001652E9"/>
    <w:rsid w:val="0016534E"/>
    <w:rsid w:val="001653FB"/>
    <w:rsid w:val="0016554F"/>
    <w:rsid w:val="00165A08"/>
    <w:rsid w:val="00165A0C"/>
    <w:rsid w:val="00166460"/>
    <w:rsid w:val="00166A71"/>
    <w:rsid w:val="00166B70"/>
    <w:rsid w:val="00166CA3"/>
    <w:rsid w:val="00167027"/>
    <w:rsid w:val="0016703D"/>
    <w:rsid w:val="001703E6"/>
    <w:rsid w:val="001703FB"/>
    <w:rsid w:val="00170858"/>
    <w:rsid w:val="001710FF"/>
    <w:rsid w:val="00172249"/>
    <w:rsid w:val="001722E0"/>
    <w:rsid w:val="00172677"/>
    <w:rsid w:val="00172C65"/>
    <w:rsid w:val="001731FE"/>
    <w:rsid w:val="001733B8"/>
    <w:rsid w:val="00173793"/>
    <w:rsid w:val="0017380E"/>
    <w:rsid w:val="00173A24"/>
    <w:rsid w:val="00173D86"/>
    <w:rsid w:val="0017419B"/>
    <w:rsid w:val="001742B7"/>
    <w:rsid w:val="0017457B"/>
    <w:rsid w:val="001745C0"/>
    <w:rsid w:val="0017495C"/>
    <w:rsid w:val="00174B26"/>
    <w:rsid w:val="00174B2D"/>
    <w:rsid w:val="00174DEA"/>
    <w:rsid w:val="00174E14"/>
    <w:rsid w:val="00174F31"/>
    <w:rsid w:val="001750A0"/>
    <w:rsid w:val="0017513D"/>
    <w:rsid w:val="001754AF"/>
    <w:rsid w:val="00175666"/>
    <w:rsid w:val="001756A3"/>
    <w:rsid w:val="001756FF"/>
    <w:rsid w:val="001761A0"/>
    <w:rsid w:val="00176508"/>
    <w:rsid w:val="001768CB"/>
    <w:rsid w:val="001768E5"/>
    <w:rsid w:val="00176F3A"/>
    <w:rsid w:val="0017709E"/>
    <w:rsid w:val="001777C5"/>
    <w:rsid w:val="0017783D"/>
    <w:rsid w:val="001779AC"/>
    <w:rsid w:val="00177B89"/>
    <w:rsid w:val="00177C49"/>
    <w:rsid w:val="00177E20"/>
    <w:rsid w:val="0017F3DD"/>
    <w:rsid w:val="001801DD"/>
    <w:rsid w:val="001801E4"/>
    <w:rsid w:val="001804F0"/>
    <w:rsid w:val="001809B5"/>
    <w:rsid w:val="00180E79"/>
    <w:rsid w:val="001810C7"/>
    <w:rsid w:val="001810DB"/>
    <w:rsid w:val="00181756"/>
    <w:rsid w:val="0018179B"/>
    <w:rsid w:val="001818CB"/>
    <w:rsid w:val="00181A41"/>
    <w:rsid w:val="00181C90"/>
    <w:rsid w:val="00181DFB"/>
    <w:rsid w:val="00181F57"/>
    <w:rsid w:val="00182010"/>
    <w:rsid w:val="0018249E"/>
    <w:rsid w:val="00182B15"/>
    <w:rsid w:val="00182B23"/>
    <w:rsid w:val="00182C5A"/>
    <w:rsid w:val="00182DA9"/>
    <w:rsid w:val="00183129"/>
    <w:rsid w:val="00183303"/>
    <w:rsid w:val="00183476"/>
    <w:rsid w:val="00183AF4"/>
    <w:rsid w:val="00183E02"/>
    <w:rsid w:val="00183E0C"/>
    <w:rsid w:val="00184193"/>
    <w:rsid w:val="00184757"/>
    <w:rsid w:val="001852B8"/>
    <w:rsid w:val="001854B5"/>
    <w:rsid w:val="00185588"/>
    <w:rsid w:val="001857C2"/>
    <w:rsid w:val="001859A9"/>
    <w:rsid w:val="00185BBA"/>
    <w:rsid w:val="00185D22"/>
    <w:rsid w:val="00185F29"/>
    <w:rsid w:val="00186318"/>
    <w:rsid w:val="00186392"/>
    <w:rsid w:val="001863B5"/>
    <w:rsid w:val="001866D5"/>
    <w:rsid w:val="0018698F"/>
    <w:rsid w:val="00186D40"/>
    <w:rsid w:val="00187150"/>
    <w:rsid w:val="00187292"/>
    <w:rsid w:val="00187E52"/>
    <w:rsid w:val="001900AC"/>
    <w:rsid w:val="001906C0"/>
    <w:rsid w:val="00190898"/>
    <w:rsid w:val="00190CA7"/>
    <w:rsid w:val="001917A6"/>
    <w:rsid w:val="00191F0A"/>
    <w:rsid w:val="0019245C"/>
    <w:rsid w:val="00192845"/>
    <w:rsid w:val="00192913"/>
    <w:rsid w:val="00193080"/>
    <w:rsid w:val="0019308E"/>
    <w:rsid w:val="001930D9"/>
    <w:rsid w:val="001933BE"/>
    <w:rsid w:val="001936F0"/>
    <w:rsid w:val="00194299"/>
    <w:rsid w:val="001942FB"/>
    <w:rsid w:val="001943C4"/>
    <w:rsid w:val="001943FC"/>
    <w:rsid w:val="001947AD"/>
    <w:rsid w:val="00194B79"/>
    <w:rsid w:val="00194BC9"/>
    <w:rsid w:val="00194F3F"/>
    <w:rsid w:val="00195118"/>
    <w:rsid w:val="001955C8"/>
    <w:rsid w:val="00195D54"/>
    <w:rsid w:val="00195EE7"/>
    <w:rsid w:val="001961B6"/>
    <w:rsid w:val="001962EA"/>
    <w:rsid w:val="00196397"/>
    <w:rsid w:val="001968F1"/>
    <w:rsid w:val="001969FC"/>
    <w:rsid w:val="00196A9E"/>
    <w:rsid w:val="00196BD3"/>
    <w:rsid w:val="00196D70"/>
    <w:rsid w:val="00196DCD"/>
    <w:rsid w:val="0019710E"/>
    <w:rsid w:val="00197302"/>
    <w:rsid w:val="00197346"/>
    <w:rsid w:val="0019738D"/>
    <w:rsid w:val="00197A0C"/>
    <w:rsid w:val="001A077F"/>
    <w:rsid w:val="001A0D6C"/>
    <w:rsid w:val="001A1048"/>
    <w:rsid w:val="001A18BA"/>
    <w:rsid w:val="001A18C1"/>
    <w:rsid w:val="001A1954"/>
    <w:rsid w:val="001A1DC8"/>
    <w:rsid w:val="001A1FDF"/>
    <w:rsid w:val="001A228F"/>
    <w:rsid w:val="001A24B6"/>
    <w:rsid w:val="001A2948"/>
    <w:rsid w:val="001A3996"/>
    <w:rsid w:val="001A3A63"/>
    <w:rsid w:val="001A3C4D"/>
    <w:rsid w:val="001A3ED4"/>
    <w:rsid w:val="001A3FF8"/>
    <w:rsid w:val="001A40FA"/>
    <w:rsid w:val="001A423B"/>
    <w:rsid w:val="001A43B8"/>
    <w:rsid w:val="001A4495"/>
    <w:rsid w:val="001A472B"/>
    <w:rsid w:val="001A4BDE"/>
    <w:rsid w:val="001A51AB"/>
    <w:rsid w:val="001A5D2D"/>
    <w:rsid w:val="001A5D69"/>
    <w:rsid w:val="001A5DF0"/>
    <w:rsid w:val="001A5E95"/>
    <w:rsid w:val="001A605E"/>
    <w:rsid w:val="001A61B7"/>
    <w:rsid w:val="001A6842"/>
    <w:rsid w:val="001A69FA"/>
    <w:rsid w:val="001A6BBE"/>
    <w:rsid w:val="001A7108"/>
    <w:rsid w:val="001A710F"/>
    <w:rsid w:val="001A7174"/>
    <w:rsid w:val="001A7745"/>
    <w:rsid w:val="001A7BE0"/>
    <w:rsid w:val="001A7E27"/>
    <w:rsid w:val="001B0081"/>
    <w:rsid w:val="001B0358"/>
    <w:rsid w:val="001B043A"/>
    <w:rsid w:val="001B0576"/>
    <w:rsid w:val="001B071E"/>
    <w:rsid w:val="001B07EF"/>
    <w:rsid w:val="001B0B41"/>
    <w:rsid w:val="001B0B8B"/>
    <w:rsid w:val="001B0BCF"/>
    <w:rsid w:val="001B122F"/>
    <w:rsid w:val="001B13AC"/>
    <w:rsid w:val="001B1758"/>
    <w:rsid w:val="001B1777"/>
    <w:rsid w:val="001B1926"/>
    <w:rsid w:val="001B1D30"/>
    <w:rsid w:val="001B1DBD"/>
    <w:rsid w:val="001B1E87"/>
    <w:rsid w:val="001B1ED3"/>
    <w:rsid w:val="001B1FD5"/>
    <w:rsid w:val="001B242C"/>
    <w:rsid w:val="001B2613"/>
    <w:rsid w:val="001B2670"/>
    <w:rsid w:val="001B2771"/>
    <w:rsid w:val="001B2AEA"/>
    <w:rsid w:val="001B2BB5"/>
    <w:rsid w:val="001B3551"/>
    <w:rsid w:val="001B35C0"/>
    <w:rsid w:val="001B3651"/>
    <w:rsid w:val="001B3F3B"/>
    <w:rsid w:val="001B47FE"/>
    <w:rsid w:val="001B48E3"/>
    <w:rsid w:val="001B48EC"/>
    <w:rsid w:val="001B4A29"/>
    <w:rsid w:val="001B50A2"/>
    <w:rsid w:val="001B552E"/>
    <w:rsid w:val="001B55DE"/>
    <w:rsid w:val="001B59C9"/>
    <w:rsid w:val="001B5A36"/>
    <w:rsid w:val="001B5B00"/>
    <w:rsid w:val="001B5B4C"/>
    <w:rsid w:val="001B5BBA"/>
    <w:rsid w:val="001B5BE8"/>
    <w:rsid w:val="001B61E7"/>
    <w:rsid w:val="001B6958"/>
    <w:rsid w:val="001B6CFE"/>
    <w:rsid w:val="001B6D8F"/>
    <w:rsid w:val="001B74D4"/>
    <w:rsid w:val="001B7617"/>
    <w:rsid w:val="001B7C42"/>
    <w:rsid w:val="001C0012"/>
    <w:rsid w:val="001C01C1"/>
    <w:rsid w:val="001C03BE"/>
    <w:rsid w:val="001C0484"/>
    <w:rsid w:val="001C0DA3"/>
    <w:rsid w:val="001C0DCD"/>
    <w:rsid w:val="001C0E4D"/>
    <w:rsid w:val="001C128C"/>
    <w:rsid w:val="001C1979"/>
    <w:rsid w:val="001C1B92"/>
    <w:rsid w:val="001C2189"/>
    <w:rsid w:val="001C22D7"/>
    <w:rsid w:val="001C266D"/>
    <w:rsid w:val="001C26F7"/>
    <w:rsid w:val="001C27B2"/>
    <w:rsid w:val="001C2EB0"/>
    <w:rsid w:val="001C30B1"/>
    <w:rsid w:val="001C3124"/>
    <w:rsid w:val="001C3303"/>
    <w:rsid w:val="001C33BC"/>
    <w:rsid w:val="001C3E22"/>
    <w:rsid w:val="001C4341"/>
    <w:rsid w:val="001C4DB2"/>
    <w:rsid w:val="001C4F8D"/>
    <w:rsid w:val="001C51B8"/>
    <w:rsid w:val="001C5327"/>
    <w:rsid w:val="001C557B"/>
    <w:rsid w:val="001C55CB"/>
    <w:rsid w:val="001C5608"/>
    <w:rsid w:val="001C5625"/>
    <w:rsid w:val="001C5F1F"/>
    <w:rsid w:val="001C6268"/>
    <w:rsid w:val="001C66A3"/>
    <w:rsid w:val="001C67D0"/>
    <w:rsid w:val="001C6D1F"/>
    <w:rsid w:val="001C71A1"/>
    <w:rsid w:val="001C7296"/>
    <w:rsid w:val="001C72C6"/>
    <w:rsid w:val="001C7579"/>
    <w:rsid w:val="001C7CFF"/>
    <w:rsid w:val="001C7DA7"/>
    <w:rsid w:val="001C7E54"/>
    <w:rsid w:val="001D04CF"/>
    <w:rsid w:val="001D0A51"/>
    <w:rsid w:val="001D0ADD"/>
    <w:rsid w:val="001D0B2F"/>
    <w:rsid w:val="001D0EFB"/>
    <w:rsid w:val="001D172B"/>
    <w:rsid w:val="001D19AE"/>
    <w:rsid w:val="001D1BEF"/>
    <w:rsid w:val="001D1C83"/>
    <w:rsid w:val="001D1CC3"/>
    <w:rsid w:val="001D1F8D"/>
    <w:rsid w:val="001D2173"/>
    <w:rsid w:val="001D235C"/>
    <w:rsid w:val="001D241F"/>
    <w:rsid w:val="001D2969"/>
    <w:rsid w:val="001D2A1D"/>
    <w:rsid w:val="001D2C2F"/>
    <w:rsid w:val="001D2CF9"/>
    <w:rsid w:val="001D30F7"/>
    <w:rsid w:val="001D3338"/>
    <w:rsid w:val="001D348D"/>
    <w:rsid w:val="001D394B"/>
    <w:rsid w:val="001D39EB"/>
    <w:rsid w:val="001D3CB2"/>
    <w:rsid w:val="001D3F49"/>
    <w:rsid w:val="001D4067"/>
    <w:rsid w:val="001D4205"/>
    <w:rsid w:val="001D448E"/>
    <w:rsid w:val="001D46F0"/>
    <w:rsid w:val="001D4790"/>
    <w:rsid w:val="001D4836"/>
    <w:rsid w:val="001D49E9"/>
    <w:rsid w:val="001D4BE9"/>
    <w:rsid w:val="001D4CA6"/>
    <w:rsid w:val="001D5006"/>
    <w:rsid w:val="001D535E"/>
    <w:rsid w:val="001D56E0"/>
    <w:rsid w:val="001D57BA"/>
    <w:rsid w:val="001D589B"/>
    <w:rsid w:val="001D5BD9"/>
    <w:rsid w:val="001D5E4C"/>
    <w:rsid w:val="001D61B7"/>
    <w:rsid w:val="001D621D"/>
    <w:rsid w:val="001D6273"/>
    <w:rsid w:val="001D65D7"/>
    <w:rsid w:val="001D6AF9"/>
    <w:rsid w:val="001D6E30"/>
    <w:rsid w:val="001D6F27"/>
    <w:rsid w:val="001D7074"/>
    <w:rsid w:val="001D7216"/>
    <w:rsid w:val="001D730B"/>
    <w:rsid w:val="001D791C"/>
    <w:rsid w:val="001D79DB"/>
    <w:rsid w:val="001D7BCF"/>
    <w:rsid w:val="001E00F8"/>
    <w:rsid w:val="001E05F1"/>
    <w:rsid w:val="001E06EC"/>
    <w:rsid w:val="001E077C"/>
    <w:rsid w:val="001E09B5"/>
    <w:rsid w:val="001E0B55"/>
    <w:rsid w:val="001E0D1D"/>
    <w:rsid w:val="001E0E25"/>
    <w:rsid w:val="001E0EB4"/>
    <w:rsid w:val="001E0EFB"/>
    <w:rsid w:val="001E0FF3"/>
    <w:rsid w:val="001E1094"/>
    <w:rsid w:val="001E11B0"/>
    <w:rsid w:val="001E1610"/>
    <w:rsid w:val="001E1668"/>
    <w:rsid w:val="001E1B34"/>
    <w:rsid w:val="001E1C2D"/>
    <w:rsid w:val="001E1DF4"/>
    <w:rsid w:val="001E29EE"/>
    <w:rsid w:val="001E2DA0"/>
    <w:rsid w:val="001E2DD0"/>
    <w:rsid w:val="001E2FD0"/>
    <w:rsid w:val="001E323C"/>
    <w:rsid w:val="001E3435"/>
    <w:rsid w:val="001E3520"/>
    <w:rsid w:val="001E37A8"/>
    <w:rsid w:val="001E3A81"/>
    <w:rsid w:val="001E3B4F"/>
    <w:rsid w:val="001E3D69"/>
    <w:rsid w:val="001E411D"/>
    <w:rsid w:val="001E44FC"/>
    <w:rsid w:val="001E4692"/>
    <w:rsid w:val="001E476E"/>
    <w:rsid w:val="001E4B50"/>
    <w:rsid w:val="001E4B63"/>
    <w:rsid w:val="001E4D56"/>
    <w:rsid w:val="001E4ED5"/>
    <w:rsid w:val="001E4F33"/>
    <w:rsid w:val="001E5AE9"/>
    <w:rsid w:val="001E6009"/>
    <w:rsid w:val="001E6247"/>
    <w:rsid w:val="001E6351"/>
    <w:rsid w:val="001E6432"/>
    <w:rsid w:val="001E653B"/>
    <w:rsid w:val="001E6CDB"/>
    <w:rsid w:val="001E724A"/>
    <w:rsid w:val="001E728B"/>
    <w:rsid w:val="001E78E7"/>
    <w:rsid w:val="001F01E2"/>
    <w:rsid w:val="001F024C"/>
    <w:rsid w:val="001F0415"/>
    <w:rsid w:val="001F0442"/>
    <w:rsid w:val="001F070F"/>
    <w:rsid w:val="001F084C"/>
    <w:rsid w:val="001F08AB"/>
    <w:rsid w:val="001F090F"/>
    <w:rsid w:val="001F098D"/>
    <w:rsid w:val="001F0F3B"/>
    <w:rsid w:val="001F10E4"/>
    <w:rsid w:val="001F1170"/>
    <w:rsid w:val="001F11BD"/>
    <w:rsid w:val="001F15E5"/>
    <w:rsid w:val="001F2BDA"/>
    <w:rsid w:val="001F3D44"/>
    <w:rsid w:val="001F4062"/>
    <w:rsid w:val="001F4633"/>
    <w:rsid w:val="001F46BD"/>
    <w:rsid w:val="001F4BBB"/>
    <w:rsid w:val="001F4E73"/>
    <w:rsid w:val="001F53EC"/>
    <w:rsid w:val="001F5923"/>
    <w:rsid w:val="001F5D4A"/>
    <w:rsid w:val="001F5E62"/>
    <w:rsid w:val="001F5FE7"/>
    <w:rsid w:val="001F622C"/>
    <w:rsid w:val="001F670D"/>
    <w:rsid w:val="001F680F"/>
    <w:rsid w:val="001F6818"/>
    <w:rsid w:val="001F6A76"/>
    <w:rsid w:val="001F6E66"/>
    <w:rsid w:val="001F76C5"/>
    <w:rsid w:val="001F78BC"/>
    <w:rsid w:val="001F7C50"/>
    <w:rsid w:val="001F7CCF"/>
    <w:rsid w:val="001F7D50"/>
    <w:rsid w:val="00200351"/>
    <w:rsid w:val="0020058A"/>
    <w:rsid w:val="002006FB"/>
    <w:rsid w:val="0020080E"/>
    <w:rsid w:val="00200B19"/>
    <w:rsid w:val="00200B45"/>
    <w:rsid w:val="00201274"/>
    <w:rsid w:val="0020127D"/>
    <w:rsid w:val="00202533"/>
    <w:rsid w:val="00202660"/>
    <w:rsid w:val="00203867"/>
    <w:rsid w:val="00203A1A"/>
    <w:rsid w:val="00203D9C"/>
    <w:rsid w:val="00203F28"/>
    <w:rsid w:val="00204499"/>
    <w:rsid w:val="00204BDD"/>
    <w:rsid w:val="00204C66"/>
    <w:rsid w:val="002050F9"/>
    <w:rsid w:val="002053D2"/>
    <w:rsid w:val="0020553D"/>
    <w:rsid w:val="00205B45"/>
    <w:rsid w:val="00205E96"/>
    <w:rsid w:val="0020660C"/>
    <w:rsid w:val="00206BAE"/>
    <w:rsid w:val="00206FB2"/>
    <w:rsid w:val="002076B9"/>
    <w:rsid w:val="00207889"/>
    <w:rsid w:val="00207AF3"/>
    <w:rsid w:val="00207C19"/>
    <w:rsid w:val="0021011A"/>
    <w:rsid w:val="002109F3"/>
    <w:rsid w:val="00210BA3"/>
    <w:rsid w:val="00210C46"/>
    <w:rsid w:val="00210D7F"/>
    <w:rsid w:val="00210F8B"/>
    <w:rsid w:val="0021127C"/>
    <w:rsid w:val="0021138B"/>
    <w:rsid w:val="00211A39"/>
    <w:rsid w:val="00211F3F"/>
    <w:rsid w:val="0021215C"/>
    <w:rsid w:val="002124E5"/>
    <w:rsid w:val="002126E8"/>
    <w:rsid w:val="00212702"/>
    <w:rsid w:val="00212D6A"/>
    <w:rsid w:val="00213104"/>
    <w:rsid w:val="0021310B"/>
    <w:rsid w:val="00213433"/>
    <w:rsid w:val="0021349A"/>
    <w:rsid w:val="002135B1"/>
    <w:rsid w:val="00213C82"/>
    <w:rsid w:val="00213EB4"/>
    <w:rsid w:val="00214058"/>
    <w:rsid w:val="002141E3"/>
    <w:rsid w:val="002144C4"/>
    <w:rsid w:val="00214677"/>
    <w:rsid w:val="00214B92"/>
    <w:rsid w:val="00214C9C"/>
    <w:rsid w:val="00214D33"/>
    <w:rsid w:val="0021515B"/>
    <w:rsid w:val="002157ED"/>
    <w:rsid w:val="00215FA7"/>
    <w:rsid w:val="002161C6"/>
    <w:rsid w:val="00216270"/>
    <w:rsid w:val="00216969"/>
    <w:rsid w:val="00216A57"/>
    <w:rsid w:val="00216DB5"/>
    <w:rsid w:val="00217101"/>
    <w:rsid w:val="002172FA"/>
    <w:rsid w:val="002177BB"/>
    <w:rsid w:val="00217834"/>
    <w:rsid w:val="00217C4D"/>
    <w:rsid w:val="00217D13"/>
    <w:rsid w:val="00217D97"/>
    <w:rsid w:val="00217EF1"/>
    <w:rsid w:val="00220597"/>
    <w:rsid w:val="00220D0F"/>
    <w:rsid w:val="00220D90"/>
    <w:rsid w:val="00220DE4"/>
    <w:rsid w:val="002212B9"/>
    <w:rsid w:val="00221573"/>
    <w:rsid w:val="0022196E"/>
    <w:rsid w:val="00221E2B"/>
    <w:rsid w:val="00221E32"/>
    <w:rsid w:val="00221E96"/>
    <w:rsid w:val="00222344"/>
    <w:rsid w:val="0022278B"/>
    <w:rsid w:val="00222963"/>
    <w:rsid w:val="002229C3"/>
    <w:rsid w:val="002229DE"/>
    <w:rsid w:val="00222C22"/>
    <w:rsid w:val="00222D1B"/>
    <w:rsid w:val="00222D9B"/>
    <w:rsid w:val="00222EE6"/>
    <w:rsid w:val="00223160"/>
    <w:rsid w:val="00223553"/>
    <w:rsid w:val="002239CC"/>
    <w:rsid w:val="00223B50"/>
    <w:rsid w:val="00223DC6"/>
    <w:rsid w:val="00223E81"/>
    <w:rsid w:val="002240EC"/>
    <w:rsid w:val="002245D3"/>
    <w:rsid w:val="002248C8"/>
    <w:rsid w:val="0022490B"/>
    <w:rsid w:val="0022494D"/>
    <w:rsid w:val="00224A8B"/>
    <w:rsid w:val="0022533F"/>
    <w:rsid w:val="0022539D"/>
    <w:rsid w:val="002253C4"/>
    <w:rsid w:val="00225B63"/>
    <w:rsid w:val="00225BFB"/>
    <w:rsid w:val="00225EF9"/>
    <w:rsid w:val="00226115"/>
    <w:rsid w:val="00226285"/>
    <w:rsid w:val="0022680B"/>
    <w:rsid w:val="002268FB"/>
    <w:rsid w:val="00226B54"/>
    <w:rsid w:val="00226C3D"/>
    <w:rsid w:val="00226D77"/>
    <w:rsid w:val="0022728F"/>
    <w:rsid w:val="0022759A"/>
    <w:rsid w:val="002276F7"/>
    <w:rsid w:val="00227E63"/>
    <w:rsid w:val="00227F34"/>
    <w:rsid w:val="00227FDB"/>
    <w:rsid w:val="0023004B"/>
    <w:rsid w:val="002301D6"/>
    <w:rsid w:val="002306D2"/>
    <w:rsid w:val="002308F7"/>
    <w:rsid w:val="00230BC5"/>
    <w:rsid w:val="00230CB7"/>
    <w:rsid w:val="00230E6E"/>
    <w:rsid w:val="00230F1C"/>
    <w:rsid w:val="002311E9"/>
    <w:rsid w:val="00231EBC"/>
    <w:rsid w:val="00232249"/>
    <w:rsid w:val="0023230D"/>
    <w:rsid w:val="00232696"/>
    <w:rsid w:val="00232779"/>
    <w:rsid w:val="00232E5E"/>
    <w:rsid w:val="00232F19"/>
    <w:rsid w:val="00233256"/>
    <w:rsid w:val="002339B7"/>
    <w:rsid w:val="00233C68"/>
    <w:rsid w:val="00233ECE"/>
    <w:rsid w:val="00233FB9"/>
    <w:rsid w:val="00234012"/>
    <w:rsid w:val="002343DB"/>
    <w:rsid w:val="002344BA"/>
    <w:rsid w:val="002345DC"/>
    <w:rsid w:val="0023465B"/>
    <w:rsid w:val="002346A6"/>
    <w:rsid w:val="00234C5B"/>
    <w:rsid w:val="00235051"/>
    <w:rsid w:val="002358BB"/>
    <w:rsid w:val="00235B6E"/>
    <w:rsid w:val="00235BDE"/>
    <w:rsid w:val="00236150"/>
    <w:rsid w:val="002364E2"/>
    <w:rsid w:val="002365D3"/>
    <w:rsid w:val="002368DA"/>
    <w:rsid w:val="00236BDA"/>
    <w:rsid w:val="00236C1E"/>
    <w:rsid w:val="00236C99"/>
    <w:rsid w:val="00236DA6"/>
    <w:rsid w:val="00236DAB"/>
    <w:rsid w:val="00236E6D"/>
    <w:rsid w:val="00236EDD"/>
    <w:rsid w:val="00236EF6"/>
    <w:rsid w:val="00236EFF"/>
    <w:rsid w:val="00236F3E"/>
    <w:rsid w:val="002372E9"/>
    <w:rsid w:val="0023741B"/>
    <w:rsid w:val="0023745E"/>
    <w:rsid w:val="002378CA"/>
    <w:rsid w:val="00237D49"/>
    <w:rsid w:val="00237DB7"/>
    <w:rsid w:val="00240245"/>
    <w:rsid w:val="00240384"/>
    <w:rsid w:val="002404B4"/>
    <w:rsid w:val="002405D9"/>
    <w:rsid w:val="00240647"/>
    <w:rsid w:val="00241405"/>
    <w:rsid w:val="002416C3"/>
    <w:rsid w:val="00241A23"/>
    <w:rsid w:val="00241B72"/>
    <w:rsid w:val="00241D43"/>
    <w:rsid w:val="00241F88"/>
    <w:rsid w:val="00242415"/>
    <w:rsid w:val="002427EC"/>
    <w:rsid w:val="00242853"/>
    <w:rsid w:val="00242904"/>
    <w:rsid w:val="00242A0B"/>
    <w:rsid w:val="00242AB7"/>
    <w:rsid w:val="00243531"/>
    <w:rsid w:val="00243655"/>
    <w:rsid w:val="002436EC"/>
    <w:rsid w:val="00243D14"/>
    <w:rsid w:val="00243E5C"/>
    <w:rsid w:val="002441AE"/>
    <w:rsid w:val="002444E2"/>
    <w:rsid w:val="002446BD"/>
    <w:rsid w:val="00245004"/>
    <w:rsid w:val="002452E5"/>
    <w:rsid w:val="002453F5"/>
    <w:rsid w:val="00245672"/>
    <w:rsid w:val="00245AA3"/>
    <w:rsid w:val="00245DD0"/>
    <w:rsid w:val="00245E63"/>
    <w:rsid w:val="00245FB2"/>
    <w:rsid w:val="0024608F"/>
    <w:rsid w:val="00246131"/>
    <w:rsid w:val="00246797"/>
    <w:rsid w:val="00246875"/>
    <w:rsid w:val="00246EE6"/>
    <w:rsid w:val="00246FC6"/>
    <w:rsid w:val="00247068"/>
    <w:rsid w:val="0024781C"/>
    <w:rsid w:val="00247A98"/>
    <w:rsid w:val="00247CED"/>
    <w:rsid w:val="00247E83"/>
    <w:rsid w:val="002502A5"/>
    <w:rsid w:val="002507A5"/>
    <w:rsid w:val="002508E9"/>
    <w:rsid w:val="00250DC1"/>
    <w:rsid w:val="00250E20"/>
    <w:rsid w:val="00251665"/>
    <w:rsid w:val="002517FB"/>
    <w:rsid w:val="00251A44"/>
    <w:rsid w:val="00251AEC"/>
    <w:rsid w:val="00251F96"/>
    <w:rsid w:val="00252473"/>
    <w:rsid w:val="00252627"/>
    <w:rsid w:val="002527FF"/>
    <w:rsid w:val="00252C72"/>
    <w:rsid w:val="00252C8A"/>
    <w:rsid w:val="00252D09"/>
    <w:rsid w:val="002536BB"/>
    <w:rsid w:val="00253954"/>
    <w:rsid w:val="002539A0"/>
    <w:rsid w:val="00253D26"/>
    <w:rsid w:val="00253E1C"/>
    <w:rsid w:val="00253F5F"/>
    <w:rsid w:val="00254277"/>
    <w:rsid w:val="002544A5"/>
    <w:rsid w:val="00254502"/>
    <w:rsid w:val="0025462E"/>
    <w:rsid w:val="00254B81"/>
    <w:rsid w:val="00255027"/>
    <w:rsid w:val="0025503D"/>
    <w:rsid w:val="00255264"/>
    <w:rsid w:val="0025547A"/>
    <w:rsid w:val="00255671"/>
    <w:rsid w:val="0025581C"/>
    <w:rsid w:val="00255B15"/>
    <w:rsid w:val="00255B92"/>
    <w:rsid w:val="00255DB0"/>
    <w:rsid w:val="00255F5E"/>
    <w:rsid w:val="002562DB"/>
    <w:rsid w:val="00256932"/>
    <w:rsid w:val="002569C6"/>
    <w:rsid w:val="00256A49"/>
    <w:rsid w:val="00256DC1"/>
    <w:rsid w:val="00256EDC"/>
    <w:rsid w:val="00256FA7"/>
    <w:rsid w:val="0025759D"/>
    <w:rsid w:val="00257653"/>
    <w:rsid w:val="00257C0B"/>
    <w:rsid w:val="00257C45"/>
    <w:rsid w:val="00257DDF"/>
    <w:rsid w:val="00257E99"/>
    <w:rsid w:val="00257FF1"/>
    <w:rsid w:val="002606DA"/>
    <w:rsid w:val="0026081A"/>
    <w:rsid w:val="00260836"/>
    <w:rsid w:val="00260A12"/>
    <w:rsid w:val="002610E6"/>
    <w:rsid w:val="00261128"/>
    <w:rsid w:val="00261265"/>
    <w:rsid w:val="0026143F"/>
    <w:rsid w:val="0026176E"/>
    <w:rsid w:val="0026184E"/>
    <w:rsid w:val="00261907"/>
    <w:rsid w:val="00261BD7"/>
    <w:rsid w:val="00261DC1"/>
    <w:rsid w:val="00261F17"/>
    <w:rsid w:val="00261FDB"/>
    <w:rsid w:val="002622FA"/>
    <w:rsid w:val="00262EC6"/>
    <w:rsid w:val="002634BB"/>
    <w:rsid w:val="002636D6"/>
    <w:rsid w:val="00264068"/>
    <w:rsid w:val="00264279"/>
    <w:rsid w:val="0026429F"/>
    <w:rsid w:val="002646AD"/>
    <w:rsid w:val="002646B0"/>
    <w:rsid w:val="002648CE"/>
    <w:rsid w:val="00264A0E"/>
    <w:rsid w:val="00264F97"/>
    <w:rsid w:val="00265134"/>
    <w:rsid w:val="002652F6"/>
    <w:rsid w:val="002665CB"/>
    <w:rsid w:val="00266D02"/>
    <w:rsid w:val="002671F4"/>
    <w:rsid w:val="00267CA6"/>
    <w:rsid w:val="00267F19"/>
    <w:rsid w:val="00270113"/>
    <w:rsid w:val="0027056A"/>
    <w:rsid w:val="00270661"/>
    <w:rsid w:val="00270791"/>
    <w:rsid w:val="0027126C"/>
    <w:rsid w:val="002713B7"/>
    <w:rsid w:val="00271608"/>
    <w:rsid w:val="00271991"/>
    <w:rsid w:val="00271D70"/>
    <w:rsid w:val="0027203B"/>
    <w:rsid w:val="00272195"/>
    <w:rsid w:val="002721EA"/>
    <w:rsid w:val="002722D0"/>
    <w:rsid w:val="002726A6"/>
    <w:rsid w:val="00272739"/>
    <w:rsid w:val="0027290F"/>
    <w:rsid w:val="00273237"/>
    <w:rsid w:val="00273721"/>
    <w:rsid w:val="00273A11"/>
    <w:rsid w:val="00273C64"/>
    <w:rsid w:val="002741C3"/>
    <w:rsid w:val="0027481F"/>
    <w:rsid w:val="002748F8"/>
    <w:rsid w:val="00274B66"/>
    <w:rsid w:val="00275106"/>
    <w:rsid w:val="00275323"/>
    <w:rsid w:val="00275598"/>
    <w:rsid w:val="0027567F"/>
    <w:rsid w:val="002756B1"/>
    <w:rsid w:val="00275A23"/>
    <w:rsid w:val="00275D73"/>
    <w:rsid w:val="00275D7B"/>
    <w:rsid w:val="00276016"/>
    <w:rsid w:val="002765AA"/>
    <w:rsid w:val="00276AB3"/>
    <w:rsid w:val="00276B79"/>
    <w:rsid w:val="00276D59"/>
    <w:rsid w:val="00276E13"/>
    <w:rsid w:val="00276F94"/>
    <w:rsid w:val="00277448"/>
    <w:rsid w:val="0027757F"/>
    <w:rsid w:val="002779D4"/>
    <w:rsid w:val="00277FA6"/>
    <w:rsid w:val="002801E4"/>
    <w:rsid w:val="002804D4"/>
    <w:rsid w:val="0028056F"/>
    <w:rsid w:val="0028084A"/>
    <w:rsid w:val="00280F6F"/>
    <w:rsid w:val="0028115B"/>
    <w:rsid w:val="00281179"/>
    <w:rsid w:val="002811AF"/>
    <w:rsid w:val="0028171C"/>
    <w:rsid w:val="00281885"/>
    <w:rsid w:val="00281B34"/>
    <w:rsid w:val="00281C96"/>
    <w:rsid w:val="00281F8C"/>
    <w:rsid w:val="002820AB"/>
    <w:rsid w:val="0028214B"/>
    <w:rsid w:val="002823D7"/>
    <w:rsid w:val="00282806"/>
    <w:rsid w:val="00282D7B"/>
    <w:rsid w:val="00282F43"/>
    <w:rsid w:val="00282FCF"/>
    <w:rsid w:val="002830CE"/>
    <w:rsid w:val="002835D2"/>
    <w:rsid w:val="00283E94"/>
    <w:rsid w:val="0028403E"/>
    <w:rsid w:val="00284100"/>
    <w:rsid w:val="002843CD"/>
    <w:rsid w:val="00284835"/>
    <w:rsid w:val="00284AF2"/>
    <w:rsid w:val="00284F79"/>
    <w:rsid w:val="002850CB"/>
    <w:rsid w:val="002850FD"/>
    <w:rsid w:val="0028514F"/>
    <w:rsid w:val="00285208"/>
    <w:rsid w:val="002853A6"/>
    <w:rsid w:val="002855CC"/>
    <w:rsid w:val="002861BE"/>
    <w:rsid w:val="00286287"/>
    <w:rsid w:val="002863F0"/>
    <w:rsid w:val="002864BD"/>
    <w:rsid w:val="00286500"/>
    <w:rsid w:val="002865CE"/>
    <w:rsid w:val="00286984"/>
    <w:rsid w:val="00286ABD"/>
    <w:rsid w:val="00286AED"/>
    <w:rsid w:val="00287409"/>
    <w:rsid w:val="002877DA"/>
    <w:rsid w:val="00287D43"/>
    <w:rsid w:val="002901C3"/>
    <w:rsid w:val="002901CD"/>
    <w:rsid w:val="00290672"/>
    <w:rsid w:val="00290799"/>
    <w:rsid w:val="0029091F"/>
    <w:rsid w:val="00290B98"/>
    <w:rsid w:val="00290C42"/>
    <w:rsid w:val="00290CA6"/>
    <w:rsid w:val="002910F9"/>
    <w:rsid w:val="00291392"/>
    <w:rsid w:val="00291448"/>
    <w:rsid w:val="00291574"/>
    <w:rsid w:val="0029191C"/>
    <w:rsid w:val="00291B8D"/>
    <w:rsid w:val="0029269D"/>
    <w:rsid w:val="002927C2"/>
    <w:rsid w:val="00292E3A"/>
    <w:rsid w:val="00293165"/>
    <w:rsid w:val="00293374"/>
    <w:rsid w:val="00293747"/>
    <w:rsid w:val="002939C9"/>
    <w:rsid w:val="00293F07"/>
    <w:rsid w:val="0029404D"/>
    <w:rsid w:val="00294569"/>
    <w:rsid w:val="002945BD"/>
    <w:rsid w:val="0029465C"/>
    <w:rsid w:val="00294980"/>
    <w:rsid w:val="00294B0E"/>
    <w:rsid w:val="00294BA5"/>
    <w:rsid w:val="00294FD5"/>
    <w:rsid w:val="002950F2"/>
    <w:rsid w:val="00295468"/>
    <w:rsid w:val="0029547F"/>
    <w:rsid w:val="00295623"/>
    <w:rsid w:val="00295923"/>
    <w:rsid w:val="00295995"/>
    <w:rsid w:val="002959F2"/>
    <w:rsid w:val="00295AF8"/>
    <w:rsid w:val="00295EC1"/>
    <w:rsid w:val="00295FDF"/>
    <w:rsid w:val="002967DF"/>
    <w:rsid w:val="0029698A"/>
    <w:rsid w:val="00296C8E"/>
    <w:rsid w:val="00296D11"/>
    <w:rsid w:val="00296D76"/>
    <w:rsid w:val="00296E3B"/>
    <w:rsid w:val="00296E6C"/>
    <w:rsid w:val="00297579"/>
    <w:rsid w:val="002978EA"/>
    <w:rsid w:val="00297A57"/>
    <w:rsid w:val="002A0877"/>
    <w:rsid w:val="002A0A34"/>
    <w:rsid w:val="002A0A46"/>
    <w:rsid w:val="002A0C66"/>
    <w:rsid w:val="002A0CD4"/>
    <w:rsid w:val="002A0EDD"/>
    <w:rsid w:val="002A16F4"/>
    <w:rsid w:val="002A1BE7"/>
    <w:rsid w:val="002A1E3A"/>
    <w:rsid w:val="002A2074"/>
    <w:rsid w:val="002A244C"/>
    <w:rsid w:val="002A2489"/>
    <w:rsid w:val="002A24B3"/>
    <w:rsid w:val="002A2861"/>
    <w:rsid w:val="002A2A24"/>
    <w:rsid w:val="002A2C2A"/>
    <w:rsid w:val="002A3591"/>
    <w:rsid w:val="002A36A9"/>
    <w:rsid w:val="002A460C"/>
    <w:rsid w:val="002A46E2"/>
    <w:rsid w:val="002A4C87"/>
    <w:rsid w:val="002A502F"/>
    <w:rsid w:val="002A5061"/>
    <w:rsid w:val="002A5106"/>
    <w:rsid w:val="002A53EE"/>
    <w:rsid w:val="002A548E"/>
    <w:rsid w:val="002A54B4"/>
    <w:rsid w:val="002A5507"/>
    <w:rsid w:val="002A5569"/>
    <w:rsid w:val="002A56A0"/>
    <w:rsid w:val="002A5739"/>
    <w:rsid w:val="002A57C1"/>
    <w:rsid w:val="002A58E7"/>
    <w:rsid w:val="002A5B0B"/>
    <w:rsid w:val="002A5DBE"/>
    <w:rsid w:val="002A5E25"/>
    <w:rsid w:val="002A6025"/>
    <w:rsid w:val="002A6267"/>
    <w:rsid w:val="002A637B"/>
    <w:rsid w:val="002A6492"/>
    <w:rsid w:val="002A66E4"/>
    <w:rsid w:val="002A6730"/>
    <w:rsid w:val="002A69FA"/>
    <w:rsid w:val="002A6C2A"/>
    <w:rsid w:val="002A6EBA"/>
    <w:rsid w:val="002A7885"/>
    <w:rsid w:val="002A7C2A"/>
    <w:rsid w:val="002A7C53"/>
    <w:rsid w:val="002B017B"/>
    <w:rsid w:val="002B07F4"/>
    <w:rsid w:val="002B0C09"/>
    <w:rsid w:val="002B0DEC"/>
    <w:rsid w:val="002B1014"/>
    <w:rsid w:val="002B137C"/>
    <w:rsid w:val="002B1803"/>
    <w:rsid w:val="002B1896"/>
    <w:rsid w:val="002B2E4D"/>
    <w:rsid w:val="002B31B0"/>
    <w:rsid w:val="002B3E07"/>
    <w:rsid w:val="002B3F35"/>
    <w:rsid w:val="002B448D"/>
    <w:rsid w:val="002B47BD"/>
    <w:rsid w:val="002B4B8E"/>
    <w:rsid w:val="002B4D67"/>
    <w:rsid w:val="002B4E8F"/>
    <w:rsid w:val="002B4EEB"/>
    <w:rsid w:val="002B50CC"/>
    <w:rsid w:val="002B5116"/>
    <w:rsid w:val="002B5BA2"/>
    <w:rsid w:val="002B5C62"/>
    <w:rsid w:val="002B5D1E"/>
    <w:rsid w:val="002B5F7F"/>
    <w:rsid w:val="002B640E"/>
    <w:rsid w:val="002B649C"/>
    <w:rsid w:val="002B671B"/>
    <w:rsid w:val="002B67EC"/>
    <w:rsid w:val="002B68F1"/>
    <w:rsid w:val="002B69BA"/>
    <w:rsid w:val="002B6C98"/>
    <w:rsid w:val="002B70DC"/>
    <w:rsid w:val="002B71E4"/>
    <w:rsid w:val="002B77DF"/>
    <w:rsid w:val="002B7B8E"/>
    <w:rsid w:val="002C0552"/>
    <w:rsid w:val="002C09A1"/>
    <w:rsid w:val="002C1049"/>
    <w:rsid w:val="002C12A1"/>
    <w:rsid w:val="002C154C"/>
    <w:rsid w:val="002C171C"/>
    <w:rsid w:val="002C2576"/>
    <w:rsid w:val="002C26F2"/>
    <w:rsid w:val="002C2C20"/>
    <w:rsid w:val="002C2C98"/>
    <w:rsid w:val="002C3015"/>
    <w:rsid w:val="002C3071"/>
    <w:rsid w:val="002C3134"/>
    <w:rsid w:val="002C3424"/>
    <w:rsid w:val="002C3518"/>
    <w:rsid w:val="002C3524"/>
    <w:rsid w:val="002C391A"/>
    <w:rsid w:val="002C3A5E"/>
    <w:rsid w:val="002C3AE0"/>
    <w:rsid w:val="002C3AE4"/>
    <w:rsid w:val="002C3AF8"/>
    <w:rsid w:val="002C3D92"/>
    <w:rsid w:val="002C3ED8"/>
    <w:rsid w:val="002C462E"/>
    <w:rsid w:val="002C472D"/>
    <w:rsid w:val="002C4987"/>
    <w:rsid w:val="002C49A1"/>
    <w:rsid w:val="002C4B79"/>
    <w:rsid w:val="002C4C61"/>
    <w:rsid w:val="002C54B1"/>
    <w:rsid w:val="002C5640"/>
    <w:rsid w:val="002C5691"/>
    <w:rsid w:val="002C5785"/>
    <w:rsid w:val="002C5D9B"/>
    <w:rsid w:val="002C5E20"/>
    <w:rsid w:val="002C641D"/>
    <w:rsid w:val="002C67AD"/>
    <w:rsid w:val="002C685F"/>
    <w:rsid w:val="002C69A3"/>
    <w:rsid w:val="002C69A4"/>
    <w:rsid w:val="002C6DD0"/>
    <w:rsid w:val="002C711E"/>
    <w:rsid w:val="002C717B"/>
    <w:rsid w:val="002C71C7"/>
    <w:rsid w:val="002C7263"/>
    <w:rsid w:val="002C72CC"/>
    <w:rsid w:val="002C738A"/>
    <w:rsid w:val="002C7585"/>
    <w:rsid w:val="002C7684"/>
    <w:rsid w:val="002C7D2B"/>
    <w:rsid w:val="002C7DB6"/>
    <w:rsid w:val="002C7DF1"/>
    <w:rsid w:val="002D0A3F"/>
    <w:rsid w:val="002D0BB3"/>
    <w:rsid w:val="002D0D77"/>
    <w:rsid w:val="002D157B"/>
    <w:rsid w:val="002D163E"/>
    <w:rsid w:val="002D1888"/>
    <w:rsid w:val="002D18B1"/>
    <w:rsid w:val="002D19F8"/>
    <w:rsid w:val="002D1B95"/>
    <w:rsid w:val="002D20E0"/>
    <w:rsid w:val="002D2111"/>
    <w:rsid w:val="002D213A"/>
    <w:rsid w:val="002D2290"/>
    <w:rsid w:val="002D2303"/>
    <w:rsid w:val="002D25CC"/>
    <w:rsid w:val="002D2B38"/>
    <w:rsid w:val="002D2E6F"/>
    <w:rsid w:val="002D2E9D"/>
    <w:rsid w:val="002D3370"/>
    <w:rsid w:val="002D35CF"/>
    <w:rsid w:val="002D36A0"/>
    <w:rsid w:val="002D3BD1"/>
    <w:rsid w:val="002D3C77"/>
    <w:rsid w:val="002D3CBB"/>
    <w:rsid w:val="002D3F3A"/>
    <w:rsid w:val="002D4228"/>
    <w:rsid w:val="002D457C"/>
    <w:rsid w:val="002D4776"/>
    <w:rsid w:val="002D4787"/>
    <w:rsid w:val="002D4BA8"/>
    <w:rsid w:val="002D4DC9"/>
    <w:rsid w:val="002D4E29"/>
    <w:rsid w:val="002D4E3A"/>
    <w:rsid w:val="002D551F"/>
    <w:rsid w:val="002D553E"/>
    <w:rsid w:val="002D597D"/>
    <w:rsid w:val="002D629C"/>
    <w:rsid w:val="002D6382"/>
    <w:rsid w:val="002D669A"/>
    <w:rsid w:val="002D66DE"/>
    <w:rsid w:val="002D679D"/>
    <w:rsid w:val="002D688A"/>
    <w:rsid w:val="002D6B4E"/>
    <w:rsid w:val="002D721D"/>
    <w:rsid w:val="002D7681"/>
    <w:rsid w:val="002D7D52"/>
    <w:rsid w:val="002D7EFF"/>
    <w:rsid w:val="002D7FC5"/>
    <w:rsid w:val="002E02CF"/>
    <w:rsid w:val="002E03A9"/>
    <w:rsid w:val="002E0EAD"/>
    <w:rsid w:val="002E0EEE"/>
    <w:rsid w:val="002E10B5"/>
    <w:rsid w:val="002E11C3"/>
    <w:rsid w:val="002E11CC"/>
    <w:rsid w:val="002E1329"/>
    <w:rsid w:val="002E1A74"/>
    <w:rsid w:val="002E1C17"/>
    <w:rsid w:val="002E1F91"/>
    <w:rsid w:val="002E23E0"/>
    <w:rsid w:val="002E25B7"/>
    <w:rsid w:val="002E2BF7"/>
    <w:rsid w:val="002E2D4D"/>
    <w:rsid w:val="002E3023"/>
    <w:rsid w:val="002E3093"/>
    <w:rsid w:val="002E3581"/>
    <w:rsid w:val="002E35F9"/>
    <w:rsid w:val="002E3957"/>
    <w:rsid w:val="002E446D"/>
    <w:rsid w:val="002E46B4"/>
    <w:rsid w:val="002E4BB1"/>
    <w:rsid w:val="002E4BFA"/>
    <w:rsid w:val="002E4C33"/>
    <w:rsid w:val="002E4FF4"/>
    <w:rsid w:val="002E5291"/>
    <w:rsid w:val="002E53A9"/>
    <w:rsid w:val="002E57A1"/>
    <w:rsid w:val="002E6815"/>
    <w:rsid w:val="002E6848"/>
    <w:rsid w:val="002E6DDC"/>
    <w:rsid w:val="002E6DE7"/>
    <w:rsid w:val="002E6FA7"/>
    <w:rsid w:val="002E6FC1"/>
    <w:rsid w:val="002E7CD7"/>
    <w:rsid w:val="002E7E91"/>
    <w:rsid w:val="002F0397"/>
    <w:rsid w:val="002F0430"/>
    <w:rsid w:val="002F0531"/>
    <w:rsid w:val="002F0A7B"/>
    <w:rsid w:val="002F0B53"/>
    <w:rsid w:val="002F1429"/>
    <w:rsid w:val="002F16D4"/>
    <w:rsid w:val="002F1823"/>
    <w:rsid w:val="002F1AE4"/>
    <w:rsid w:val="002F21C8"/>
    <w:rsid w:val="002F26DE"/>
    <w:rsid w:val="002F29A9"/>
    <w:rsid w:val="002F2BB0"/>
    <w:rsid w:val="002F3266"/>
    <w:rsid w:val="002F3298"/>
    <w:rsid w:val="002F32D6"/>
    <w:rsid w:val="002F32D8"/>
    <w:rsid w:val="002F3864"/>
    <w:rsid w:val="002F3CC9"/>
    <w:rsid w:val="002F3F0E"/>
    <w:rsid w:val="002F3F7A"/>
    <w:rsid w:val="002F46D7"/>
    <w:rsid w:val="002F4A68"/>
    <w:rsid w:val="002F4D67"/>
    <w:rsid w:val="002F4E47"/>
    <w:rsid w:val="002F50E4"/>
    <w:rsid w:val="002F5143"/>
    <w:rsid w:val="002F53C5"/>
    <w:rsid w:val="002F55A9"/>
    <w:rsid w:val="002F5C9D"/>
    <w:rsid w:val="002F5E51"/>
    <w:rsid w:val="002F5E68"/>
    <w:rsid w:val="002F5FA4"/>
    <w:rsid w:val="002F5FAC"/>
    <w:rsid w:val="002F63D1"/>
    <w:rsid w:val="002F663F"/>
    <w:rsid w:val="002F6B97"/>
    <w:rsid w:val="002F6DEB"/>
    <w:rsid w:val="002F6E7B"/>
    <w:rsid w:val="002F7293"/>
    <w:rsid w:val="002F79C9"/>
    <w:rsid w:val="002F7C0A"/>
    <w:rsid w:val="002F7FC5"/>
    <w:rsid w:val="0030004B"/>
    <w:rsid w:val="00300297"/>
    <w:rsid w:val="0030052F"/>
    <w:rsid w:val="0030054C"/>
    <w:rsid w:val="0030054E"/>
    <w:rsid w:val="00300576"/>
    <w:rsid w:val="00300BEB"/>
    <w:rsid w:val="0030146F"/>
    <w:rsid w:val="003015F5"/>
    <w:rsid w:val="00301726"/>
    <w:rsid w:val="00302102"/>
    <w:rsid w:val="0030270A"/>
    <w:rsid w:val="00302FC7"/>
    <w:rsid w:val="00303242"/>
    <w:rsid w:val="00303452"/>
    <w:rsid w:val="00303586"/>
    <w:rsid w:val="00303607"/>
    <w:rsid w:val="00303625"/>
    <w:rsid w:val="00303743"/>
    <w:rsid w:val="00303B21"/>
    <w:rsid w:val="00304266"/>
    <w:rsid w:val="003045AC"/>
    <w:rsid w:val="00304882"/>
    <w:rsid w:val="00304A7F"/>
    <w:rsid w:val="00304B36"/>
    <w:rsid w:val="00304E65"/>
    <w:rsid w:val="00304F2D"/>
    <w:rsid w:val="0030524B"/>
    <w:rsid w:val="0030554C"/>
    <w:rsid w:val="0030584B"/>
    <w:rsid w:val="00305D19"/>
    <w:rsid w:val="00305D6F"/>
    <w:rsid w:val="0030652C"/>
    <w:rsid w:val="003068BB"/>
    <w:rsid w:val="00306C9B"/>
    <w:rsid w:val="00306CA3"/>
    <w:rsid w:val="003071FF"/>
    <w:rsid w:val="0030773E"/>
    <w:rsid w:val="00307D0A"/>
    <w:rsid w:val="00307FF8"/>
    <w:rsid w:val="003106F8"/>
    <w:rsid w:val="003107FC"/>
    <w:rsid w:val="00310832"/>
    <w:rsid w:val="0031084E"/>
    <w:rsid w:val="003108B5"/>
    <w:rsid w:val="00310A6B"/>
    <w:rsid w:val="00310D1B"/>
    <w:rsid w:val="003113CE"/>
    <w:rsid w:val="00311756"/>
    <w:rsid w:val="00311A42"/>
    <w:rsid w:val="00311AFC"/>
    <w:rsid w:val="00311C4B"/>
    <w:rsid w:val="00311E79"/>
    <w:rsid w:val="00311FB9"/>
    <w:rsid w:val="0031288D"/>
    <w:rsid w:val="003128E6"/>
    <w:rsid w:val="00312D4B"/>
    <w:rsid w:val="00313069"/>
    <w:rsid w:val="003131F2"/>
    <w:rsid w:val="00313294"/>
    <w:rsid w:val="00313647"/>
    <w:rsid w:val="00313F50"/>
    <w:rsid w:val="0031443F"/>
    <w:rsid w:val="0031481C"/>
    <w:rsid w:val="003148A7"/>
    <w:rsid w:val="003148CB"/>
    <w:rsid w:val="00314EB2"/>
    <w:rsid w:val="00314F83"/>
    <w:rsid w:val="00314FBA"/>
    <w:rsid w:val="0031587D"/>
    <w:rsid w:val="0031655F"/>
    <w:rsid w:val="00316594"/>
    <w:rsid w:val="00316C23"/>
    <w:rsid w:val="003171C1"/>
    <w:rsid w:val="00317258"/>
    <w:rsid w:val="0031736C"/>
    <w:rsid w:val="003173C0"/>
    <w:rsid w:val="00317494"/>
    <w:rsid w:val="003176AA"/>
    <w:rsid w:val="0031773D"/>
    <w:rsid w:val="00317FE6"/>
    <w:rsid w:val="003200E1"/>
    <w:rsid w:val="003204B6"/>
    <w:rsid w:val="003205C1"/>
    <w:rsid w:val="003207F8"/>
    <w:rsid w:val="00320E1B"/>
    <w:rsid w:val="00320E67"/>
    <w:rsid w:val="00320F28"/>
    <w:rsid w:val="003216A9"/>
    <w:rsid w:val="00321A47"/>
    <w:rsid w:val="00321BC6"/>
    <w:rsid w:val="00321C36"/>
    <w:rsid w:val="00321CFC"/>
    <w:rsid w:val="00321E55"/>
    <w:rsid w:val="003220C7"/>
    <w:rsid w:val="003220F6"/>
    <w:rsid w:val="00322379"/>
    <w:rsid w:val="003223C9"/>
    <w:rsid w:val="00322412"/>
    <w:rsid w:val="00322635"/>
    <w:rsid w:val="00322888"/>
    <w:rsid w:val="00322D29"/>
    <w:rsid w:val="00322D31"/>
    <w:rsid w:val="00322E87"/>
    <w:rsid w:val="00322E8F"/>
    <w:rsid w:val="003236F0"/>
    <w:rsid w:val="00323B53"/>
    <w:rsid w:val="003245CB"/>
    <w:rsid w:val="00324BC3"/>
    <w:rsid w:val="0032505F"/>
    <w:rsid w:val="0032515B"/>
    <w:rsid w:val="0032551C"/>
    <w:rsid w:val="00325A83"/>
    <w:rsid w:val="00326118"/>
    <w:rsid w:val="00326850"/>
    <w:rsid w:val="003268E2"/>
    <w:rsid w:val="00326A29"/>
    <w:rsid w:val="00326D00"/>
    <w:rsid w:val="0032749A"/>
    <w:rsid w:val="00327883"/>
    <w:rsid w:val="003278F9"/>
    <w:rsid w:val="00327EBA"/>
    <w:rsid w:val="003302D1"/>
    <w:rsid w:val="0033056F"/>
    <w:rsid w:val="00330570"/>
    <w:rsid w:val="003309A9"/>
    <w:rsid w:val="00330DE2"/>
    <w:rsid w:val="00330F7A"/>
    <w:rsid w:val="003310B3"/>
    <w:rsid w:val="003310E8"/>
    <w:rsid w:val="00331241"/>
    <w:rsid w:val="0033170A"/>
    <w:rsid w:val="00331C78"/>
    <w:rsid w:val="00331DBC"/>
    <w:rsid w:val="00332088"/>
    <w:rsid w:val="003327B1"/>
    <w:rsid w:val="00332BCB"/>
    <w:rsid w:val="00333531"/>
    <w:rsid w:val="00333CC6"/>
    <w:rsid w:val="00333FB4"/>
    <w:rsid w:val="003342B6"/>
    <w:rsid w:val="003345CC"/>
    <w:rsid w:val="00334A3E"/>
    <w:rsid w:val="00335021"/>
    <w:rsid w:val="00335152"/>
    <w:rsid w:val="003351CB"/>
    <w:rsid w:val="00335350"/>
    <w:rsid w:val="003353B3"/>
    <w:rsid w:val="00335D64"/>
    <w:rsid w:val="003367B9"/>
    <w:rsid w:val="00337215"/>
    <w:rsid w:val="003379FB"/>
    <w:rsid w:val="0034005F"/>
    <w:rsid w:val="003407DF"/>
    <w:rsid w:val="00340801"/>
    <w:rsid w:val="00340A19"/>
    <w:rsid w:val="00340BE8"/>
    <w:rsid w:val="00340CFA"/>
    <w:rsid w:val="00340F49"/>
    <w:rsid w:val="003410E8"/>
    <w:rsid w:val="00341A59"/>
    <w:rsid w:val="00341AF8"/>
    <w:rsid w:val="00341C8F"/>
    <w:rsid w:val="00341F2F"/>
    <w:rsid w:val="003423BA"/>
    <w:rsid w:val="003426F8"/>
    <w:rsid w:val="003429B9"/>
    <w:rsid w:val="00342F8D"/>
    <w:rsid w:val="003430A7"/>
    <w:rsid w:val="0034363C"/>
    <w:rsid w:val="00343A30"/>
    <w:rsid w:val="00343CB3"/>
    <w:rsid w:val="00343E6C"/>
    <w:rsid w:val="00343E74"/>
    <w:rsid w:val="00344215"/>
    <w:rsid w:val="00344248"/>
    <w:rsid w:val="00344303"/>
    <w:rsid w:val="00344A99"/>
    <w:rsid w:val="00344B8F"/>
    <w:rsid w:val="00344BE4"/>
    <w:rsid w:val="00344F6A"/>
    <w:rsid w:val="0034500F"/>
    <w:rsid w:val="0034528D"/>
    <w:rsid w:val="003454EF"/>
    <w:rsid w:val="00345978"/>
    <w:rsid w:val="003459B8"/>
    <w:rsid w:val="00345A06"/>
    <w:rsid w:val="00345C15"/>
    <w:rsid w:val="00345FA7"/>
    <w:rsid w:val="003466DC"/>
    <w:rsid w:val="00346705"/>
    <w:rsid w:val="00346937"/>
    <w:rsid w:val="00346A36"/>
    <w:rsid w:val="00346C4D"/>
    <w:rsid w:val="00347172"/>
    <w:rsid w:val="0034718D"/>
    <w:rsid w:val="003471DC"/>
    <w:rsid w:val="00347B19"/>
    <w:rsid w:val="00347DCB"/>
    <w:rsid w:val="00347DD3"/>
    <w:rsid w:val="00347F19"/>
    <w:rsid w:val="003500AD"/>
    <w:rsid w:val="00350242"/>
    <w:rsid w:val="0035050F"/>
    <w:rsid w:val="0035081E"/>
    <w:rsid w:val="00350876"/>
    <w:rsid w:val="003508D3"/>
    <w:rsid w:val="00350BFB"/>
    <w:rsid w:val="00350C23"/>
    <w:rsid w:val="00351A6C"/>
    <w:rsid w:val="00351B1A"/>
    <w:rsid w:val="00351E19"/>
    <w:rsid w:val="00351E78"/>
    <w:rsid w:val="00352240"/>
    <w:rsid w:val="0035242E"/>
    <w:rsid w:val="00352538"/>
    <w:rsid w:val="003526D5"/>
    <w:rsid w:val="00352700"/>
    <w:rsid w:val="00352747"/>
    <w:rsid w:val="00352BA6"/>
    <w:rsid w:val="003530AF"/>
    <w:rsid w:val="003530C9"/>
    <w:rsid w:val="00353722"/>
    <w:rsid w:val="00353803"/>
    <w:rsid w:val="00353C55"/>
    <w:rsid w:val="00353CCF"/>
    <w:rsid w:val="00353F8A"/>
    <w:rsid w:val="003545B8"/>
    <w:rsid w:val="003547B2"/>
    <w:rsid w:val="0035495C"/>
    <w:rsid w:val="00354A06"/>
    <w:rsid w:val="00354B01"/>
    <w:rsid w:val="00354C2E"/>
    <w:rsid w:val="00354CF1"/>
    <w:rsid w:val="003554A0"/>
    <w:rsid w:val="003557CC"/>
    <w:rsid w:val="00355D6A"/>
    <w:rsid w:val="00355EFE"/>
    <w:rsid w:val="00355F5C"/>
    <w:rsid w:val="0035669B"/>
    <w:rsid w:val="003566A5"/>
    <w:rsid w:val="003569A5"/>
    <w:rsid w:val="00356E3A"/>
    <w:rsid w:val="00357183"/>
    <w:rsid w:val="003573C5"/>
    <w:rsid w:val="0035778F"/>
    <w:rsid w:val="003578D1"/>
    <w:rsid w:val="00357AA1"/>
    <w:rsid w:val="00357D59"/>
    <w:rsid w:val="00357D8F"/>
    <w:rsid w:val="00357EF8"/>
    <w:rsid w:val="00360082"/>
    <w:rsid w:val="003602D7"/>
    <w:rsid w:val="0036060E"/>
    <w:rsid w:val="00360B92"/>
    <w:rsid w:val="0036107E"/>
    <w:rsid w:val="003611B7"/>
    <w:rsid w:val="003622D3"/>
    <w:rsid w:val="0036246B"/>
    <w:rsid w:val="00363664"/>
    <w:rsid w:val="00363A37"/>
    <w:rsid w:val="00363C23"/>
    <w:rsid w:val="00363C69"/>
    <w:rsid w:val="00363CBF"/>
    <w:rsid w:val="003644AE"/>
    <w:rsid w:val="00364B61"/>
    <w:rsid w:val="00364E48"/>
    <w:rsid w:val="00365017"/>
    <w:rsid w:val="003652BF"/>
    <w:rsid w:val="00365484"/>
    <w:rsid w:val="003655EF"/>
    <w:rsid w:val="00365602"/>
    <w:rsid w:val="003659B2"/>
    <w:rsid w:val="00365A87"/>
    <w:rsid w:val="00365D0A"/>
    <w:rsid w:val="00366396"/>
    <w:rsid w:val="0036649C"/>
    <w:rsid w:val="0036655C"/>
    <w:rsid w:val="00366D08"/>
    <w:rsid w:val="00366E6D"/>
    <w:rsid w:val="0036748F"/>
    <w:rsid w:val="003675CF"/>
    <w:rsid w:val="00367937"/>
    <w:rsid w:val="00367DC3"/>
    <w:rsid w:val="00367FDD"/>
    <w:rsid w:val="00370113"/>
    <w:rsid w:val="00370406"/>
    <w:rsid w:val="00370578"/>
    <w:rsid w:val="00370B8D"/>
    <w:rsid w:val="00370FB8"/>
    <w:rsid w:val="0037102B"/>
    <w:rsid w:val="003710B5"/>
    <w:rsid w:val="00371425"/>
    <w:rsid w:val="00371830"/>
    <w:rsid w:val="003718BF"/>
    <w:rsid w:val="00371B48"/>
    <w:rsid w:val="00371FE1"/>
    <w:rsid w:val="003725EB"/>
    <w:rsid w:val="003727BD"/>
    <w:rsid w:val="00372AF4"/>
    <w:rsid w:val="00372C9D"/>
    <w:rsid w:val="003732ED"/>
    <w:rsid w:val="00373521"/>
    <w:rsid w:val="0037366F"/>
    <w:rsid w:val="00373B4B"/>
    <w:rsid w:val="00373E3E"/>
    <w:rsid w:val="003741C1"/>
    <w:rsid w:val="003744D8"/>
    <w:rsid w:val="00374B62"/>
    <w:rsid w:val="00374DFE"/>
    <w:rsid w:val="003755D7"/>
    <w:rsid w:val="00375611"/>
    <w:rsid w:val="00375841"/>
    <w:rsid w:val="00375980"/>
    <w:rsid w:val="0037637D"/>
    <w:rsid w:val="003769DF"/>
    <w:rsid w:val="00376C96"/>
    <w:rsid w:val="00376E54"/>
    <w:rsid w:val="00376F07"/>
    <w:rsid w:val="003772CE"/>
    <w:rsid w:val="0037786A"/>
    <w:rsid w:val="00377996"/>
    <w:rsid w:val="00377A02"/>
    <w:rsid w:val="00377D3F"/>
    <w:rsid w:val="00377E92"/>
    <w:rsid w:val="00380061"/>
    <w:rsid w:val="0038012F"/>
    <w:rsid w:val="003803D4"/>
    <w:rsid w:val="00380B22"/>
    <w:rsid w:val="00380C17"/>
    <w:rsid w:val="003815BB"/>
    <w:rsid w:val="00381805"/>
    <w:rsid w:val="0038188B"/>
    <w:rsid w:val="003819BD"/>
    <w:rsid w:val="00381E7B"/>
    <w:rsid w:val="003821D6"/>
    <w:rsid w:val="003824E5"/>
    <w:rsid w:val="0038263C"/>
    <w:rsid w:val="0038298F"/>
    <w:rsid w:val="00382D64"/>
    <w:rsid w:val="00382E74"/>
    <w:rsid w:val="003830A8"/>
    <w:rsid w:val="003830ED"/>
    <w:rsid w:val="003832D1"/>
    <w:rsid w:val="0038347A"/>
    <w:rsid w:val="003834A4"/>
    <w:rsid w:val="00383532"/>
    <w:rsid w:val="00383781"/>
    <w:rsid w:val="00383922"/>
    <w:rsid w:val="00383A3B"/>
    <w:rsid w:val="00383B29"/>
    <w:rsid w:val="00383C24"/>
    <w:rsid w:val="00383CF6"/>
    <w:rsid w:val="00384173"/>
    <w:rsid w:val="0038447B"/>
    <w:rsid w:val="00384695"/>
    <w:rsid w:val="00384C81"/>
    <w:rsid w:val="00385D1D"/>
    <w:rsid w:val="00385E0F"/>
    <w:rsid w:val="00385F42"/>
    <w:rsid w:val="00386114"/>
    <w:rsid w:val="003865CE"/>
    <w:rsid w:val="00386758"/>
    <w:rsid w:val="00386C42"/>
    <w:rsid w:val="00386F43"/>
    <w:rsid w:val="00387462"/>
    <w:rsid w:val="00387ABA"/>
    <w:rsid w:val="00387FE0"/>
    <w:rsid w:val="003900E7"/>
    <w:rsid w:val="00390152"/>
    <w:rsid w:val="0039024C"/>
    <w:rsid w:val="00390382"/>
    <w:rsid w:val="003903C9"/>
    <w:rsid w:val="00390506"/>
    <w:rsid w:val="00390984"/>
    <w:rsid w:val="00390A04"/>
    <w:rsid w:val="00390C51"/>
    <w:rsid w:val="00390F8F"/>
    <w:rsid w:val="00391191"/>
    <w:rsid w:val="00391853"/>
    <w:rsid w:val="003918C5"/>
    <w:rsid w:val="00391F00"/>
    <w:rsid w:val="00392146"/>
    <w:rsid w:val="00392269"/>
    <w:rsid w:val="00392640"/>
    <w:rsid w:val="003928D1"/>
    <w:rsid w:val="00392BC6"/>
    <w:rsid w:val="00393235"/>
    <w:rsid w:val="00393B8E"/>
    <w:rsid w:val="00393C93"/>
    <w:rsid w:val="003941FC"/>
    <w:rsid w:val="00394277"/>
    <w:rsid w:val="0039452A"/>
    <w:rsid w:val="00394565"/>
    <w:rsid w:val="00394619"/>
    <w:rsid w:val="00394937"/>
    <w:rsid w:val="00394EAE"/>
    <w:rsid w:val="00394F1A"/>
    <w:rsid w:val="00395270"/>
    <w:rsid w:val="003954A0"/>
    <w:rsid w:val="0039556B"/>
    <w:rsid w:val="00395DFD"/>
    <w:rsid w:val="00396564"/>
    <w:rsid w:val="00396628"/>
    <w:rsid w:val="00396711"/>
    <w:rsid w:val="00396809"/>
    <w:rsid w:val="0039698D"/>
    <w:rsid w:val="00396DE9"/>
    <w:rsid w:val="00397295"/>
    <w:rsid w:val="003974D6"/>
    <w:rsid w:val="00397575"/>
    <w:rsid w:val="003977AF"/>
    <w:rsid w:val="00397983"/>
    <w:rsid w:val="00397992"/>
    <w:rsid w:val="003979D2"/>
    <w:rsid w:val="00397DC7"/>
    <w:rsid w:val="003A012D"/>
    <w:rsid w:val="003A0148"/>
    <w:rsid w:val="003A01B8"/>
    <w:rsid w:val="003A01F7"/>
    <w:rsid w:val="003A0517"/>
    <w:rsid w:val="003A05CF"/>
    <w:rsid w:val="003A07F4"/>
    <w:rsid w:val="003A0923"/>
    <w:rsid w:val="003A09C3"/>
    <w:rsid w:val="003A15FC"/>
    <w:rsid w:val="003A16C7"/>
    <w:rsid w:val="003A1745"/>
    <w:rsid w:val="003A1D73"/>
    <w:rsid w:val="003A2047"/>
    <w:rsid w:val="003A218B"/>
    <w:rsid w:val="003A25CA"/>
    <w:rsid w:val="003A29C7"/>
    <w:rsid w:val="003A2C3A"/>
    <w:rsid w:val="003A2C62"/>
    <w:rsid w:val="003A2D6F"/>
    <w:rsid w:val="003A314C"/>
    <w:rsid w:val="003A3164"/>
    <w:rsid w:val="003A32A3"/>
    <w:rsid w:val="003A3721"/>
    <w:rsid w:val="003A389A"/>
    <w:rsid w:val="003A3949"/>
    <w:rsid w:val="003A3A78"/>
    <w:rsid w:val="003A3AAF"/>
    <w:rsid w:val="003A3D2C"/>
    <w:rsid w:val="003A4359"/>
    <w:rsid w:val="003A4566"/>
    <w:rsid w:val="003A460A"/>
    <w:rsid w:val="003A4B22"/>
    <w:rsid w:val="003A4E24"/>
    <w:rsid w:val="003A4E71"/>
    <w:rsid w:val="003A4F0A"/>
    <w:rsid w:val="003A5087"/>
    <w:rsid w:val="003A58F0"/>
    <w:rsid w:val="003A6082"/>
    <w:rsid w:val="003A6676"/>
    <w:rsid w:val="003A68B7"/>
    <w:rsid w:val="003A69F8"/>
    <w:rsid w:val="003A6A32"/>
    <w:rsid w:val="003A6C0F"/>
    <w:rsid w:val="003A7213"/>
    <w:rsid w:val="003A74EF"/>
    <w:rsid w:val="003A7957"/>
    <w:rsid w:val="003A79EF"/>
    <w:rsid w:val="003A7ABE"/>
    <w:rsid w:val="003A7C26"/>
    <w:rsid w:val="003A7D67"/>
    <w:rsid w:val="003A7F40"/>
    <w:rsid w:val="003A7F48"/>
    <w:rsid w:val="003A7FF7"/>
    <w:rsid w:val="003B00DC"/>
    <w:rsid w:val="003B025B"/>
    <w:rsid w:val="003B041E"/>
    <w:rsid w:val="003B05B9"/>
    <w:rsid w:val="003B06F0"/>
    <w:rsid w:val="003B0DE7"/>
    <w:rsid w:val="003B102B"/>
    <w:rsid w:val="003B1353"/>
    <w:rsid w:val="003B1542"/>
    <w:rsid w:val="003B1608"/>
    <w:rsid w:val="003B1762"/>
    <w:rsid w:val="003B19B0"/>
    <w:rsid w:val="003B1C8D"/>
    <w:rsid w:val="003B322E"/>
    <w:rsid w:val="003B32E9"/>
    <w:rsid w:val="003B355D"/>
    <w:rsid w:val="003B35E3"/>
    <w:rsid w:val="003B360D"/>
    <w:rsid w:val="003B3A4B"/>
    <w:rsid w:val="003B3B91"/>
    <w:rsid w:val="003B40A4"/>
    <w:rsid w:val="003B4296"/>
    <w:rsid w:val="003B42CC"/>
    <w:rsid w:val="003B43CE"/>
    <w:rsid w:val="003B4400"/>
    <w:rsid w:val="003B4481"/>
    <w:rsid w:val="003B44D5"/>
    <w:rsid w:val="003B49BC"/>
    <w:rsid w:val="003B4AA1"/>
    <w:rsid w:val="003B4BA9"/>
    <w:rsid w:val="003B4CCA"/>
    <w:rsid w:val="003B562B"/>
    <w:rsid w:val="003B5860"/>
    <w:rsid w:val="003B5A9E"/>
    <w:rsid w:val="003B6469"/>
    <w:rsid w:val="003B6C04"/>
    <w:rsid w:val="003B6CD1"/>
    <w:rsid w:val="003B6D34"/>
    <w:rsid w:val="003B6DA4"/>
    <w:rsid w:val="003B6DE6"/>
    <w:rsid w:val="003B7482"/>
    <w:rsid w:val="003B7574"/>
    <w:rsid w:val="003B7C81"/>
    <w:rsid w:val="003B7D54"/>
    <w:rsid w:val="003B7E2A"/>
    <w:rsid w:val="003B7E5B"/>
    <w:rsid w:val="003B7E79"/>
    <w:rsid w:val="003C01E3"/>
    <w:rsid w:val="003C0582"/>
    <w:rsid w:val="003C05E2"/>
    <w:rsid w:val="003C0C35"/>
    <w:rsid w:val="003C0D55"/>
    <w:rsid w:val="003C0E1A"/>
    <w:rsid w:val="003C118A"/>
    <w:rsid w:val="003C1562"/>
    <w:rsid w:val="003C1D1D"/>
    <w:rsid w:val="003C21DA"/>
    <w:rsid w:val="003C295A"/>
    <w:rsid w:val="003C2C64"/>
    <w:rsid w:val="003C381F"/>
    <w:rsid w:val="003C39AE"/>
    <w:rsid w:val="003C3A66"/>
    <w:rsid w:val="003C3A7D"/>
    <w:rsid w:val="003C3C02"/>
    <w:rsid w:val="003C3E9E"/>
    <w:rsid w:val="003C41E2"/>
    <w:rsid w:val="003C43F7"/>
    <w:rsid w:val="003C4B32"/>
    <w:rsid w:val="003C4F4D"/>
    <w:rsid w:val="003C5015"/>
    <w:rsid w:val="003C5724"/>
    <w:rsid w:val="003C5AAB"/>
    <w:rsid w:val="003C5CFC"/>
    <w:rsid w:val="003C5D0E"/>
    <w:rsid w:val="003C5F5D"/>
    <w:rsid w:val="003C6518"/>
    <w:rsid w:val="003C6668"/>
    <w:rsid w:val="003C678B"/>
    <w:rsid w:val="003C6B99"/>
    <w:rsid w:val="003C6D51"/>
    <w:rsid w:val="003C6FC9"/>
    <w:rsid w:val="003C71C1"/>
    <w:rsid w:val="003C789C"/>
    <w:rsid w:val="003C78AD"/>
    <w:rsid w:val="003C79E5"/>
    <w:rsid w:val="003C7A7F"/>
    <w:rsid w:val="003C7F38"/>
    <w:rsid w:val="003D04FF"/>
    <w:rsid w:val="003D05B8"/>
    <w:rsid w:val="003D08F2"/>
    <w:rsid w:val="003D1C36"/>
    <w:rsid w:val="003D1EAD"/>
    <w:rsid w:val="003D2590"/>
    <w:rsid w:val="003D263C"/>
    <w:rsid w:val="003D2C74"/>
    <w:rsid w:val="003D3248"/>
    <w:rsid w:val="003D33FC"/>
    <w:rsid w:val="003D3585"/>
    <w:rsid w:val="003D3B1E"/>
    <w:rsid w:val="003D3D69"/>
    <w:rsid w:val="003D3DAD"/>
    <w:rsid w:val="003D4007"/>
    <w:rsid w:val="003D41E1"/>
    <w:rsid w:val="003D43C2"/>
    <w:rsid w:val="003D459E"/>
    <w:rsid w:val="003D46F0"/>
    <w:rsid w:val="003D4792"/>
    <w:rsid w:val="003D5178"/>
    <w:rsid w:val="003D5644"/>
    <w:rsid w:val="003D5797"/>
    <w:rsid w:val="003D5A9C"/>
    <w:rsid w:val="003D5BC0"/>
    <w:rsid w:val="003D5DA8"/>
    <w:rsid w:val="003D601D"/>
    <w:rsid w:val="003D63AA"/>
    <w:rsid w:val="003D6478"/>
    <w:rsid w:val="003D6650"/>
    <w:rsid w:val="003D6711"/>
    <w:rsid w:val="003D67D0"/>
    <w:rsid w:val="003D6BA0"/>
    <w:rsid w:val="003D6DBF"/>
    <w:rsid w:val="003D74F0"/>
    <w:rsid w:val="003D76F7"/>
    <w:rsid w:val="003D7ACD"/>
    <w:rsid w:val="003D7C24"/>
    <w:rsid w:val="003D7F08"/>
    <w:rsid w:val="003E00F1"/>
    <w:rsid w:val="003E01BC"/>
    <w:rsid w:val="003E025F"/>
    <w:rsid w:val="003E04E6"/>
    <w:rsid w:val="003E0A6F"/>
    <w:rsid w:val="003E0D98"/>
    <w:rsid w:val="003E104E"/>
    <w:rsid w:val="003E1305"/>
    <w:rsid w:val="003E138A"/>
    <w:rsid w:val="003E14D9"/>
    <w:rsid w:val="003E1713"/>
    <w:rsid w:val="003E18FC"/>
    <w:rsid w:val="003E1EFE"/>
    <w:rsid w:val="003E2000"/>
    <w:rsid w:val="003E2063"/>
    <w:rsid w:val="003E2572"/>
    <w:rsid w:val="003E2877"/>
    <w:rsid w:val="003E2B33"/>
    <w:rsid w:val="003E2C17"/>
    <w:rsid w:val="003E2F73"/>
    <w:rsid w:val="003E3643"/>
    <w:rsid w:val="003E4077"/>
    <w:rsid w:val="003E48CE"/>
    <w:rsid w:val="003E4D7B"/>
    <w:rsid w:val="003E505C"/>
    <w:rsid w:val="003E53AE"/>
    <w:rsid w:val="003E5C3C"/>
    <w:rsid w:val="003E5C3F"/>
    <w:rsid w:val="003E5F4A"/>
    <w:rsid w:val="003E60A5"/>
    <w:rsid w:val="003E632F"/>
    <w:rsid w:val="003E6354"/>
    <w:rsid w:val="003E662B"/>
    <w:rsid w:val="003E6773"/>
    <w:rsid w:val="003E6BD8"/>
    <w:rsid w:val="003E6BEB"/>
    <w:rsid w:val="003E7000"/>
    <w:rsid w:val="003E7208"/>
    <w:rsid w:val="003E72BD"/>
    <w:rsid w:val="003E77D3"/>
    <w:rsid w:val="003E78BF"/>
    <w:rsid w:val="003E7C41"/>
    <w:rsid w:val="003E7EDD"/>
    <w:rsid w:val="003E7F51"/>
    <w:rsid w:val="003F06C2"/>
    <w:rsid w:val="003F082A"/>
    <w:rsid w:val="003F0A46"/>
    <w:rsid w:val="003F0C38"/>
    <w:rsid w:val="003F150B"/>
    <w:rsid w:val="003F16E2"/>
    <w:rsid w:val="003F1762"/>
    <w:rsid w:val="003F196D"/>
    <w:rsid w:val="003F19D6"/>
    <w:rsid w:val="003F1AD3"/>
    <w:rsid w:val="003F1B1D"/>
    <w:rsid w:val="003F1E2B"/>
    <w:rsid w:val="003F1EBA"/>
    <w:rsid w:val="003F2525"/>
    <w:rsid w:val="003F2826"/>
    <w:rsid w:val="003F2899"/>
    <w:rsid w:val="003F331D"/>
    <w:rsid w:val="003F351B"/>
    <w:rsid w:val="003F352A"/>
    <w:rsid w:val="003F3A35"/>
    <w:rsid w:val="003F3C5C"/>
    <w:rsid w:val="003F3DCA"/>
    <w:rsid w:val="003F41BD"/>
    <w:rsid w:val="003F41C2"/>
    <w:rsid w:val="003F440B"/>
    <w:rsid w:val="003F4567"/>
    <w:rsid w:val="003F49AB"/>
    <w:rsid w:val="003F4A48"/>
    <w:rsid w:val="003F4EDB"/>
    <w:rsid w:val="003F5702"/>
    <w:rsid w:val="003F57E5"/>
    <w:rsid w:val="003F5807"/>
    <w:rsid w:val="003F5B7E"/>
    <w:rsid w:val="003F5CB8"/>
    <w:rsid w:val="003F5CBC"/>
    <w:rsid w:val="003F5F37"/>
    <w:rsid w:val="003F6113"/>
    <w:rsid w:val="003F63AB"/>
    <w:rsid w:val="003F6D2C"/>
    <w:rsid w:val="003F72E8"/>
    <w:rsid w:val="003F7A62"/>
    <w:rsid w:val="003F7EC3"/>
    <w:rsid w:val="003F7EF5"/>
    <w:rsid w:val="003F7F11"/>
    <w:rsid w:val="003F7F83"/>
    <w:rsid w:val="00400B79"/>
    <w:rsid w:val="00400E65"/>
    <w:rsid w:val="00400F17"/>
    <w:rsid w:val="00400F54"/>
    <w:rsid w:val="00401038"/>
    <w:rsid w:val="0040138F"/>
    <w:rsid w:val="00401592"/>
    <w:rsid w:val="00401A28"/>
    <w:rsid w:val="00401C29"/>
    <w:rsid w:val="00401C2A"/>
    <w:rsid w:val="00401E19"/>
    <w:rsid w:val="0040200C"/>
    <w:rsid w:val="004022B1"/>
    <w:rsid w:val="0040254E"/>
    <w:rsid w:val="0040273F"/>
    <w:rsid w:val="00402ADC"/>
    <w:rsid w:val="00402AEE"/>
    <w:rsid w:val="0040335F"/>
    <w:rsid w:val="0040364B"/>
    <w:rsid w:val="004037FB"/>
    <w:rsid w:val="00403860"/>
    <w:rsid w:val="004038F3"/>
    <w:rsid w:val="00403DCA"/>
    <w:rsid w:val="0040445D"/>
    <w:rsid w:val="00404528"/>
    <w:rsid w:val="00404B16"/>
    <w:rsid w:val="00404C1E"/>
    <w:rsid w:val="00404D8B"/>
    <w:rsid w:val="00404E0C"/>
    <w:rsid w:val="0040510A"/>
    <w:rsid w:val="0040560E"/>
    <w:rsid w:val="00405629"/>
    <w:rsid w:val="00405669"/>
    <w:rsid w:val="00405914"/>
    <w:rsid w:val="0040595A"/>
    <w:rsid w:val="004059A5"/>
    <w:rsid w:val="00405BAF"/>
    <w:rsid w:val="00405C24"/>
    <w:rsid w:val="00405F73"/>
    <w:rsid w:val="0040605C"/>
    <w:rsid w:val="0040605F"/>
    <w:rsid w:val="00406168"/>
    <w:rsid w:val="0040629C"/>
    <w:rsid w:val="00406608"/>
    <w:rsid w:val="0040685F"/>
    <w:rsid w:val="00406A1B"/>
    <w:rsid w:val="00406B29"/>
    <w:rsid w:val="0040725B"/>
    <w:rsid w:val="00407301"/>
    <w:rsid w:val="004074CF"/>
    <w:rsid w:val="00407625"/>
    <w:rsid w:val="0040797A"/>
    <w:rsid w:val="00407A27"/>
    <w:rsid w:val="0041001B"/>
    <w:rsid w:val="00410972"/>
    <w:rsid w:val="00410A02"/>
    <w:rsid w:val="00410D20"/>
    <w:rsid w:val="00410E6D"/>
    <w:rsid w:val="00411896"/>
    <w:rsid w:val="00411DA8"/>
    <w:rsid w:val="00411DDD"/>
    <w:rsid w:val="00412247"/>
    <w:rsid w:val="00412341"/>
    <w:rsid w:val="004123AD"/>
    <w:rsid w:val="004125C5"/>
    <w:rsid w:val="004128B5"/>
    <w:rsid w:val="004129CA"/>
    <w:rsid w:val="004129FA"/>
    <w:rsid w:val="00412ACF"/>
    <w:rsid w:val="00412C77"/>
    <w:rsid w:val="00412D28"/>
    <w:rsid w:val="00412D99"/>
    <w:rsid w:val="00412F86"/>
    <w:rsid w:val="00413525"/>
    <w:rsid w:val="004136F9"/>
    <w:rsid w:val="004137F9"/>
    <w:rsid w:val="004139CB"/>
    <w:rsid w:val="00413D2B"/>
    <w:rsid w:val="00413FD6"/>
    <w:rsid w:val="004146A5"/>
    <w:rsid w:val="00414907"/>
    <w:rsid w:val="0041494A"/>
    <w:rsid w:val="00414C63"/>
    <w:rsid w:val="00414CFF"/>
    <w:rsid w:val="00414E11"/>
    <w:rsid w:val="00414F44"/>
    <w:rsid w:val="0041500E"/>
    <w:rsid w:val="00415029"/>
    <w:rsid w:val="004152C1"/>
    <w:rsid w:val="0041556C"/>
    <w:rsid w:val="00415A4C"/>
    <w:rsid w:val="00415A59"/>
    <w:rsid w:val="00415BC9"/>
    <w:rsid w:val="00415D99"/>
    <w:rsid w:val="00415E70"/>
    <w:rsid w:val="00416012"/>
    <w:rsid w:val="004164EC"/>
    <w:rsid w:val="00416702"/>
    <w:rsid w:val="00416D50"/>
    <w:rsid w:val="00416FA6"/>
    <w:rsid w:val="00417188"/>
    <w:rsid w:val="00417309"/>
    <w:rsid w:val="0041748F"/>
    <w:rsid w:val="00417520"/>
    <w:rsid w:val="00417540"/>
    <w:rsid w:val="00417888"/>
    <w:rsid w:val="00420388"/>
    <w:rsid w:val="00420435"/>
    <w:rsid w:val="004204F7"/>
    <w:rsid w:val="00420A0C"/>
    <w:rsid w:val="00420B4D"/>
    <w:rsid w:val="00420CE8"/>
    <w:rsid w:val="00421253"/>
    <w:rsid w:val="0042136D"/>
    <w:rsid w:val="00421D09"/>
    <w:rsid w:val="00422198"/>
    <w:rsid w:val="0042238C"/>
    <w:rsid w:val="004228C2"/>
    <w:rsid w:val="00422945"/>
    <w:rsid w:val="00422B4D"/>
    <w:rsid w:val="004232F3"/>
    <w:rsid w:val="0042331E"/>
    <w:rsid w:val="0042346C"/>
    <w:rsid w:val="00423822"/>
    <w:rsid w:val="00423871"/>
    <w:rsid w:val="004239A4"/>
    <w:rsid w:val="00423A42"/>
    <w:rsid w:val="00423A9D"/>
    <w:rsid w:val="00423ABD"/>
    <w:rsid w:val="00423CFC"/>
    <w:rsid w:val="00423D3C"/>
    <w:rsid w:val="00423E3E"/>
    <w:rsid w:val="00423EF0"/>
    <w:rsid w:val="004244D8"/>
    <w:rsid w:val="00425053"/>
    <w:rsid w:val="004250B2"/>
    <w:rsid w:val="00425367"/>
    <w:rsid w:val="004254DD"/>
    <w:rsid w:val="0042572F"/>
    <w:rsid w:val="00425741"/>
    <w:rsid w:val="0042587D"/>
    <w:rsid w:val="0042599C"/>
    <w:rsid w:val="00425AD3"/>
    <w:rsid w:val="00425B65"/>
    <w:rsid w:val="00425C97"/>
    <w:rsid w:val="0042656D"/>
    <w:rsid w:val="004267DC"/>
    <w:rsid w:val="00426A75"/>
    <w:rsid w:val="00426BA6"/>
    <w:rsid w:val="00426C76"/>
    <w:rsid w:val="004277BD"/>
    <w:rsid w:val="00427864"/>
    <w:rsid w:val="00427E04"/>
    <w:rsid w:val="004304CD"/>
    <w:rsid w:val="00430563"/>
    <w:rsid w:val="004308F0"/>
    <w:rsid w:val="00430A7A"/>
    <w:rsid w:val="00430A94"/>
    <w:rsid w:val="00431807"/>
    <w:rsid w:val="00431A72"/>
    <w:rsid w:val="00431A88"/>
    <w:rsid w:val="004321A5"/>
    <w:rsid w:val="0043274A"/>
    <w:rsid w:val="004327A9"/>
    <w:rsid w:val="004327EE"/>
    <w:rsid w:val="0043290B"/>
    <w:rsid w:val="00432D22"/>
    <w:rsid w:val="00432E5C"/>
    <w:rsid w:val="00433068"/>
    <w:rsid w:val="004334BC"/>
    <w:rsid w:val="0043360F"/>
    <w:rsid w:val="00433C6F"/>
    <w:rsid w:val="00433FBF"/>
    <w:rsid w:val="00434183"/>
    <w:rsid w:val="004345AD"/>
    <w:rsid w:val="00434615"/>
    <w:rsid w:val="00434AB0"/>
    <w:rsid w:val="00434B3B"/>
    <w:rsid w:val="00434BCA"/>
    <w:rsid w:val="00434EDD"/>
    <w:rsid w:val="00435C5B"/>
    <w:rsid w:val="00435DE2"/>
    <w:rsid w:val="00435ECD"/>
    <w:rsid w:val="00436040"/>
    <w:rsid w:val="00436046"/>
    <w:rsid w:val="004362EE"/>
    <w:rsid w:val="00436664"/>
    <w:rsid w:val="0043687A"/>
    <w:rsid w:val="00436979"/>
    <w:rsid w:val="004369F5"/>
    <w:rsid w:val="00436BBC"/>
    <w:rsid w:val="00436FEA"/>
    <w:rsid w:val="00437129"/>
    <w:rsid w:val="00437151"/>
    <w:rsid w:val="004378FE"/>
    <w:rsid w:val="00437939"/>
    <w:rsid w:val="00437AF2"/>
    <w:rsid w:val="00437FC2"/>
    <w:rsid w:val="0044008F"/>
    <w:rsid w:val="0044021B"/>
    <w:rsid w:val="004402EC"/>
    <w:rsid w:val="004409DE"/>
    <w:rsid w:val="00440C2A"/>
    <w:rsid w:val="00440D9F"/>
    <w:rsid w:val="004411C5"/>
    <w:rsid w:val="0044122F"/>
    <w:rsid w:val="004412B3"/>
    <w:rsid w:val="004414FE"/>
    <w:rsid w:val="0044151A"/>
    <w:rsid w:val="00441580"/>
    <w:rsid w:val="00441B62"/>
    <w:rsid w:val="00441C04"/>
    <w:rsid w:val="00441E5A"/>
    <w:rsid w:val="00441EF4"/>
    <w:rsid w:val="00442030"/>
    <w:rsid w:val="00442374"/>
    <w:rsid w:val="004423AB"/>
    <w:rsid w:val="004425D2"/>
    <w:rsid w:val="00442647"/>
    <w:rsid w:val="00442A77"/>
    <w:rsid w:val="00442F5A"/>
    <w:rsid w:val="00443097"/>
    <w:rsid w:val="00443844"/>
    <w:rsid w:val="00443A4A"/>
    <w:rsid w:val="00443E02"/>
    <w:rsid w:val="00443F91"/>
    <w:rsid w:val="0044443B"/>
    <w:rsid w:val="00444472"/>
    <w:rsid w:val="00444509"/>
    <w:rsid w:val="004445AE"/>
    <w:rsid w:val="004445BD"/>
    <w:rsid w:val="00444725"/>
    <w:rsid w:val="00444BA6"/>
    <w:rsid w:val="00444E3F"/>
    <w:rsid w:val="00445127"/>
    <w:rsid w:val="004451DE"/>
    <w:rsid w:val="00445210"/>
    <w:rsid w:val="0044552A"/>
    <w:rsid w:val="004458BC"/>
    <w:rsid w:val="00445C37"/>
    <w:rsid w:val="00445D0C"/>
    <w:rsid w:val="00445E89"/>
    <w:rsid w:val="00445EF6"/>
    <w:rsid w:val="0044645C"/>
    <w:rsid w:val="00446698"/>
    <w:rsid w:val="00446760"/>
    <w:rsid w:val="00446BC4"/>
    <w:rsid w:val="00446BDA"/>
    <w:rsid w:val="004472AD"/>
    <w:rsid w:val="0044734B"/>
    <w:rsid w:val="004478FF"/>
    <w:rsid w:val="00447EBD"/>
    <w:rsid w:val="004500B5"/>
    <w:rsid w:val="0045017C"/>
    <w:rsid w:val="0045018C"/>
    <w:rsid w:val="00450353"/>
    <w:rsid w:val="0045066F"/>
    <w:rsid w:val="00450875"/>
    <w:rsid w:val="00451534"/>
    <w:rsid w:val="00451825"/>
    <w:rsid w:val="00451CB9"/>
    <w:rsid w:val="00451DD2"/>
    <w:rsid w:val="00452A2D"/>
    <w:rsid w:val="00452A5D"/>
    <w:rsid w:val="00452B64"/>
    <w:rsid w:val="00452EFC"/>
    <w:rsid w:val="004536D9"/>
    <w:rsid w:val="0045397A"/>
    <w:rsid w:val="00453E64"/>
    <w:rsid w:val="004546BB"/>
    <w:rsid w:val="00454919"/>
    <w:rsid w:val="00454C87"/>
    <w:rsid w:val="00455297"/>
    <w:rsid w:val="00455CD0"/>
    <w:rsid w:val="004560D0"/>
    <w:rsid w:val="00456245"/>
    <w:rsid w:val="004562C4"/>
    <w:rsid w:val="004563C7"/>
    <w:rsid w:val="00456408"/>
    <w:rsid w:val="00456CB6"/>
    <w:rsid w:val="004577B8"/>
    <w:rsid w:val="00457ADA"/>
    <w:rsid w:val="00460378"/>
    <w:rsid w:val="0046078C"/>
    <w:rsid w:val="0046096F"/>
    <w:rsid w:val="00460AE9"/>
    <w:rsid w:val="00460CE5"/>
    <w:rsid w:val="00460D86"/>
    <w:rsid w:val="00460F5D"/>
    <w:rsid w:val="0046130E"/>
    <w:rsid w:val="00461358"/>
    <w:rsid w:val="00461438"/>
    <w:rsid w:val="00461FF8"/>
    <w:rsid w:val="004620E3"/>
    <w:rsid w:val="0046250A"/>
    <w:rsid w:val="00463031"/>
    <w:rsid w:val="0046344E"/>
    <w:rsid w:val="00463530"/>
    <w:rsid w:val="0046358E"/>
    <w:rsid w:val="004635F4"/>
    <w:rsid w:val="00463DA9"/>
    <w:rsid w:val="00463F24"/>
    <w:rsid w:val="00464E88"/>
    <w:rsid w:val="004651F7"/>
    <w:rsid w:val="00465750"/>
    <w:rsid w:val="00465994"/>
    <w:rsid w:val="00465F25"/>
    <w:rsid w:val="00466228"/>
    <w:rsid w:val="00466855"/>
    <w:rsid w:val="00466ED9"/>
    <w:rsid w:val="004670B9"/>
    <w:rsid w:val="004670FA"/>
    <w:rsid w:val="00467606"/>
    <w:rsid w:val="004677E2"/>
    <w:rsid w:val="004701E4"/>
    <w:rsid w:val="004701F2"/>
    <w:rsid w:val="004702A2"/>
    <w:rsid w:val="004703EA"/>
    <w:rsid w:val="004704C0"/>
    <w:rsid w:val="0047054F"/>
    <w:rsid w:val="00470675"/>
    <w:rsid w:val="00470711"/>
    <w:rsid w:val="004709C3"/>
    <w:rsid w:val="004709E9"/>
    <w:rsid w:val="00470AD9"/>
    <w:rsid w:val="00470EC4"/>
    <w:rsid w:val="00470EE0"/>
    <w:rsid w:val="004710ED"/>
    <w:rsid w:val="00471780"/>
    <w:rsid w:val="004719F9"/>
    <w:rsid w:val="00471F87"/>
    <w:rsid w:val="00472159"/>
    <w:rsid w:val="00472161"/>
    <w:rsid w:val="004723B4"/>
    <w:rsid w:val="004723E4"/>
    <w:rsid w:val="004723F8"/>
    <w:rsid w:val="00472559"/>
    <w:rsid w:val="00472613"/>
    <w:rsid w:val="00472754"/>
    <w:rsid w:val="0047279E"/>
    <w:rsid w:val="00472981"/>
    <w:rsid w:val="00472A10"/>
    <w:rsid w:val="00472B26"/>
    <w:rsid w:val="00472C2B"/>
    <w:rsid w:val="00473885"/>
    <w:rsid w:val="004739AF"/>
    <w:rsid w:val="004747C4"/>
    <w:rsid w:val="00474D38"/>
    <w:rsid w:val="00474D4E"/>
    <w:rsid w:val="00474FDC"/>
    <w:rsid w:val="0047537C"/>
    <w:rsid w:val="00475672"/>
    <w:rsid w:val="0047572C"/>
    <w:rsid w:val="00475A0F"/>
    <w:rsid w:val="00475A1A"/>
    <w:rsid w:val="0047610F"/>
    <w:rsid w:val="004762AC"/>
    <w:rsid w:val="004762FF"/>
    <w:rsid w:val="0047648E"/>
    <w:rsid w:val="00476736"/>
    <w:rsid w:val="0047673A"/>
    <w:rsid w:val="0047686D"/>
    <w:rsid w:val="004768C1"/>
    <w:rsid w:val="0047695D"/>
    <w:rsid w:val="00476D2D"/>
    <w:rsid w:val="00476FCB"/>
    <w:rsid w:val="004770E3"/>
    <w:rsid w:val="0047727B"/>
    <w:rsid w:val="00477320"/>
    <w:rsid w:val="004774B3"/>
    <w:rsid w:val="00477884"/>
    <w:rsid w:val="00477F9F"/>
    <w:rsid w:val="00477FE9"/>
    <w:rsid w:val="0048004F"/>
    <w:rsid w:val="0048035D"/>
    <w:rsid w:val="004805C3"/>
    <w:rsid w:val="00480639"/>
    <w:rsid w:val="00480E7C"/>
    <w:rsid w:val="00480FE5"/>
    <w:rsid w:val="00480FED"/>
    <w:rsid w:val="004810FF"/>
    <w:rsid w:val="00481217"/>
    <w:rsid w:val="0048124C"/>
    <w:rsid w:val="0048136C"/>
    <w:rsid w:val="004813DA"/>
    <w:rsid w:val="00481516"/>
    <w:rsid w:val="00481531"/>
    <w:rsid w:val="004818A0"/>
    <w:rsid w:val="00482131"/>
    <w:rsid w:val="0048218E"/>
    <w:rsid w:val="004821D6"/>
    <w:rsid w:val="004823CF"/>
    <w:rsid w:val="0048252D"/>
    <w:rsid w:val="00482E58"/>
    <w:rsid w:val="004831A5"/>
    <w:rsid w:val="0048346D"/>
    <w:rsid w:val="00483913"/>
    <w:rsid w:val="00483915"/>
    <w:rsid w:val="004839A9"/>
    <w:rsid w:val="00483ABE"/>
    <w:rsid w:val="00483AE4"/>
    <w:rsid w:val="00483E2E"/>
    <w:rsid w:val="00484286"/>
    <w:rsid w:val="00484308"/>
    <w:rsid w:val="0048484A"/>
    <w:rsid w:val="00484B4E"/>
    <w:rsid w:val="00484CB8"/>
    <w:rsid w:val="00484D46"/>
    <w:rsid w:val="00485029"/>
    <w:rsid w:val="004851D8"/>
    <w:rsid w:val="00485B77"/>
    <w:rsid w:val="00485D32"/>
    <w:rsid w:val="00485EF4"/>
    <w:rsid w:val="004862DA"/>
    <w:rsid w:val="004863ED"/>
    <w:rsid w:val="0048648B"/>
    <w:rsid w:val="00486760"/>
    <w:rsid w:val="00486A80"/>
    <w:rsid w:val="004870A3"/>
    <w:rsid w:val="004871BD"/>
    <w:rsid w:val="0048738F"/>
    <w:rsid w:val="00487D0A"/>
    <w:rsid w:val="00487E17"/>
    <w:rsid w:val="00487EA6"/>
    <w:rsid w:val="00490688"/>
    <w:rsid w:val="0049069A"/>
    <w:rsid w:val="00490744"/>
    <w:rsid w:val="004907C3"/>
    <w:rsid w:val="00491428"/>
    <w:rsid w:val="004919BC"/>
    <w:rsid w:val="00491AC1"/>
    <w:rsid w:val="00491D40"/>
    <w:rsid w:val="00491D7A"/>
    <w:rsid w:val="00491FDC"/>
    <w:rsid w:val="00492099"/>
    <w:rsid w:val="00492118"/>
    <w:rsid w:val="004923AC"/>
    <w:rsid w:val="00492648"/>
    <w:rsid w:val="0049268A"/>
    <w:rsid w:val="00492E84"/>
    <w:rsid w:val="00492EEC"/>
    <w:rsid w:val="00492F67"/>
    <w:rsid w:val="004931EF"/>
    <w:rsid w:val="00493B43"/>
    <w:rsid w:val="00494C70"/>
    <w:rsid w:val="00494CBC"/>
    <w:rsid w:val="00494E10"/>
    <w:rsid w:val="00494F8D"/>
    <w:rsid w:val="00495143"/>
    <w:rsid w:val="00495AA6"/>
    <w:rsid w:val="00495B64"/>
    <w:rsid w:val="00495BF4"/>
    <w:rsid w:val="00495FCA"/>
    <w:rsid w:val="004965E7"/>
    <w:rsid w:val="0049670C"/>
    <w:rsid w:val="0049695A"/>
    <w:rsid w:val="00496A3E"/>
    <w:rsid w:val="00496A80"/>
    <w:rsid w:val="00496B26"/>
    <w:rsid w:val="0049735A"/>
    <w:rsid w:val="004974A6"/>
    <w:rsid w:val="00497915"/>
    <w:rsid w:val="00497BF5"/>
    <w:rsid w:val="00497CB9"/>
    <w:rsid w:val="00497D1C"/>
    <w:rsid w:val="004A016A"/>
    <w:rsid w:val="004A038F"/>
    <w:rsid w:val="004A05FF"/>
    <w:rsid w:val="004A06AE"/>
    <w:rsid w:val="004A09AB"/>
    <w:rsid w:val="004A0A61"/>
    <w:rsid w:val="004A0B55"/>
    <w:rsid w:val="004A1006"/>
    <w:rsid w:val="004A1615"/>
    <w:rsid w:val="004A1ADA"/>
    <w:rsid w:val="004A1BBC"/>
    <w:rsid w:val="004A2133"/>
    <w:rsid w:val="004A23CB"/>
    <w:rsid w:val="004A2B4B"/>
    <w:rsid w:val="004A3318"/>
    <w:rsid w:val="004A3356"/>
    <w:rsid w:val="004A3486"/>
    <w:rsid w:val="004A36EA"/>
    <w:rsid w:val="004A36F6"/>
    <w:rsid w:val="004A3991"/>
    <w:rsid w:val="004A3DCB"/>
    <w:rsid w:val="004A42B4"/>
    <w:rsid w:val="004A42C4"/>
    <w:rsid w:val="004A44C9"/>
    <w:rsid w:val="004A44CC"/>
    <w:rsid w:val="004A4672"/>
    <w:rsid w:val="004A475A"/>
    <w:rsid w:val="004A492C"/>
    <w:rsid w:val="004A4AD9"/>
    <w:rsid w:val="004A4B64"/>
    <w:rsid w:val="004A4B8D"/>
    <w:rsid w:val="004A5068"/>
    <w:rsid w:val="004A56D4"/>
    <w:rsid w:val="004A5B8B"/>
    <w:rsid w:val="004A5C2C"/>
    <w:rsid w:val="004A60A5"/>
    <w:rsid w:val="004A6310"/>
    <w:rsid w:val="004A635B"/>
    <w:rsid w:val="004A65DE"/>
    <w:rsid w:val="004A670F"/>
    <w:rsid w:val="004A6A4E"/>
    <w:rsid w:val="004A6B00"/>
    <w:rsid w:val="004A6F00"/>
    <w:rsid w:val="004A75F6"/>
    <w:rsid w:val="004A778E"/>
    <w:rsid w:val="004A7B95"/>
    <w:rsid w:val="004A7C39"/>
    <w:rsid w:val="004B1031"/>
    <w:rsid w:val="004B11D4"/>
    <w:rsid w:val="004B168B"/>
    <w:rsid w:val="004B168D"/>
    <w:rsid w:val="004B199A"/>
    <w:rsid w:val="004B1B10"/>
    <w:rsid w:val="004B2527"/>
    <w:rsid w:val="004B2E84"/>
    <w:rsid w:val="004B2F50"/>
    <w:rsid w:val="004B30C3"/>
    <w:rsid w:val="004B32C4"/>
    <w:rsid w:val="004B353C"/>
    <w:rsid w:val="004B36F9"/>
    <w:rsid w:val="004B3A62"/>
    <w:rsid w:val="004B3A85"/>
    <w:rsid w:val="004B3E37"/>
    <w:rsid w:val="004B3EA0"/>
    <w:rsid w:val="004B4287"/>
    <w:rsid w:val="004B473A"/>
    <w:rsid w:val="004B48DC"/>
    <w:rsid w:val="004B501C"/>
    <w:rsid w:val="004B531C"/>
    <w:rsid w:val="004B53C8"/>
    <w:rsid w:val="004B5503"/>
    <w:rsid w:val="004B5917"/>
    <w:rsid w:val="004B5A56"/>
    <w:rsid w:val="004B5ABC"/>
    <w:rsid w:val="004B5FAC"/>
    <w:rsid w:val="004B6AB6"/>
    <w:rsid w:val="004B6CF5"/>
    <w:rsid w:val="004B732D"/>
    <w:rsid w:val="004B7D14"/>
    <w:rsid w:val="004B7D62"/>
    <w:rsid w:val="004B7F84"/>
    <w:rsid w:val="004B7FBB"/>
    <w:rsid w:val="004C0273"/>
    <w:rsid w:val="004C081D"/>
    <w:rsid w:val="004C0A37"/>
    <w:rsid w:val="004C0A4B"/>
    <w:rsid w:val="004C0B5E"/>
    <w:rsid w:val="004C1461"/>
    <w:rsid w:val="004C151F"/>
    <w:rsid w:val="004C1535"/>
    <w:rsid w:val="004C16C3"/>
    <w:rsid w:val="004C1A57"/>
    <w:rsid w:val="004C1D04"/>
    <w:rsid w:val="004C1D52"/>
    <w:rsid w:val="004C2D0F"/>
    <w:rsid w:val="004C2E31"/>
    <w:rsid w:val="004C309B"/>
    <w:rsid w:val="004C30BC"/>
    <w:rsid w:val="004C3329"/>
    <w:rsid w:val="004C3379"/>
    <w:rsid w:val="004C33D1"/>
    <w:rsid w:val="004C342D"/>
    <w:rsid w:val="004C35DA"/>
    <w:rsid w:val="004C3B64"/>
    <w:rsid w:val="004C410B"/>
    <w:rsid w:val="004C4202"/>
    <w:rsid w:val="004C4FEC"/>
    <w:rsid w:val="004C50DA"/>
    <w:rsid w:val="004C51D2"/>
    <w:rsid w:val="004C54B8"/>
    <w:rsid w:val="004C56F6"/>
    <w:rsid w:val="004C599F"/>
    <w:rsid w:val="004C5C86"/>
    <w:rsid w:val="004C5DC3"/>
    <w:rsid w:val="004C5F1E"/>
    <w:rsid w:val="004C6093"/>
    <w:rsid w:val="004C61A3"/>
    <w:rsid w:val="004C6240"/>
    <w:rsid w:val="004C62E3"/>
    <w:rsid w:val="004C6425"/>
    <w:rsid w:val="004C670B"/>
    <w:rsid w:val="004C6954"/>
    <w:rsid w:val="004C6A71"/>
    <w:rsid w:val="004C701C"/>
    <w:rsid w:val="004C730B"/>
    <w:rsid w:val="004C7325"/>
    <w:rsid w:val="004C73A1"/>
    <w:rsid w:val="004C7422"/>
    <w:rsid w:val="004C765D"/>
    <w:rsid w:val="004C7738"/>
    <w:rsid w:val="004C7A38"/>
    <w:rsid w:val="004C7E05"/>
    <w:rsid w:val="004D079E"/>
    <w:rsid w:val="004D0839"/>
    <w:rsid w:val="004D0A4E"/>
    <w:rsid w:val="004D0C85"/>
    <w:rsid w:val="004D0CC2"/>
    <w:rsid w:val="004D0F46"/>
    <w:rsid w:val="004D117F"/>
    <w:rsid w:val="004D11C4"/>
    <w:rsid w:val="004D11EE"/>
    <w:rsid w:val="004D1222"/>
    <w:rsid w:val="004D1B05"/>
    <w:rsid w:val="004D1C10"/>
    <w:rsid w:val="004D1CC0"/>
    <w:rsid w:val="004D1D4E"/>
    <w:rsid w:val="004D1D50"/>
    <w:rsid w:val="004D1D90"/>
    <w:rsid w:val="004D21B6"/>
    <w:rsid w:val="004D21C1"/>
    <w:rsid w:val="004D25E2"/>
    <w:rsid w:val="004D2781"/>
    <w:rsid w:val="004D28CD"/>
    <w:rsid w:val="004D2970"/>
    <w:rsid w:val="004D2C9E"/>
    <w:rsid w:val="004D3027"/>
    <w:rsid w:val="004D34E5"/>
    <w:rsid w:val="004D3601"/>
    <w:rsid w:val="004D372F"/>
    <w:rsid w:val="004D3928"/>
    <w:rsid w:val="004D39A1"/>
    <w:rsid w:val="004D3A23"/>
    <w:rsid w:val="004D3A79"/>
    <w:rsid w:val="004D3F43"/>
    <w:rsid w:val="004D45AF"/>
    <w:rsid w:val="004D46F2"/>
    <w:rsid w:val="004D48ED"/>
    <w:rsid w:val="004D49F2"/>
    <w:rsid w:val="004D4C2A"/>
    <w:rsid w:val="004D4D27"/>
    <w:rsid w:val="004D4DCC"/>
    <w:rsid w:val="004D5142"/>
    <w:rsid w:val="004D5224"/>
    <w:rsid w:val="004D580C"/>
    <w:rsid w:val="004D5846"/>
    <w:rsid w:val="004D5959"/>
    <w:rsid w:val="004D5BC3"/>
    <w:rsid w:val="004D7319"/>
    <w:rsid w:val="004D7404"/>
    <w:rsid w:val="004D7655"/>
    <w:rsid w:val="004D7738"/>
    <w:rsid w:val="004D7A08"/>
    <w:rsid w:val="004D7E2C"/>
    <w:rsid w:val="004E0109"/>
    <w:rsid w:val="004E06A7"/>
    <w:rsid w:val="004E0AA5"/>
    <w:rsid w:val="004E0C88"/>
    <w:rsid w:val="004E0E3E"/>
    <w:rsid w:val="004E0E68"/>
    <w:rsid w:val="004E1172"/>
    <w:rsid w:val="004E13DF"/>
    <w:rsid w:val="004E1974"/>
    <w:rsid w:val="004E1FFA"/>
    <w:rsid w:val="004E2200"/>
    <w:rsid w:val="004E23E9"/>
    <w:rsid w:val="004E249C"/>
    <w:rsid w:val="004E26A8"/>
    <w:rsid w:val="004E284C"/>
    <w:rsid w:val="004E2AAE"/>
    <w:rsid w:val="004E2EAB"/>
    <w:rsid w:val="004E3601"/>
    <w:rsid w:val="004E3C72"/>
    <w:rsid w:val="004E4359"/>
    <w:rsid w:val="004E451E"/>
    <w:rsid w:val="004E4ABF"/>
    <w:rsid w:val="004E4FFF"/>
    <w:rsid w:val="004E541F"/>
    <w:rsid w:val="004E5522"/>
    <w:rsid w:val="004E55D3"/>
    <w:rsid w:val="004E56D8"/>
    <w:rsid w:val="004E56DE"/>
    <w:rsid w:val="004E57C6"/>
    <w:rsid w:val="004E612B"/>
    <w:rsid w:val="004E6224"/>
    <w:rsid w:val="004E669B"/>
    <w:rsid w:val="004E6D26"/>
    <w:rsid w:val="004E6F1A"/>
    <w:rsid w:val="004E70E6"/>
    <w:rsid w:val="004E72E2"/>
    <w:rsid w:val="004F0017"/>
    <w:rsid w:val="004F0502"/>
    <w:rsid w:val="004F09B5"/>
    <w:rsid w:val="004F09C3"/>
    <w:rsid w:val="004F0DD5"/>
    <w:rsid w:val="004F0F29"/>
    <w:rsid w:val="004F1637"/>
    <w:rsid w:val="004F1649"/>
    <w:rsid w:val="004F18C7"/>
    <w:rsid w:val="004F1A41"/>
    <w:rsid w:val="004F1E2F"/>
    <w:rsid w:val="004F2028"/>
    <w:rsid w:val="004F216B"/>
    <w:rsid w:val="004F2347"/>
    <w:rsid w:val="004F2434"/>
    <w:rsid w:val="004F269C"/>
    <w:rsid w:val="004F2814"/>
    <w:rsid w:val="004F28F2"/>
    <w:rsid w:val="004F2B25"/>
    <w:rsid w:val="004F32F7"/>
    <w:rsid w:val="004F39C5"/>
    <w:rsid w:val="004F3A45"/>
    <w:rsid w:val="004F3A84"/>
    <w:rsid w:val="004F3A96"/>
    <w:rsid w:val="004F3E51"/>
    <w:rsid w:val="004F3FE1"/>
    <w:rsid w:val="004F4085"/>
    <w:rsid w:val="004F40D3"/>
    <w:rsid w:val="004F46BD"/>
    <w:rsid w:val="004F4854"/>
    <w:rsid w:val="004F48E7"/>
    <w:rsid w:val="004F48FD"/>
    <w:rsid w:val="004F4AA8"/>
    <w:rsid w:val="004F5470"/>
    <w:rsid w:val="004F5597"/>
    <w:rsid w:val="004F5644"/>
    <w:rsid w:val="004F5741"/>
    <w:rsid w:val="004F57FF"/>
    <w:rsid w:val="004F5A90"/>
    <w:rsid w:val="004F5E6C"/>
    <w:rsid w:val="004F616F"/>
    <w:rsid w:val="004F6372"/>
    <w:rsid w:val="004F6B33"/>
    <w:rsid w:val="004F6C73"/>
    <w:rsid w:val="004F6FE9"/>
    <w:rsid w:val="004F71A8"/>
    <w:rsid w:val="004F7562"/>
    <w:rsid w:val="004F7923"/>
    <w:rsid w:val="004F7B8B"/>
    <w:rsid w:val="0050040F"/>
    <w:rsid w:val="00500761"/>
    <w:rsid w:val="00500C10"/>
    <w:rsid w:val="00500D32"/>
    <w:rsid w:val="00500E1B"/>
    <w:rsid w:val="0050104D"/>
    <w:rsid w:val="00501377"/>
    <w:rsid w:val="00501383"/>
    <w:rsid w:val="00501647"/>
    <w:rsid w:val="00501CE8"/>
    <w:rsid w:val="00501E5F"/>
    <w:rsid w:val="00502330"/>
    <w:rsid w:val="00502499"/>
    <w:rsid w:val="0050288D"/>
    <w:rsid w:val="00502CC7"/>
    <w:rsid w:val="00502F13"/>
    <w:rsid w:val="0050312B"/>
    <w:rsid w:val="0050328D"/>
    <w:rsid w:val="00503B8F"/>
    <w:rsid w:val="005045F5"/>
    <w:rsid w:val="005049D3"/>
    <w:rsid w:val="00504ADE"/>
    <w:rsid w:val="00504EB1"/>
    <w:rsid w:val="0050516F"/>
    <w:rsid w:val="005054BE"/>
    <w:rsid w:val="0050588C"/>
    <w:rsid w:val="00506691"/>
    <w:rsid w:val="00506A06"/>
    <w:rsid w:val="00506F48"/>
    <w:rsid w:val="00506F80"/>
    <w:rsid w:val="0050705D"/>
    <w:rsid w:val="00507245"/>
    <w:rsid w:val="00507849"/>
    <w:rsid w:val="0050788D"/>
    <w:rsid w:val="00507C10"/>
    <w:rsid w:val="005100DE"/>
    <w:rsid w:val="005103E3"/>
    <w:rsid w:val="00510425"/>
    <w:rsid w:val="0051053E"/>
    <w:rsid w:val="005106E3"/>
    <w:rsid w:val="00510A57"/>
    <w:rsid w:val="0051108E"/>
    <w:rsid w:val="005111F8"/>
    <w:rsid w:val="00511512"/>
    <w:rsid w:val="0051162E"/>
    <w:rsid w:val="005118E9"/>
    <w:rsid w:val="00511E5A"/>
    <w:rsid w:val="00511F16"/>
    <w:rsid w:val="005125B8"/>
    <w:rsid w:val="005126F1"/>
    <w:rsid w:val="005128E5"/>
    <w:rsid w:val="00512B23"/>
    <w:rsid w:val="00512E83"/>
    <w:rsid w:val="0051378B"/>
    <w:rsid w:val="005137AD"/>
    <w:rsid w:val="00513919"/>
    <w:rsid w:val="00513A9B"/>
    <w:rsid w:val="00513B0B"/>
    <w:rsid w:val="00513E69"/>
    <w:rsid w:val="005143F7"/>
    <w:rsid w:val="00514854"/>
    <w:rsid w:val="005151C5"/>
    <w:rsid w:val="00515227"/>
    <w:rsid w:val="005152B1"/>
    <w:rsid w:val="005156C8"/>
    <w:rsid w:val="005156D7"/>
    <w:rsid w:val="00515979"/>
    <w:rsid w:val="00515B84"/>
    <w:rsid w:val="00515D0E"/>
    <w:rsid w:val="00515E7B"/>
    <w:rsid w:val="00516CBD"/>
    <w:rsid w:val="00516D15"/>
    <w:rsid w:val="005171FD"/>
    <w:rsid w:val="005173B2"/>
    <w:rsid w:val="0051760F"/>
    <w:rsid w:val="00517CEB"/>
    <w:rsid w:val="00517FC7"/>
    <w:rsid w:val="00517FCA"/>
    <w:rsid w:val="0051BF40"/>
    <w:rsid w:val="005200EA"/>
    <w:rsid w:val="0052018A"/>
    <w:rsid w:val="00520566"/>
    <w:rsid w:val="00521B57"/>
    <w:rsid w:val="00521DDC"/>
    <w:rsid w:val="00522140"/>
    <w:rsid w:val="00522327"/>
    <w:rsid w:val="005228A6"/>
    <w:rsid w:val="00522C67"/>
    <w:rsid w:val="005238E5"/>
    <w:rsid w:val="00523A54"/>
    <w:rsid w:val="00523A55"/>
    <w:rsid w:val="00523AE6"/>
    <w:rsid w:val="00523C8E"/>
    <w:rsid w:val="005245E8"/>
    <w:rsid w:val="00524735"/>
    <w:rsid w:val="00524C54"/>
    <w:rsid w:val="005253F5"/>
    <w:rsid w:val="00525415"/>
    <w:rsid w:val="0052546C"/>
    <w:rsid w:val="00525956"/>
    <w:rsid w:val="005259C9"/>
    <w:rsid w:val="005259F3"/>
    <w:rsid w:val="00525D60"/>
    <w:rsid w:val="00525F88"/>
    <w:rsid w:val="00526CA5"/>
    <w:rsid w:val="00526DED"/>
    <w:rsid w:val="00526E2B"/>
    <w:rsid w:val="005270EB"/>
    <w:rsid w:val="0052714B"/>
    <w:rsid w:val="00527230"/>
    <w:rsid w:val="005276A7"/>
    <w:rsid w:val="005276BC"/>
    <w:rsid w:val="00527BA5"/>
    <w:rsid w:val="005300F6"/>
    <w:rsid w:val="005302E8"/>
    <w:rsid w:val="005303EA"/>
    <w:rsid w:val="00530F1F"/>
    <w:rsid w:val="00531083"/>
    <w:rsid w:val="0053109E"/>
    <w:rsid w:val="00531162"/>
    <w:rsid w:val="00531685"/>
    <w:rsid w:val="00531DC0"/>
    <w:rsid w:val="00531EFF"/>
    <w:rsid w:val="00532349"/>
    <w:rsid w:val="00532969"/>
    <w:rsid w:val="00532AE7"/>
    <w:rsid w:val="0053392B"/>
    <w:rsid w:val="00533B06"/>
    <w:rsid w:val="00533C92"/>
    <w:rsid w:val="00533DA3"/>
    <w:rsid w:val="005340E4"/>
    <w:rsid w:val="0053446A"/>
    <w:rsid w:val="005345A3"/>
    <w:rsid w:val="00534C58"/>
    <w:rsid w:val="00534D74"/>
    <w:rsid w:val="00534E8A"/>
    <w:rsid w:val="0053543E"/>
    <w:rsid w:val="00535B8F"/>
    <w:rsid w:val="00535D24"/>
    <w:rsid w:val="00535D9D"/>
    <w:rsid w:val="00535E07"/>
    <w:rsid w:val="00536206"/>
    <w:rsid w:val="005368E4"/>
    <w:rsid w:val="00536942"/>
    <w:rsid w:val="00536AF8"/>
    <w:rsid w:val="00536DB8"/>
    <w:rsid w:val="005372CC"/>
    <w:rsid w:val="0053731B"/>
    <w:rsid w:val="0053779F"/>
    <w:rsid w:val="00537B11"/>
    <w:rsid w:val="00537D2B"/>
    <w:rsid w:val="005403FE"/>
    <w:rsid w:val="00540914"/>
    <w:rsid w:val="0054095D"/>
    <w:rsid w:val="00540EEF"/>
    <w:rsid w:val="00541089"/>
    <w:rsid w:val="005415C3"/>
    <w:rsid w:val="005415C9"/>
    <w:rsid w:val="00541925"/>
    <w:rsid w:val="00541A2E"/>
    <w:rsid w:val="00541A42"/>
    <w:rsid w:val="00541A51"/>
    <w:rsid w:val="0054256B"/>
    <w:rsid w:val="00542A75"/>
    <w:rsid w:val="00542A9C"/>
    <w:rsid w:val="00542AE5"/>
    <w:rsid w:val="00542FE7"/>
    <w:rsid w:val="005431D8"/>
    <w:rsid w:val="005433F5"/>
    <w:rsid w:val="00543643"/>
    <w:rsid w:val="0054386F"/>
    <w:rsid w:val="00543905"/>
    <w:rsid w:val="00543D4C"/>
    <w:rsid w:val="00543F0F"/>
    <w:rsid w:val="00544465"/>
    <w:rsid w:val="0054463E"/>
    <w:rsid w:val="00544683"/>
    <w:rsid w:val="005446CE"/>
    <w:rsid w:val="00544AA7"/>
    <w:rsid w:val="00544AF1"/>
    <w:rsid w:val="00544CF1"/>
    <w:rsid w:val="00544E73"/>
    <w:rsid w:val="00545320"/>
    <w:rsid w:val="0054555C"/>
    <w:rsid w:val="005455A7"/>
    <w:rsid w:val="00545681"/>
    <w:rsid w:val="005456E8"/>
    <w:rsid w:val="005459B9"/>
    <w:rsid w:val="00545EDF"/>
    <w:rsid w:val="00545F6F"/>
    <w:rsid w:val="005463DF"/>
    <w:rsid w:val="0054652D"/>
    <w:rsid w:val="00546554"/>
    <w:rsid w:val="00546E0C"/>
    <w:rsid w:val="00546F5D"/>
    <w:rsid w:val="00547348"/>
    <w:rsid w:val="005474C1"/>
    <w:rsid w:val="005475AE"/>
    <w:rsid w:val="005478BC"/>
    <w:rsid w:val="00547B19"/>
    <w:rsid w:val="00547F64"/>
    <w:rsid w:val="0055007D"/>
    <w:rsid w:val="00550171"/>
    <w:rsid w:val="005507C5"/>
    <w:rsid w:val="00550868"/>
    <w:rsid w:val="00550BE2"/>
    <w:rsid w:val="00550CF5"/>
    <w:rsid w:val="00550F4B"/>
    <w:rsid w:val="005513EE"/>
    <w:rsid w:val="0055144C"/>
    <w:rsid w:val="0055186B"/>
    <w:rsid w:val="00551C5E"/>
    <w:rsid w:val="00551DC0"/>
    <w:rsid w:val="00551FCC"/>
    <w:rsid w:val="00552201"/>
    <w:rsid w:val="00552306"/>
    <w:rsid w:val="0055247A"/>
    <w:rsid w:val="0055274F"/>
    <w:rsid w:val="00552A1B"/>
    <w:rsid w:val="00552AAB"/>
    <w:rsid w:val="00552B29"/>
    <w:rsid w:val="00552C28"/>
    <w:rsid w:val="00552DB9"/>
    <w:rsid w:val="00552DDD"/>
    <w:rsid w:val="0055307C"/>
    <w:rsid w:val="00553175"/>
    <w:rsid w:val="005537B8"/>
    <w:rsid w:val="00553BC5"/>
    <w:rsid w:val="00553D5A"/>
    <w:rsid w:val="00553EC9"/>
    <w:rsid w:val="00553FD2"/>
    <w:rsid w:val="005541E0"/>
    <w:rsid w:val="0055451D"/>
    <w:rsid w:val="0055474C"/>
    <w:rsid w:val="00554C01"/>
    <w:rsid w:val="00554CEC"/>
    <w:rsid w:val="00555084"/>
    <w:rsid w:val="005554BD"/>
    <w:rsid w:val="0055561A"/>
    <w:rsid w:val="00555A11"/>
    <w:rsid w:val="00556192"/>
    <w:rsid w:val="00556932"/>
    <w:rsid w:val="00556945"/>
    <w:rsid w:val="00556AE8"/>
    <w:rsid w:val="00556B51"/>
    <w:rsid w:val="00556CB8"/>
    <w:rsid w:val="00556FB2"/>
    <w:rsid w:val="00556FE6"/>
    <w:rsid w:val="00557324"/>
    <w:rsid w:val="0055753C"/>
    <w:rsid w:val="00557984"/>
    <w:rsid w:val="00557B21"/>
    <w:rsid w:val="00557D2A"/>
    <w:rsid w:val="005602AE"/>
    <w:rsid w:val="00560494"/>
    <w:rsid w:val="00560519"/>
    <w:rsid w:val="005605F7"/>
    <w:rsid w:val="00560735"/>
    <w:rsid w:val="005607F2"/>
    <w:rsid w:val="00560B1B"/>
    <w:rsid w:val="00561238"/>
    <w:rsid w:val="00561331"/>
    <w:rsid w:val="0056168F"/>
    <w:rsid w:val="0056183E"/>
    <w:rsid w:val="005619B0"/>
    <w:rsid w:val="005619C0"/>
    <w:rsid w:val="00561EF9"/>
    <w:rsid w:val="00562423"/>
    <w:rsid w:val="00562635"/>
    <w:rsid w:val="0056274F"/>
    <w:rsid w:val="00562CD7"/>
    <w:rsid w:val="00562E6D"/>
    <w:rsid w:val="005633FE"/>
    <w:rsid w:val="005634AB"/>
    <w:rsid w:val="00563512"/>
    <w:rsid w:val="005635E3"/>
    <w:rsid w:val="00563633"/>
    <w:rsid w:val="00563929"/>
    <w:rsid w:val="00563A2A"/>
    <w:rsid w:val="00563DB1"/>
    <w:rsid w:val="00563EB4"/>
    <w:rsid w:val="00564055"/>
    <w:rsid w:val="005643FF"/>
    <w:rsid w:val="0056456B"/>
    <w:rsid w:val="00564775"/>
    <w:rsid w:val="00564A62"/>
    <w:rsid w:val="00564E32"/>
    <w:rsid w:val="00565073"/>
    <w:rsid w:val="0056509D"/>
    <w:rsid w:val="005654C2"/>
    <w:rsid w:val="00565C04"/>
    <w:rsid w:val="005661B3"/>
    <w:rsid w:val="00566440"/>
    <w:rsid w:val="00566558"/>
    <w:rsid w:val="005668FB"/>
    <w:rsid w:val="00566B64"/>
    <w:rsid w:val="00566B69"/>
    <w:rsid w:val="00566DDF"/>
    <w:rsid w:val="00566F90"/>
    <w:rsid w:val="00567254"/>
    <w:rsid w:val="005674F2"/>
    <w:rsid w:val="00567A4B"/>
    <w:rsid w:val="00567D41"/>
    <w:rsid w:val="00567D98"/>
    <w:rsid w:val="00567E93"/>
    <w:rsid w:val="00567F04"/>
    <w:rsid w:val="00567F84"/>
    <w:rsid w:val="00567FF3"/>
    <w:rsid w:val="0056F39E"/>
    <w:rsid w:val="005702F4"/>
    <w:rsid w:val="00570343"/>
    <w:rsid w:val="0057034F"/>
    <w:rsid w:val="0057049F"/>
    <w:rsid w:val="00570648"/>
    <w:rsid w:val="00570970"/>
    <w:rsid w:val="005709A1"/>
    <w:rsid w:val="00570A96"/>
    <w:rsid w:val="00570B9E"/>
    <w:rsid w:val="00571116"/>
    <w:rsid w:val="00571126"/>
    <w:rsid w:val="005713AF"/>
    <w:rsid w:val="00571521"/>
    <w:rsid w:val="005719B3"/>
    <w:rsid w:val="00571AF2"/>
    <w:rsid w:val="0057242D"/>
    <w:rsid w:val="00572966"/>
    <w:rsid w:val="005729BA"/>
    <w:rsid w:val="00572B74"/>
    <w:rsid w:val="00572E87"/>
    <w:rsid w:val="00572EB0"/>
    <w:rsid w:val="00572EB8"/>
    <w:rsid w:val="005731BA"/>
    <w:rsid w:val="00573341"/>
    <w:rsid w:val="00573507"/>
    <w:rsid w:val="005735D0"/>
    <w:rsid w:val="005738DC"/>
    <w:rsid w:val="00573C37"/>
    <w:rsid w:val="00573CDD"/>
    <w:rsid w:val="0057440E"/>
    <w:rsid w:val="005745FC"/>
    <w:rsid w:val="00574900"/>
    <w:rsid w:val="005750B3"/>
    <w:rsid w:val="0057512C"/>
    <w:rsid w:val="00575523"/>
    <w:rsid w:val="005756C8"/>
    <w:rsid w:val="00575B01"/>
    <w:rsid w:val="00575F04"/>
    <w:rsid w:val="0057624F"/>
    <w:rsid w:val="00576BAC"/>
    <w:rsid w:val="00576E1D"/>
    <w:rsid w:val="0057707C"/>
    <w:rsid w:val="00577531"/>
    <w:rsid w:val="00577CBC"/>
    <w:rsid w:val="00577EF1"/>
    <w:rsid w:val="00580B1A"/>
    <w:rsid w:val="00580FD3"/>
    <w:rsid w:val="005812B9"/>
    <w:rsid w:val="00581398"/>
    <w:rsid w:val="0058167B"/>
    <w:rsid w:val="0058185A"/>
    <w:rsid w:val="005818DB"/>
    <w:rsid w:val="00581952"/>
    <w:rsid w:val="00581AE2"/>
    <w:rsid w:val="00582146"/>
    <w:rsid w:val="00582540"/>
    <w:rsid w:val="005827E6"/>
    <w:rsid w:val="00582BBC"/>
    <w:rsid w:val="00582D06"/>
    <w:rsid w:val="005833CA"/>
    <w:rsid w:val="005835CD"/>
    <w:rsid w:val="005837A2"/>
    <w:rsid w:val="00583963"/>
    <w:rsid w:val="00583B30"/>
    <w:rsid w:val="00583D11"/>
    <w:rsid w:val="00583D3B"/>
    <w:rsid w:val="00583E50"/>
    <w:rsid w:val="00583E9F"/>
    <w:rsid w:val="00583FAE"/>
    <w:rsid w:val="005840E0"/>
    <w:rsid w:val="00584303"/>
    <w:rsid w:val="00584332"/>
    <w:rsid w:val="005848F5"/>
    <w:rsid w:val="00584B39"/>
    <w:rsid w:val="00584DAB"/>
    <w:rsid w:val="00584E2A"/>
    <w:rsid w:val="00584ED9"/>
    <w:rsid w:val="00584EDD"/>
    <w:rsid w:val="00585042"/>
    <w:rsid w:val="005850A0"/>
    <w:rsid w:val="00585495"/>
    <w:rsid w:val="0058549D"/>
    <w:rsid w:val="00585A52"/>
    <w:rsid w:val="00585AE4"/>
    <w:rsid w:val="00585ED0"/>
    <w:rsid w:val="00586761"/>
    <w:rsid w:val="00586902"/>
    <w:rsid w:val="00586920"/>
    <w:rsid w:val="00586986"/>
    <w:rsid w:val="00586A7B"/>
    <w:rsid w:val="00586BDD"/>
    <w:rsid w:val="00586CE0"/>
    <w:rsid w:val="00586D8C"/>
    <w:rsid w:val="00587343"/>
    <w:rsid w:val="005876F8"/>
    <w:rsid w:val="00587818"/>
    <w:rsid w:val="00587971"/>
    <w:rsid w:val="00587A70"/>
    <w:rsid w:val="00587F2D"/>
    <w:rsid w:val="00587FB3"/>
    <w:rsid w:val="0058ECD5"/>
    <w:rsid w:val="005903B2"/>
    <w:rsid w:val="00590773"/>
    <w:rsid w:val="00591035"/>
    <w:rsid w:val="0059161B"/>
    <w:rsid w:val="00591624"/>
    <w:rsid w:val="005919D2"/>
    <w:rsid w:val="00591C19"/>
    <w:rsid w:val="00591CC6"/>
    <w:rsid w:val="00591EEB"/>
    <w:rsid w:val="005929D2"/>
    <w:rsid w:val="0059324E"/>
    <w:rsid w:val="00593C88"/>
    <w:rsid w:val="005940AB"/>
    <w:rsid w:val="00594A53"/>
    <w:rsid w:val="00594BA7"/>
    <w:rsid w:val="005950E2"/>
    <w:rsid w:val="005951F7"/>
    <w:rsid w:val="005954BD"/>
    <w:rsid w:val="0059568F"/>
    <w:rsid w:val="005959EF"/>
    <w:rsid w:val="00595BC5"/>
    <w:rsid w:val="00595F37"/>
    <w:rsid w:val="00595FBF"/>
    <w:rsid w:val="005961B6"/>
    <w:rsid w:val="005963AF"/>
    <w:rsid w:val="005965AE"/>
    <w:rsid w:val="005969C0"/>
    <w:rsid w:val="00596AE2"/>
    <w:rsid w:val="00596C6C"/>
    <w:rsid w:val="00596DF0"/>
    <w:rsid w:val="00596FA1"/>
    <w:rsid w:val="0059733E"/>
    <w:rsid w:val="005974CE"/>
    <w:rsid w:val="00597BFC"/>
    <w:rsid w:val="00597F89"/>
    <w:rsid w:val="005A005A"/>
    <w:rsid w:val="005A016F"/>
    <w:rsid w:val="005A07FD"/>
    <w:rsid w:val="005A0D6D"/>
    <w:rsid w:val="005A0DA5"/>
    <w:rsid w:val="005A0FAC"/>
    <w:rsid w:val="005A1973"/>
    <w:rsid w:val="005A1E73"/>
    <w:rsid w:val="005A20AF"/>
    <w:rsid w:val="005A236B"/>
    <w:rsid w:val="005A2535"/>
    <w:rsid w:val="005A25F3"/>
    <w:rsid w:val="005A2746"/>
    <w:rsid w:val="005A29DF"/>
    <w:rsid w:val="005A2D58"/>
    <w:rsid w:val="005A3283"/>
    <w:rsid w:val="005A3AFA"/>
    <w:rsid w:val="005A3B68"/>
    <w:rsid w:val="005A3CC1"/>
    <w:rsid w:val="005A3D90"/>
    <w:rsid w:val="005A3FD2"/>
    <w:rsid w:val="005A40B5"/>
    <w:rsid w:val="005A41FC"/>
    <w:rsid w:val="005A4265"/>
    <w:rsid w:val="005A4380"/>
    <w:rsid w:val="005A44AF"/>
    <w:rsid w:val="005A466B"/>
    <w:rsid w:val="005A478A"/>
    <w:rsid w:val="005A494E"/>
    <w:rsid w:val="005A5225"/>
    <w:rsid w:val="005A541B"/>
    <w:rsid w:val="005A5464"/>
    <w:rsid w:val="005A5A44"/>
    <w:rsid w:val="005A5FC2"/>
    <w:rsid w:val="005A618C"/>
    <w:rsid w:val="005A649A"/>
    <w:rsid w:val="005A65B6"/>
    <w:rsid w:val="005A6E27"/>
    <w:rsid w:val="005A73D6"/>
    <w:rsid w:val="005A788F"/>
    <w:rsid w:val="005A7AAE"/>
    <w:rsid w:val="005A7E36"/>
    <w:rsid w:val="005A7FBE"/>
    <w:rsid w:val="005B00A9"/>
    <w:rsid w:val="005B013F"/>
    <w:rsid w:val="005B0357"/>
    <w:rsid w:val="005B0510"/>
    <w:rsid w:val="005B0608"/>
    <w:rsid w:val="005B0745"/>
    <w:rsid w:val="005B0B96"/>
    <w:rsid w:val="005B0E0B"/>
    <w:rsid w:val="005B0F3B"/>
    <w:rsid w:val="005B1120"/>
    <w:rsid w:val="005B11F8"/>
    <w:rsid w:val="005B14B8"/>
    <w:rsid w:val="005B14BD"/>
    <w:rsid w:val="005B186D"/>
    <w:rsid w:val="005B1880"/>
    <w:rsid w:val="005B1AD6"/>
    <w:rsid w:val="005B213B"/>
    <w:rsid w:val="005B22B5"/>
    <w:rsid w:val="005B2420"/>
    <w:rsid w:val="005B26A1"/>
    <w:rsid w:val="005B2944"/>
    <w:rsid w:val="005B2A64"/>
    <w:rsid w:val="005B3361"/>
    <w:rsid w:val="005B33A0"/>
    <w:rsid w:val="005B33A6"/>
    <w:rsid w:val="005B3D6B"/>
    <w:rsid w:val="005B3E02"/>
    <w:rsid w:val="005B3E6C"/>
    <w:rsid w:val="005B3F3C"/>
    <w:rsid w:val="005B3FEB"/>
    <w:rsid w:val="005B41C0"/>
    <w:rsid w:val="005B41E1"/>
    <w:rsid w:val="005B426E"/>
    <w:rsid w:val="005B467D"/>
    <w:rsid w:val="005B4BD0"/>
    <w:rsid w:val="005B500B"/>
    <w:rsid w:val="005B52E8"/>
    <w:rsid w:val="005B53D9"/>
    <w:rsid w:val="005B5735"/>
    <w:rsid w:val="005B57EE"/>
    <w:rsid w:val="005B5B65"/>
    <w:rsid w:val="005B6415"/>
    <w:rsid w:val="005B67A8"/>
    <w:rsid w:val="005B6B7F"/>
    <w:rsid w:val="005B6BF4"/>
    <w:rsid w:val="005B6CEC"/>
    <w:rsid w:val="005B6D71"/>
    <w:rsid w:val="005B70CD"/>
    <w:rsid w:val="005B7402"/>
    <w:rsid w:val="005B746D"/>
    <w:rsid w:val="005B748E"/>
    <w:rsid w:val="005B787F"/>
    <w:rsid w:val="005B7C36"/>
    <w:rsid w:val="005B7CFF"/>
    <w:rsid w:val="005B7F33"/>
    <w:rsid w:val="005C0007"/>
    <w:rsid w:val="005C048B"/>
    <w:rsid w:val="005C07A1"/>
    <w:rsid w:val="005C09AA"/>
    <w:rsid w:val="005C1117"/>
    <w:rsid w:val="005C11B8"/>
    <w:rsid w:val="005C122C"/>
    <w:rsid w:val="005C171B"/>
    <w:rsid w:val="005C1DAC"/>
    <w:rsid w:val="005C207F"/>
    <w:rsid w:val="005C2441"/>
    <w:rsid w:val="005C2D3D"/>
    <w:rsid w:val="005C3058"/>
    <w:rsid w:val="005C31AB"/>
    <w:rsid w:val="005C34CB"/>
    <w:rsid w:val="005C35E2"/>
    <w:rsid w:val="005C394D"/>
    <w:rsid w:val="005C42AD"/>
    <w:rsid w:val="005C4409"/>
    <w:rsid w:val="005C440D"/>
    <w:rsid w:val="005C4E96"/>
    <w:rsid w:val="005C4ED3"/>
    <w:rsid w:val="005C55D9"/>
    <w:rsid w:val="005C5674"/>
    <w:rsid w:val="005C5BB1"/>
    <w:rsid w:val="005C5E51"/>
    <w:rsid w:val="005C639D"/>
    <w:rsid w:val="005C67CF"/>
    <w:rsid w:val="005C69E6"/>
    <w:rsid w:val="005C6B86"/>
    <w:rsid w:val="005C6EA8"/>
    <w:rsid w:val="005C7045"/>
    <w:rsid w:val="005C706B"/>
    <w:rsid w:val="005C731D"/>
    <w:rsid w:val="005C7490"/>
    <w:rsid w:val="005C76B7"/>
    <w:rsid w:val="005C7747"/>
    <w:rsid w:val="005C775D"/>
    <w:rsid w:val="005C7A5C"/>
    <w:rsid w:val="005C7CDB"/>
    <w:rsid w:val="005C7EAE"/>
    <w:rsid w:val="005D080B"/>
    <w:rsid w:val="005D0BE5"/>
    <w:rsid w:val="005D0EA7"/>
    <w:rsid w:val="005D11C0"/>
    <w:rsid w:val="005D16E2"/>
    <w:rsid w:val="005D1801"/>
    <w:rsid w:val="005D1D30"/>
    <w:rsid w:val="005D1EDB"/>
    <w:rsid w:val="005D1FC3"/>
    <w:rsid w:val="005D2256"/>
    <w:rsid w:val="005D23FE"/>
    <w:rsid w:val="005D2484"/>
    <w:rsid w:val="005D2568"/>
    <w:rsid w:val="005D2768"/>
    <w:rsid w:val="005D285B"/>
    <w:rsid w:val="005D2891"/>
    <w:rsid w:val="005D2CBE"/>
    <w:rsid w:val="005D2F51"/>
    <w:rsid w:val="005D3283"/>
    <w:rsid w:val="005D3D41"/>
    <w:rsid w:val="005D42CC"/>
    <w:rsid w:val="005D456E"/>
    <w:rsid w:val="005D45D8"/>
    <w:rsid w:val="005D48C3"/>
    <w:rsid w:val="005D5323"/>
    <w:rsid w:val="005D535C"/>
    <w:rsid w:val="005D553D"/>
    <w:rsid w:val="005D587A"/>
    <w:rsid w:val="005D5895"/>
    <w:rsid w:val="005D63C5"/>
    <w:rsid w:val="005D6928"/>
    <w:rsid w:val="005D6B79"/>
    <w:rsid w:val="005D7487"/>
    <w:rsid w:val="005D7627"/>
    <w:rsid w:val="005D7A0E"/>
    <w:rsid w:val="005D7A6A"/>
    <w:rsid w:val="005D7C08"/>
    <w:rsid w:val="005E00E8"/>
    <w:rsid w:val="005E023D"/>
    <w:rsid w:val="005E025F"/>
    <w:rsid w:val="005E0744"/>
    <w:rsid w:val="005E0A81"/>
    <w:rsid w:val="005E0C30"/>
    <w:rsid w:val="005E122A"/>
    <w:rsid w:val="005E125B"/>
    <w:rsid w:val="005E133A"/>
    <w:rsid w:val="005E134F"/>
    <w:rsid w:val="005E14AE"/>
    <w:rsid w:val="005E159B"/>
    <w:rsid w:val="005E161B"/>
    <w:rsid w:val="005E165E"/>
    <w:rsid w:val="005E169D"/>
    <w:rsid w:val="005E1852"/>
    <w:rsid w:val="005E1DDE"/>
    <w:rsid w:val="005E2132"/>
    <w:rsid w:val="005E22F4"/>
    <w:rsid w:val="005E23FF"/>
    <w:rsid w:val="005E258C"/>
    <w:rsid w:val="005E274C"/>
    <w:rsid w:val="005E2772"/>
    <w:rsid w:val="005E27ED"/>
    <w:rsid w:val="005E3086"/>
    <w:rsid w:val="005E34DF"/>
    <w:rsid w:val="005E34E1"/>
    <w:rsid w:val="005E360C"/>
    <w:rsid w:val="005E3BCA"/>
    <w:rsid w:val="005E3EFB"/>
    <w:rsid w:val="005E43CA"/>
    <w:rsid w:val="005E494E"/>
    <w:rsid w:val="005E496A"/>
    <w:rsid w:val="005E4C71"/>
    <w:rsid w:val="005E51F6"/>
    <w:rsid w:val="005E52A6"/>
    <w:rsid w:val="005E52BD"/>
    <w:rsid w:val="005E533F"/>
    <w:rsid w:val="005E593B"/>
    <w:rsid w:val="005E6210"/>
    <w:rsid w:val="005E648A"/>
    <w:rsid w:val="005E66AE"/>
    <w:rsid w:val="005E681C"/>
    <w:rsid w:val="005E69DD"/>
    <w:rsid w:val="005E6BCA"/>
    <w:rsid w:val="005E6C00"/>
    <w:rsid w:val="005E6E9F"/>
    <w:rsid w:val="005E7247"/>
    <w:rsid w:val="005E7277"/>
    <w:rsid w:val="005E7832"/>
    <w:rsid w:val="005E79D0"/>
    <w:rsid w:val="005E79F7"/>
    <w:rsid w:val="005E7D8A"/>
    <w:rsid w:val="005E7FE8"/>
    <w:rsid w:val="005F0100"/>
    <w:rsid w:val="005F03C9"/>
    <w:rsid w:val="005F03CA"/>
    <w:rsid w:val="005F0CF5"/>
    <w:rsid w:val="005F0F1D"/>
    <w:rsid w:val="005F0F8C"/>
    <w:rsid w:val="005F0FB0"/>
    <w:rsid w:val="005F148B"/>
    <w:rsid w:val="005F15E2"/>
    <w:rsid w:val="005F16DE"/>
    <w:rsid w:val="005F17DE"/>
    <w:rsid w:val="005F1E43"/>
    <w:rsid w:val="005F1E54"/>
    <w:rsid w:val="005F20A1"/>
    <w:rsid w:val="005F2188"/>
    <w:rsid w:val="005F2474"/>
    <w:rsid w:val="005F272A"/>
    <w:rsid w:val="005F2794"/>
    <w:rsid w:val="005F29AE"/>
    <w:rsid w:val="005F2A23"/>
    <w:rsid w:val="005F2AF1"/>
    <w:rsid w:val="005F32B9"/>
    <w:rsid w:val="005F3330"/>
    <w:rsid w:val="005F3FC8"/>
    <w:rsid w:val="005F438D"/>
    <w:rsid w:val="005F441B"/>
    <w:rsid w:val="005F443D"/>
    <w:rsid w:val="005F4682"/>
    <w:rsid w:val="005F487B"/>
    <w:rsid w:val="005F507E"/>
    <w:rsid w:val="005F50B1"/>
    <w:rsid w:val="005F5326"/>
    <w:rsid w:val="005F5764"/>
    <w:rsid w:val="005F5821"/>
    <w:rsid w:val="005F5E73"/>
    <w:rsid w:val="005F613B"/>
    <w:rsid w:val="005F61CA"/>
    <w:rsid w:val="005F648C"/>
    <w:rsid w:val="005F6515"/>
    <w:rsid w:val="005F6633"/>
    <w:rsid w:val="005F6767"/>
    <w:rsid w:val="005F6860"/>
    <w:rsid w:val="005F6B80"/>
    <w:rsid w:val="005F70EE"/>
    <w:rsid w:val="005F7C2E"/>
    <w:rsid w:val="00600132"/>
    <w:rsid w:val="00600538"/>
    <w:rsid w:val="00600AC2"/>
    <w:rsid w:val="00601261"/>
    <w:rsid w:val="00601730"/>
    <w:rsid w:val="006017A3"/>
    <w:rsid w:val="00601A1D"/>
    <w:rsid w:val="00601E37"/>
    <w:rsid w:val="00601EAA"/>
    <w:rsid w:val="00602054"/>
    <w:rsid w:val="00602212"/>
    <w:rsid w:val="0060256A"/>
    <w:rsid w:val="0060271D"/>
    <w:rsid w:val="006028E5"/>
    <w:rsid w:val="00602B26"/>
    <w:rsid w:val="00602C48"/>
    <w:rsid w:val="00602D5D"/>
    <w:rsid w:val="00603234"/>
    <w:rsid w:val="00603373"/>
    <w:rsid w:val="006033B3"/>
    <w:rsid w:val="006034E2"/>
    <w:rsid w:val="006035F9"/>
    <w:rsid w:val="006036C1"/>
    <w:rsid w:val="00603748"/>
    <w:rsid w:val="006038FB"/>
    <w:rsid w:val="00603B48"/>
    <w:rsid w:val="00603C12"/>
    <w:rsid w:val="00604032"/>
    <w:rsid w:val="006040CD"/>
    <w:rsid w:val="00604217"/>
    <w:rsid w:val="0060441D"/>
    <w:rsid w:val="0060444E"/>
    <w:rsid w:val="00604577"/>
    <w:rsid w:val="006049F9"/>
    <w:rsid w:val="00604C1C"/>
    <w:rsid w:val="00604E50"/>
    <w:rsid w:val="00604E55"/>
    <w:rsid w:val="00605341"/>
    <w:rsid w:val="00605495"/>
    <w:rsid w:val="006060A3"/>
    <w:rsid w:val="00606193"/>
    <w:rsid w:val="00606AE2"/>
    <w:rsid w:val="00606BD8"/>
    <w:rsid w:val="0060706D"/>
    <w:rsid w:val="0060709C"/>
    <w:rsid w:val="00607A38"/>
    <w:rsid w:val="00610819"/>
    <w:rsid w:val="00610AC8"/>
    <w:rsid w:val="006110EA"/>
    <w:rsid w:val="00611177"/>
    <w:rsid w:val="00611472"/>
    <w:rsid w:val="00611473"/>
    <w:rsid w:val="0061160A"/>
    <w:rsid w:val="006118EA"/>
    <w:rsid w:val="00611AF8"/>
    <w:rsid w:val="00611E9B"/>
    <w:rsid w:val="00611FAE"/>
    <w:rsid w:val="006121C0"/>
    <w:rsid w:val="0061221A"/>
    <w:rsid w:val="0061284E"/>
    <w:rsid w:val="00612A0D"/>
    <w:rsid w:val="00612BD4"/>
    <w:rsid w:val="006135B4"/>
    <w:rsid w:val="00613738"/>
    <w:rsid w:val="00613BF3"/>
    <w:rsid w:val="00613CE8"/>
    <w:rsid w:val="00613E31"/>
    <w:rsid w:val="00614C08"/>
    <w:rsid w:val="00615236"/>
    <w:rsid w:val="006156F9"/>
    <w:rsid w:val="00615A16"/>
    <w:rsid w:val="00615AC8"/>
    <w:rsid w:val="00615F8A"/>
    <w:rsid w:val="006165A5"/>
    <w:rsid w:val="006166E2"/>
    <w:rsid w:val="00616773"/>
    <w:rsid w:val="006167B8"/>
    <w:rsid w:val="006170B2"/>
    <w:rsid w:val="006170C5"/>
    <w:rsid w:val="00617452"/>
    <w:rsid w:val="0061792F"/>
    <w:rsid w:val="006179D4"/>
    <w:rsid w:val="00617F90"/>
    <w:rsid w:val="00620487"/>
    <w:rsid w:val="0062072B"/>
    <w:rsid w:val="0062076E"/>
    <w:rsid w:val="00620828"/>
    <w:rsid w:val="006208E6"/>
    <w:rsid w:val="006208FF"/>
    <w:rsid w:val="006212A9"/>
    <w:rsid w:val="006212DD"/>
    <w:rsid w:val="00621372"/>
    <w:rsid w:val="00621591"/>
    <w:rsid w:val="006215A1"/>
    <w:rsid w:val="006215A3"/>
    <w:rsid w:val="00621BE4"/>
    <w:rsid w:val="00621E9F"/>
    <w:rsid w:val="0062207B"/>
    <w:rsid w:val="0062238B"/>
    <w:rsid w:val="00622507"/>
    <w:rsid w:val="00622946"/>
    <w:rsid w:val="006229B0"/>
    <w:rsid w:val="00622AE1"/>
    <w:rsid w:val="00622B20"/>
    <w:rsid w:val="00622C1F"/>
    <w:rsid w:val="00622CD5"/>
    <w:rsid w:val="00623AE9"/>
    <w:rsid w:val="00623B7B"/>
    <w:rsid w:val="006242A5"/>
    <w:rsid w:val="006246A9"/>
    <w:rsid w:val="006248C8"/>
    <w:rsid w:val="0062527E"/>
    <w:rsid w:val="00625371"/>
    <w:rsid w:val="00625500"/>
    <w:rsid w:val="00625530"/>
    <w:rsid w:val="00625A37"/>
    <w:rsid w:val="00625AD3"/>
    <w:rsid w:val="00625B45"/>
    <w:rsid w:val="00625BC4"/>
    <w:rsid w:val="006263C1"/>
    <w:rsid w:val="00626470"/>
    <w:rsid w:val="006267F6"/>
    <w:rsid w:val="006269C3"/>
    <w:rsid w:val="00626C31"/>
    <w:rsid w:val="00627010"/>
    <w:rsid w:val="00627335"/>
    <w:rsid w:val="00627544"/>
    <w:rsid w:val="006276E2"/>
    <w:rsid w:val="006278CB"/>
    <w:rsid w:val="0062796D"/>
    <w:rsid w:val="00627CE6"/>
    <w:rsid w:val="006300B5"/>
    <w:rsid w:val="006300C2"/>
    <w:rsid w:val="00630806"/>
    <w:rsid w:val="0063096A"/>
    <w:rsid w:val="00630A34"/>
    <w:rsid w:val="00630DC2"/>
    <w:rsid w:val="00630F33"/>
    <w:rsid w:val="0063116F"/>
    <w:rsid w:val="00631388"/>
    <w:rsid w:val="00631465"/>
    <w:rsid w:val="00631534"/>
    <w:rsid w:val="0063155B"/>
    <w:rsid w:val="00631907"/>
    <w:rsid w:val="00631AF0"/>
    <w:rsid w:val="00632307"/>
    <w:rsid w:val="00632561"/>
    <w:rsid w:val="00632563"/>
    <w:rsid w:val="00632D85"/>
    <w:rsid w:val="00633071"/>
    <w:rsid w:val="006332E7"/>
    <w:rsid w:val="006335D6"/>
    <w:rsid w:val="006338D9"/>
    <w:rsid w:val="0063393D"/>
    <w:rsid w:val="00633FD1"/>
    <w:rsid w:val="00634053"/>
    <w:rsid w:val="00634513"/>
    <w:rsid w:val="00634617"/>
    <w:rsid w:val="00634B08"/>
    <w:rsid w:val="00634B6A"/>
    <w:rsid w:val="00634C91"/>
    <w:rsid w:val="00634E23"/>
    <w:rsid w:val="00634FA8"/>
    <w:rsid w:val="006350D5"/>
    <w:rsid w:val="006351A5"/>
    <w:rsid w:val="00635451"/>
    <w:rsid w:val="0063565A"/>
    <w:rsid w:val="00635741"/>
    <w:rsid w:val="00635827"/>
    <w:rsid w:val="00635AF3"/>
    <w:rsid w:val="00635D94"/>
    <w:rsid w:val="006363AF"/>
    <w:rsid w:val="006365D0"/>
    <w:rsid w:val="00636ADE"/>
    <w:rsid w:val="00636AF8"/>
    <w:rsid w:val="00636BA1"/>
    <w:rsid w:val="00636F40"/>
    <w:rsid w:val="00637598"/>
    <w:rsid w:val="006377D6"/>
    <w:rsid w:val="00637A8D"/>
    <w:rsid w:val="00637A98"/>
    <w:rsid w:val="006402C4"/>
    <w:rsid w:val="00640CC6"/>
    <w:rsid w:val="00641160"/>
    <w:rsid w:val="006411DF"/>
    <w:rsid w:val="0064135C"/>
    <w:rsid w:val="006415B9"/>
    <w:rsid w:val="00641B34"/>
    <w:rsid w:val="00641EC3"/>
    <w:rsid w:val="0064245F"/>
    <w:rsid w:val="00642F0C"/>
    <w:rsid w:val="006430C8"/>
    <w:rsid w:val="006431C1"/>
    <w:rsid w:val="006431F1"/>
    <w:rsid w:val="0064338B"/>
    <w:rsid w:val="006434DE"/>
    <w:rsid w:val="006439B9"/>
    <w:rsid w:val="00643A2A"/>
    <w:rsid w:val="00643B2D"/>
    <w:rsid w:val="00643BDF"/>
    <w:rsid w:val="00643E0A"/>
    <w:rsid w:val="00643E7A"/>
    <w:rsid w:val="006441FF"/>
    <w:rsid w:val="006445A1"/>
    <w:rsid w:val="00644748"/>
    <w:rsid w:val="00644D34"/>
    <w:rsid w:val="00644D90"/>
    <w:rsid w:val="0064502E"/>
    <w:rsid w:val="00645827"/>
    <w:rsid w:val="00645907"/>
    <w:rsid w:val="00645A2F"/>
    <w:rsid w:val="00645AE7"/>
    <w:rsid w:val="00645AF4"/>
    <w:rsid w:val="006472F4"/>
    <w:rsid w:val="0064740B"/>
    <w:rsid w:val="00647593"/>
    <w:rsid w:val="00647A78"/>
    <w:rsid w:val="00647CF1"/>
    <w:rsid w:val="00647E4B"/>
    <w:rsid w:val="00647F62"/>
    <w:rsid w:val="006507BE"/>
    <w:rsid w:val="00650A81"/>
    <w:rsid w:val="00650CD6"/>
    <w:rsid w:val="00650F75"/>
    <w:rsid w:val="0065118E"/>
    <w:rsid w:val="006514FB"/>
    <w:rsid w:val="00651582"/>
    <w:rsid w:val="006515D3"/>
    <w:rsid w:val="0065165E"/>
    <w:rsid w:val="00651835"/>
    <w:rsid w:val="00651967"/>
    <w:rsid w:val="00651A70"/>
    <w:rsid w:val="00651CF7"/>
    <w:rsid w:val="006520C7"/>
    <w:rsid w:val="006524B0"/>
    <w:rsid w:val="00652726"/>
    <w:rsid w:val="00652BA3"/>
    <w:rsid w:val="00652F57"/>
    <w:rsid w:val="006531EC"/>
    <w:rsid w:val="0065341F"/>
    <w:rsid w:val="00653927"/>
    <w:rsid w:val="00653B25"/>
    <w:rsid w:val="00653C99"/>
    <w:rsid w:val="0065428D"/>
    <w:rsid w:val="006542CD"/>
    <w:rsid w:val="0065436D"/>
    <w:rsid w:val="006544E6"/>
    <w:rsid w:val="006548E0"/>
    <w:rsid w:val="00654B82"/>
    <w:rsid w:val="00654F3E"/>
    <w:rsid w:val="00654F9D"/>
    <w:rsid w:val="0065538F"/>
    <w:rsid w:val="00655435"/>
    <w:rsid w:val="00655498"/>
    <w:rsid w:val="00655624"/>
    <w:rsid w:val="00655D76"/>
    <w:rsid w:val="00655F4D"/>
    <w:rsid w:val="00656340"/>
    <w:rsid w:val="0065642C"/>
    <w:rsid w:val="00656459"/>
    <w:rsid w:val="00656670"/>
    <w:rsid w:val="0065692F"/>
    <w:rsid w:val="00656B11"/>
    <w:rsid w:val="00657151"/>
    <w:rsid w:val="00657E1D"/>
    <w:rsid w:val="00657F30"/>
    <w:rsid w:val="006603B8"/>
    <w:rsid w:val="006603EE"/>
    <w:rsid w:val="006607A2"/>
    <w:rsid w:val="0066095B"/>
    <w:rsid w:val="006609E8"/>
    <w:rsid w:val="00660C3D"/>
    <w:rsid w:val="0066106F"/>
    <w:rsid w:val="006610A7"/>
    <w:rsid w:val="00661194"/>
    <w:rsid w:val="0066134F"/>
    <w:rsid w:val="00661365"/>
    <w:rsid w:val="006614B7"/>
    <w:rsid w:val="00661A75"/>
    <w:rsid w:val="00661AF7"/>
    <w:rsid w:val="00661AF8"/>
    <w:rsid w:val="00661BC6"/>
    <w:rsid w:val="00661D16"/>
    <w:rsid w:val="00661DFD"/>
    <w:rsid w:val="00661EF8"/>
    <w:rsid w:val="00661F46"/>
    <w:rsid w:val="006630D3"/>
    <w:rsid w:val="00663213"/>
    <w:rsid w:val="0066368E"/>
    <w:rsid w:val="006638CA"/>
    <w:rsid w:val="00663D95"/>
    <w:rsid w:val="006643A8"/>
    <w:rsid w:val="006644D5"/>
    <w:rsid w:val="00664E87"/>
    <w:rsid w:val="00665115"/>
    <w:rsid w:val="00665205"/>
    <w:rsid w:val="00665391"/>
    <w:rsid w:val="00665780"/>
    <w:rsid w:val="00665942"/>
    <w:rsid w:val="00665B84"/>
    <w:rsid w:val="00666463"/>
    <w:rsid w:val="00666630"/>
    <w:rsid w:val="00666850"/>
    <w:rsid w:val="00666A2F"/>
    <w:rsid w:val="00666B2D"/>
    <w:rsid w:val="00666D38"/>
    <w:rsid w:val="006670B5"/>
    <w:rsid w:val="00667200"/>
    <w:rsid w:val="0066737B"/>
    <w:rsid w:val="006677DC"/>
    <w:rsid w:val="00667A5D"/>
    <w:rsid w:val="0067014A"/>
    <w:rsid w:val="006704E3"/>
    <w:rsid w:val="00670715"/>
    <w:rsid w:val="00670A13"/>
    <w:rsid w:val="00670D69"/>
    <w:rsid w:val="00670DCB"/>
    <w:rsid w:val="00670EEB"/>
    <w:rsid w:val="00670FC2"/>
    <w:rsid w:val="0067106F"/>
    <w:rsid w:val="006712EA"/>
    <w:rsid w:val="0067131C"/>
    <w:rsid w:val="006713CD"/>
    <w:rsid w:val="006714D7"/>
    <w:rsid w:val="006719E4"/>
    <w:rsid w:val="006722EC"/>
    <w:rsid w:val="006726CF"/>
    <w:rsid w:val="00673236"/>
    <w:rsid w:val="00673803"/>
    <w:rsid w:val="00673A86"/>
    <w:rsid w:val="00673C55"/>
    <w:rsid w:val="00673D70"/>
    <w:rsid w:val="00673E38"/>
    <w:rsid w:val="00673F72"/>
    <w:rsid w:val="0067409F"/>
    <w:rsid w:val="006743C7"/>
    <w:rsid w:val="0067455E"/>
    <w:rsid w:val="006749B7"/>
    <w:rsid w:val="00674B30"/>
    <w:rsid w:val="00674B5F"/>
    <w:rsid w:val="00674C2C"/>
    <w:rsid w:val="00674F9C"/>
    <w:rsid w:val="006750E9"/>
    <w:rsid w:val="006750ED"/>
    <w:rsid w:val="006752AD"/>
    <w:rsid w:val="00675EEF"/>
    <w:rsid w:val="0067609E"/>
    <w:rsid w:val="00676228"/>
    <w:rsid w:val="006763DF"/>
    <w:rsid w:val="00676A6C"/>
    <w:rsid w:val="00676D02"/>
    <w:rsid w:val="00676E6A"/>
    <w:rsid w:val="006772EF"/>
    <w:rsid w:val="00677598"/>
    <w:rsid w:val="006775CA"/>
    <w:rsid w:val="00677C8D"/>
    <w:rsid w:val="00680341"/>
    <w:rsid w:val="0068059F"/>
    <w:rsid w:val="0068061B"/>
    <w:rsid w:val="006807A5"/>
    <w:rsid w:val="00680A39"/>
    <w:rsid w:val="00680AD1"/>
    <w:rsid w:val="00680C23"/>
    <w:rsid w:val="00680D6A"/>
    <w:rsid w:val="00680DFB"/>
    <w:rsid w:val="0068121A"/>
    <w:rsid w:val="00681331"/>
    <w:rsid w:val="00681491"/>
    <w:rsid w:val="0068155D"/>
    <w:rsid w:val="006815AF"/>
    <w:rsid w:val="006819F4"/>
    <w:rsid w:val="00681A0F"/>
    <w:rsid w:val="00681D6D"/>
    <w:rsid w:val="00681DF0"/>
    <w:rsid w:val="00681FD4"/>
    <w:rsid w:val="00682265"/>
    <w:rsid w:val="0068237E"/>
    <w:rsid w:val="0068245C"/>
    <w:rsid w:val="00682508"/>
    <w:rsid w:val="00682DA2"/>
    <w:rsid w:val="00682FD4"/>
    <w:rsid w:val="0068339D"/>
    <w:rsid w:val="006836D4"/>
    <w:rsid w:val="0068371F"/>
    <w:rsid w:val="00683D4E"/>
    <w:rsid w:val="00683EEA"/>
    <w:rsid w:val="00684056"/>
    <w:rsid w:val="0068414A"/>
    <w:rsid w:val="0068438D"/>
    <w:rsid w:val="0068450B"/>
    <w:rsid w:val="006845F9"/>
    <w:rsid w:val="006845FA"/>
    <w:rsid w:val="00684A41"/>
    <w:rsid w:val="00684CB5"/>
    <w:rsid w:val="006855AC"/>
    <w:rsid w:val="006856B1"/>
    <w:rsid w:val="006857A0"/>
    <w:rsid w:val="00685CB4"/>
    <w:rsid w:val="00685CCE"/>
    <w:rsid w:val="00685F71"/>
    <w:rsid w:val="006861C4"/>
    <w:rsid w:val="006863CC"/>
    <w:rsid w:val="0068655A"/>
    <w:rsid w:val="006867E7"/>
    <w:rsid w:val="006868A8"/>
    <w:rsid w:val="00686D0F"/>
    <w:rsid w:val="00686D30"/>
    <w:rsid w:val="00686F6F"/>
    <w:rsid w:val="0068733C"/>
    <w:rsid w:val="0068751B"/>
    <w:rsid w:val="006878BB"/>
    <w:rsid w:val="00687C82"/>
    <w:rsid w:val="00687D14"/>
    <w:rsid w:val="00687D22"/>
    <w:rsid w:val="00687F92"/>
    <w:rsid w:val="006901BB"/>
    <w:rsid w:val="006904C5"/>
    <w:rsid w:val="006904DC"/>
    <w:rsid w:val="00690561"/>
    <w:rsid w:val="0069100F"/>
    <w:rsid w:val="00691226"/>
    <w:rsid w:val="00691554"/>
    <w:rsid w:val="00691ABB"/>
    <w:rsid w:val="00691B63"/>
    <w:rsid w:val="00691B86"/>
    <w:rsid w:val="0069266F"/>
    <w:rsid w:val="006927E6"/>
    <w:rsid w:val="006928FF"/>
    <w:rsid w:val="00692938"/>
    <w:rsid w:val="00692E7E"/>
    <w:rsid w:val="00693083"/>
    <w:rsid w:val="0069352F"/>
    <w:rsid w:val="00693B66"/>
    <w:rsid w:val="00693F04"/>
    <w:rsid w:val="006947F0"/>
    <w:rsid w:val="00694DAB"/>
    <w:rsid w:val="00694E98"/>
    <w:rsid w:val="0069521A"/>
    <w:rsid w:val="00695A98"/>
    <w:rsid w:val="00695C31"/>
    <w:rsid w:val="00695D37"/>
    <w:rsid w:val="006964B0"/>
    <w:rsid w:val="00696C4F"/>
    <w:rsid w:val="00696DA0"/>
    <w:rsid w:val="00696E45"/>
    <w:rsid w:val="00697491"/>
    <w:rsid w:val="0069757D"/>
    <w:rsid w:val="0069758C"/>
    <w:rsid w:val="00697739"/>
    <w:rsid w:val="006977B9"/>
    <w:rsid w:val="00697DED"/>
    <w:rsid w:val="00697FC9"/>
    <w:rsid w:val="006A012D"/>
    <w:rsid w:val="006A0AFB"/>
    <w:rsid w:val="006A0D64"/>
    <w:rsid w:val="006A0D88"/>
    <w:rsid w:val="006A104E"/>
    <w:rsid w:val="006A1235"/>
    <w:rsid w:val="006A1245"/>
    <w:rsid w:val="006A13EE"/>
    <w:rsid w:val="006A1825"/>
    <w:rsid w:val="006A188B"/>
    <w:rsid w:val="006A1D94"/>
    <w:rsid w:val="006A1E64"/>
    <w:rsid w:val="006A22A3"/>
    <w:rsid w:val="006A2316"/>
    <w:rsid w:val="006A236B"/>
    <w:rsid w:val="006A2382"/>
    <w:rsid w:val="006A23BC"/>
    <w:rsid w:val="006A24BB"/>
    <w:rsid w:val="006A25FB"/>
    <w:rsid w:val="006A265A"/>
    <w:rsid w:val="006A27D1"/>
    <w:rsid w:val="006A2BEF"/>
    <w:rsid w:val="006A2FF4"/>
    <w:rsid w:val="006A33A3"/>
    <w:rsid w:val="006A350F"/>
    <w:rsid w:val="006A37A9"/>
    <w:rsid w:val="006A39AB"/>
    <w:rsid w:val="006A3E7C"/>
    <w:rsid w:val="006A3EB5"/>
    <w:rsid w:val="006A3F1E"/>
    <w:rsid w:val="006A4015"/>
    <w:rsid w:val="006A45EA"/>
    <w:rsid w:val="006A4810"/>
    <w:rsid w:val="006A4907"/>
    <w:rsid w:val="006A496E"/>
    <w:rsid w:val="006A4D59"/>
    <w:rsid w:val="006A546B"/>
    <w:rsid w:val="006A5587"/>
    <w:rsid w:val="006A58E7"/>
    <w:rsid w:val="006A599A"/>
    <w:rsid w:val="006A5D25"/>
    <w:rsid w:val="006A5D75"/>
    <w:rsid w:val="006A5EBF"/>
    <w:rsid w:val="006A630B"/>
    <w:rsid w:val="006A6414"/>
    <w:rsid w:val="006A663E"/>
    <w:rsid w:val="006A66CA"/>
    <w:rsid w:val="006A67C9"/>
    <w:rsid w:val="006A6936"/>
    <w:rsid w:val="006A69AB"/>
    <w:rsid w:val="006A7291"/>
    <w:rsid w:val="006A730B"/>
    <w:rsid w:val="006A7517"/>
    <w:rsid w:val="006A7991"/>
    <w:rsid w:val="006A7AA0"/>
    <w:rsid w:val="006A7B20"/>
    <w:rsid w:val="006A7B9E"/>
    <w:rsid w:val="006A7C03"/>
    <w:rsid w:val="006A7DDB"/>
    <w:rsid w:val="006A7FE4"/>
    <w:rsid w:val="006B01A1"/>
    <w:rsid w:val="006B09B1"/>
    <w:rsid w:val="006B09DB"/>
    <w:rsid w:val="006B0A3A"/>
    <w:rsid w:val="006B0CB9"/>
    <w:rsid w:val="006B0FF1"/>
    <w:rsid w:val="006B1692"/>
    <w:rsid w:val="006B1954"/>
    <w:rsid w:val="006B2048"/>
    <w:rsid w:val="006B21C1"/>
    <w:rsid w:val="006B2505"/>
    <w:rsid w:val="006B2641"/>
    <w:rsid w:val="006B2ADF"/>
    <w:rsid w:val="006B2B54"/>
    <w:rsid w:val="006B2D98"/>
    <w:rsid w:val="006B2DE3"/>
    <w:rsid w:val="006B2F19"/>
    <w:rsid w:val="006B33CF"/>
    <w:rsid w:val="006B34FC"/>
    <w:rsid w:val="006B40E0"/>
    <w:rsid w:val="006B4147"/>
    <w:rsid w:val="006B4770"/>
    <w:rsid w:val="006B4959"/>
    <w:rsid w:val="006B4C5D"/>
    <w:rsid w:val="006B4FAA"/>
    <w:rsid w:val="006B513C"/>
    <w:rsid w:val="006B5464"/>
    <w:rsid w:val="006B54F0"/>
    <w:rsid w:val="006B5588"/>
    <w:rsid w:val="006B59C4"/>
    <w:rsid w:val="006B5B98"/>
    <w:rsid w:val="006B5E07"/>
    <w:rsid w:val="006B5FA5"/>
    <w:rsid w:val="006B60D4"/>
    <w:rsid w:val="006B63E5"/>
    <w:rsid w:val="006B6458"/>
    <w:rsid w:val="006B64AF"/>
    <w:rsid w:val="006B660D"/>
    <w:rsid w:val="006B67B7"/>
    <w:rsid w:val="006B6C9A"/>
    <w:rsid w:val="006B6CD0"/>
    <w:rsid w:val="006B6D05"/>
    <w:rsid w:val="006B6E51"/>
    <w:rsid w:val="006B6EDE"/>
    <w:rsid w:val="006B7227"/>
    <w:rsid w:val="006B7530"/>
    <w:rsid w:val="006B7568"/>
    <w:rsid w:val="006B7684"/>
    <w:rsid w:val="006B76CC"/>
    <w:rsid w:val="006B7767"/>
    <w:rsid w:val="006B797C"/>
    <w:rsid w:val="006B7AA8"/>
    <w:rsid w:val="006B7CA1"/>
    <w:rsid w:val="006B7D3D"/>
    <w:rsid w:val="006C01A7"/>
    <w:rsid w:val="006C0398"/>
    <w:rsid w:val="006C0436"/>
    <w:rsid w:val="006C0589"/>
    <w:rsid w:val="006C0818"/>
    <w:rsid w:val="006C09CA"/>
    <w:rsid w:val="006C0AF4"/>
    <w:rsid w:val="006C0ECF"/>
    <w:rsid w:val="006C1340"/>
    <w:rsid w:val="006C18AB"/>
    <w:rsid w:val="006C2114"/>
    <w:rsid w:val="006C2346"/>
    <w:rsid w:val="006C259C"/>
    <w:rsid w:val="006C28B3"/>
    <w:rsid w:val="006C2FB9"/>
    <w:rsid w:val="006C359F"/>
    <w:rsid w:val="006C3723"/>
    <w:rsid w:val="006C3950"/>
    <w:rsid w:val="006C3C89"/>
    <w:rsid w:val="006C40A9"/>
    <w:rsid w:val="006C4491"/>
    <w:rsid w:val="006C465B"/>
    <w:rsid w:val="006C4690"/>
    <w:rsid w:val="006C4813"/>
    <w:rsid w:val="006C481E"/>
    <w:rsid w:val="006C48EC"/>
    <w:rsid w:val="006C49C1"/>
    <w:rsid w:val="006C4B78"/>
    <w:rsid w:val="006C5A07"/>
    <w:rsid w:val="006C5F46"/>
    <w:rsid w:val="006C6553"/>
    <w:rsid w:val="006C6880"/>
    <w:rsid w:val="006C69C4"/>
    <w:rsid w:val="006C6A66"/>
    <w:rsid w:val="006C6AB1"/>
    <w:rsid w:val="006C6DFA"/>
    <w:rsid w:val="006C7072"/>
    <w:rsid w:val="006C71C0"/>
    <w:rsid w:val="006C7537"/>
    <w:rsid w:val="006C76E0"/>
    <w:rsid w:val="006C7B63"/>
    <w:rsid w:val="006C7E5F"/>
    <w:rsid w:val="006D0590"/>
    <w:rsid w:val="006D0C8A"/>
    <w:rsid w:val="006D0F6C"/>
    <w:rsid w:val="006D1085"/>
    <w:rsid w:val="006D121D"/>
    <w:rsid w:val="006D1273"/>
    <w:rsid w:val="006D1A48"/>
    <w:rsid w:val="006D2652"/>
    <w:rsid w:val="006D2AF0"/>
    <w:rsid w:val="006D2B64"/>
    <w:rsid w:val="006D2E98"/>
    <w:rsid w:val="006D3490"/>
    <w:rsid w:val="006D35E1"/>
    <w:rsid w:val="006D3654"/>
    <w:rsid w:val="006D3835"/>
    <w:rsid w:val="006D395F"/>
    <w:rsid w:val="006D41C1"/>
    <w:rsid w:val="006D42DA"/>
    <w:rsid w:val="006D45C2"/>
    <w:rsid w:val="006D4A1B"/>
    <w:rsid w:val="006D5340"/>
    <w:rsid w:val="006D5369"/>
    <w:rsid w:val="006D5BFC"/>
    <w:rsid w:val="006D5FFC"/>
    <w:rsid w:val="006D6040"/>
    <w:rsid w:val="006D630A"/>
    <w:rsid w:val="006D6375"/>
    <w:rsid w:val="006D6730"/>
    <w:rsid w:val="006D6A85"/>
    <w:rsid w:val="006D6B85"/>
    <w:rsid w:val="006D6C71"/>
    <w:rsid w:val="006D6D9A"/>
    <w:rsid w:val="006D74B5"/>
    <w:rsid w:val="006D75E9"/>
    <w:rsid w:val="006D766E"/>
    <w:rsid w:val="006D7993"/>
    <w:rsid w:val="006D7C2E"/>
    <w:rsid w:val="006D7EC8"/>
    <w:rsid w:val="006E0A10"/>
    <w:rsid w:val="006E0B35"/>
    <w:rsid w:val="006E0CBA"/>
    <w:rsid w:val="006E0E18"/>
    <w:rsid w:val="006E15C8"/>
    <w:rsid w:val="006E18DB"/>
    <w:rsid w:val="006E1CF9"/>
    <w:rsid w:val="006E2412"/>
    <w:rsid w:val="006E24BC"/>
    <w:rsid w:val="006E2539"/>
    <w:rsid w:val="006E270B"/>
    <w:rsid w:val="006E28D4"/>
    <w:rsid w:val="006E2AE9"/>
    <w:rsid w:val="006E319C"/>
    <w:rsid w:val="006E322D"/>
    <w:rsid w:val="006E3396"/>
    <w:rsid w:val="006E385D"/>
    <w:rsid w:val="006E3C13"/>
    <w:rsid w:val="006E3C64"/>
    <w:rsid w:val="006E3FF1"/>
    <w:rsid w:val="006E416A"/>
    <w:rsid w:val="006E41C0"/>
    <w:rsid w:val="006E4ADE"/>
    <w:rsid w:val="006E4E79"/>
    <w:rsid w:val="006E4FCE"/>
    <w:rsid w:val="006E5078"/>
    <w:rsid w:val="006E523F"/>
    <w:rsid w:val="006E5457"/>
    <w:rsid w:val="006E57BA"/>
    <w:rsid w:val="006E5E37"/>
    <w:rsid w:val="006E63AC"/>
    <w:rsid w:val="006E63F5"/>
    <w:rsid w:val="006E640B"/>
    <w:rsid w:val="006E6BAA"/>
    <w:rsid w:val="006E6C67"/>
    <w:rsid w:val="006E6EBB"/>
    <w:rsid w:val="006E749B"/>
    <w:rsid w:val="006E78B1"/>
    <w:rsid w:val="006E79C4"/>
    <w:rsid w:val="006E7A16"/>
    <w:rsid w:val="006E7B50"/>
    <w:rsid w:val="006E7DF8"/>
    <w:rsid w:val="006E7ED0"/>
    <w:rsid w:val="006E7F22"/>
    <w:rsid w:val="006F0302"/>
    <w:rsid w:val="006F05F4"/>
    <w:rsid w:val="006F0798"/>
    <w:rsid w:val="006F097E"/>
    <w:rsid w:val="006F0AB4"/>
    <w:rsid w:val="006F0BB5"/>
    <w:rsid w:val="006F1320"/>
    <w:rsid w:val="006F14DD"/>
    <w:rsid w:val="006F14FC"/>
    <w:rsid w:val="006F1518"/>
    <w:rsid w:val="006F1CC3"/>
    <w:rsid w:val="006F22EA"/>
    <w:rsid w:val="006F2530"/>
    <w:rsid w:val="006F2546"/>
    <w:rsid w:val="006F2867"/>
    <w:rsid w:val="006F2A5E"/>
    <w:rsid w:val="006F2ECD"/>
    <w:rsid w:val="006F2F42"/>
    <w:rsid w:val="006F2F8A"/>
    <w:rsid w:val="006F323F"/>
    <w:rsid w:val="006F353B"/>
    <w:rsid w:val="006F3826"/>
    <w:rsid w:val="006F40EA"/>
    <w:rsid w:val="006F42F0"/>
    <w:rsid w:val="006F4407"/>
    <w:rsid w:val="006F4818"/>
    <w:rsid w:val="006F489C"/>
    <w:rsid w:val="006F4A9D"/>
    <w:rsid w:val="006F4FC2"/>
    <w:rsid w:val="006F5220"/>
    <w:rsid w:val="006F523D"/>
    <w:rsid w:val="006F5568"/>
    <w:rsid w:val="006F5874"/>
    <w:rsid w:val="006F59F1"/>
    <w:rsid w:val="006F5AEC"/>
    <w:rsid w:val="006F5C5C"/>
    <w:rsid w:val="006F5FF9"/>
    <w:rsid w:val="006F620A"/>
    <w:rsid w:val="006F6266"/>
    <w:rsid w:val="006F68DA"/>
    <w:rsid w:val="006F6968"/>
    <w:rsid w:val="006F6A6F"/>
    <w:rsid w:val="006F6D29"/>
    <w:rsid w:val="006F6D7F"/>
    <w:rsid w:val="006F6FFC"/>
    <w:rsid w:val="006F7081"/>
    <w:rsid w:val="006F7274"/>
    <w:rsid w:val="006F756A"/>
    <w:rsid w:val="006F770B"/>
    <w:rsid w:val="006F7739"/>
    <w:rsid w:val="006F775D"/>
    <w:rsid w:val="006F7930"/>
    <w:rsid w:val="006F79A7"/>
    <w:rsid w:val="006F7BA1"/>
    <w:rsid w:val="006F7BA5"/>
    <w:rsid w:val="006F7E1A"/>
    <w:rsid w:val="00700E18"/>
    <w:rsid w:val="0070112C"/>
    <w:rsid w:val="00701568"/>
    <w:rsid w:val="007015D4"/>
    <w:rsid w:val="0070165C"/>
    <w:rsid w:val="00701A46"/>
    <w:rsid w:val="00701B93"/>
    <w:rsid w:val="00701D21"/>
    <w:rsid w:val="00702418"/>
    <w:rsid w:val="00702A15"/>
    <w:rsid w:val="00702C5A"/>
    <w:rsid w:val="00702E92"/>
    <w:rsid w:val="00703614"/>
    <w:rsid w:val="00703668"/>
    <w:rsid w:val="00703855"/>
    <w:rsid w:val="00703BCE"/>
    <w:rsid w:val="00703CB1"/>
    <w:rsid w:val="00704330"/>
    <w:rsid w:val="00704652"/>
    <w:rsid w:val="007048E5"/>
    <w:rsid w:val="00704989"/>
    <w:rsid w:val="00704A78"/>
    <w:rsid w:val="00704B21"/>
    <w:rsid w:val="00704E99"/>
    <w:rsid w:val="007051AB"/>
    <w:rsid w:val="007052C4"/>
    <w:rsid w:val="00705652"/>
    <w:rsid w:val="00705947"/>
    <w:rsid w:val="00705B04"/>
    <w:rsid w:val="00706449"/>
    <w:rsid w:val="007065DE"/>
    <w:rsid w:val="007068DE"/>
    <w:rsid w:val="00706AA6"/>
    <w:rsid w:val="00706D45"/>
    <w:rsid w:val="00706E5C"/>
    <w:rsid w:val="00707D34"/>
    <w:rsid w:val="00707D5C"/>
    <w:rsid w:val="00707DFE"/>
    <w:rsid w:val="007100B6"/>
    <w:rsid w:val="0071077F"/>
    <w:rsid w:val="0071079D"/>
    <w:rsid w:val="007108C3"/>
    <w:rsid w:val="00710A60"/>
    <w:rsid w:val="00710FD3"/>
    <w:rsid w:val="007114A9"/>
    <w:rsid w:val="007117F0"/>
    <w:rsid w:val="00711C16"/>
    <w:rsid w:val="00711FD4"/>
    <w:rsid w:val="0071224F"/>
    <w:rsid w:val="0071245E"/>
    <w:rsid w:val="00712688"/>
    <w:rsid w:val="00712980"/>
    <w:rsid w:val="00712A1A"/>
    <w:rsid w:val="00712EE5"/>
    <w:rsid w:val="00712FFB"/>
    <w:rsid w:val="00713298"/>
    <w:rsid w:val="00713AAA"/>
    <w:rsid w:val="00713B8F"/>
    <w:rsid w:val="00713BED"/>
    <w:rsid w:val="0071404E"/>
    <w:rsid w:val="007141E7"/>
    <w:rsid w:val="0071429C"/>
    <w:rsid w:val="00714402"/>
    <w:rsid w:val="007145B1"/>
    <w:rsid w:val="007147DE"/>
    <w:rsid w:val="00714919"/>
    <w:rsid w:val="00715612"/>
    <w:rsid w:val="00715655"/>
    <w:rsid w:val="007159D6"/>
    <w:rsid w:val="00715A1E"/>
    <w:rsid w:val="00716092"/>
    <w:rsid w:val="00716135"/>
    <w:rsid w:val="007168FB"/>
    <w:rsid w:val="0071731E"/>
    <w:rsid w:val="007174E1"/>
    <w:rsid w:val="00717527"/>
    <w:rsid w:val="00717645"/>
    <w:rsid w:val="00717ABC"/>
    <w:rsid w:val="00717C22"/>
    <w:rsid w:val="00717F24"/>
    <w:rsid w:val="00720518"/>
    <w:rsid w:val="0072095D"/>
    <w:rsid w:val="00720C54"/>
    <w:rsid w:val="007216F6"/>
    <w:rsid w:val="00721BE6"/>
    <w:rsid w:val="00721BED"/>
    <w:rsid w:val="00721C51"/>
    <w:rsid w:val="007220FA"/>
    <w:rsid w:val="007221E9"/>
    <w:rsid w:val="007222CF"/>
    <w:rsid w:val="0072230C"/>
    <w:rsid w:val="0072249E"/>
    <w:rsid w:val="0072267B"/>
    <w:rsid w:val="0072272F"/>
    <w:rsid w:val="007227AF"/>
    <w:rsid w:val="00722886"/>
    <w:rsid w:val="00722A4E"/>
    <w:rsid w:val="00722C3F"/>
    <w:rsid w:val="00722D46"/>
    <w:rsid w:val="00723150"/>
    <w:rsid w:val="00723185"/>
    <w:rsid w:val="007232C1"/>
    <w:rsid w:val="00723651"/>
    <w:rsid w:val="00723665"/>
    <w:rsid w:val="007236B5"/>
    <w:rsid w:val="00723FB6"/>
    <w:rsid w:val="00724074"/>
    <w:rsid w:val="0072436D"/>
    <w:rsid w:val="0072442D"/>
    <w:rsid w:val="00724467"/>
    <w:rsid w:val="007245CB"/>
    <w:rsid w:val="00724924"/>
    <w:rsid w:val="00724BE0"/>
    <w:rsid w:val="00725196"/>
    <w:rsid w:val="007251D9"/>
    <w:rsid w:val="00725AC6"/>
    <w:rsid w:val="00725DC9"/>
    <w:rsid w:val="0072613E"/>
    <w:rsid w:val="007263DB"/>
    <w:rsid w:val="00727046"/>
    <w:rsid w:val="00727271"/>
    <w:rsid w:val="00727496"/>
    <w:rsid w:val="00727551"/>
    <w:rsid w:val="00727721"/>
    <w:rsid w:val="007277F9"/>
    <w:rsid w:val="00727CEF"/>
    <w:rsid w:val="00730238"/>
    <w:rsid w:val="00730533"/>
    <w:rsid w:val="00730A89"/>
    <w:rsid w:val="00730B23"/>
    <w:rsid w:val="00730CF5"/>
    <w:rsid w:val="00731357"/>
    <w:rsid w:val="007315F3"/>
    <w:rsid w:val="0073163F"/>
    <w:rsid w:val="00731B82"/>
    <w:rsid w:val="007322F8"/>
    <w:rsid w:val="007323BC"/>
    <w:rsid w:val="007324C6"/>
    <w:rsid w:val="0073250A"/>
    <w:rsid w:val="00732860"/>
    <w:rsid w:val="00733052"/>
    <w:rsid w:val="0073307E"/>
    <w:rsid w:val="0073316A"/>
    <w:rsid w:val="00733BCD"/>
    <w:rsid w:val="0073413F"/>
    <w:rsid w:val="007341F3"/>
    <w:rsid w:val="00734332"/>
    <w:rsid w:val="007344AF"/>
    <w:rsid w:val="007346AE"/>
    <w:rsid w:val="00734B6A"/>
    <w:rsid w:val="00734CAD"/>
    <w:rsid w:val="00734CFB"/>
    <w:rsid w:val="0073502E"/>
    <w:rsid w:val="007355A5"/>
    <w:rsid w:val="0073563D"/>
    <w:rsid w:val="007358C3"/>
    <w:rsid w:val="00735985"/>
    <w:rsid w:val="0073614F"/>
    <w:rsid w:val="007363ED"/>
    <w:rsid w:val="0073652E"/>
    <w:rsid w:val="007365BF"/>
    <w:rsid w:val="00736844"/>
    <w:rsid w:val="00736A41"/>
    <w:rsid w:val="00736A50"/>
    <w:rsid w:val="00736AAB"/>
    <w:rsid w:val="00736D2A"/>
    <w:rsid w:val="00736F9A"/>
    <w:rsid w:val="00736FF6"/>
    <w:rsid w:val="00737503"/>
    <w:rsid w:val="007377F4"/>
    <w:rsid w:val="007379EA"/>
    <w:rsid w:val="0074013E"/>
    <w:rsid w:val="007406F7"/>
    <w:rsid w:val="007407B9"/>
    <w:rsid w:val="007408E6"/>
    <w:rsid w:val="00740918"/>
    <w:rsid w:val="00740A97"/>
    <w:rsid w:val="00740D6F"/>
    <w:rsid w:val="00740F11"/>
    <w:rsid w:val="0074103D"/>
    <w:rsid w:val="007411CE"/>
    <w:rsid w:val="007411EF"/>
    <w:rsid w:val="00741372"/>
    <w:rsid w:val="00741579"/>
    <w:rsid w:val="007417DD"/>
    <w:rsid w:val="007419C0"/>
    <w:rsid w:val="00741C77"/>
    <w:rsid w:val="00741CEF"/>
    <w:rsid w:val="00741D99"/>
    <w:rsid w:val="007422CE"/>
    <w:rsid w:val="0074267C"/>
    <w:rsid w:val="007429B3"/>
    <w:rsid w:val="00742F26"/>
    <w:rsid w:val="00743222"/>
    <w:rsid w:val="00743228"/>
    <w:rsid w:val="0074324C"/>
    <w:rsid w:val="00743A9D"/>
    <w:rsid w:val="00743DF8"/>
    <w:rsid w:val="00744339"/>
    <w:rsid w:val="007444A3"/>
    <w:rsid w:val="007444E1"/>
    <w:rsid w:val="00744C8E"/>
    <w:rsid w:val="00744E68"/>
    <w:rsid w:val="00744ED6"/>
    <w:rsid w:val="00744F35"/>
    <w:rsid w:val="0074520C"/>
    <w:rsid w:val="0074540C"/>
    <w:rsid w:val="007459CA"/>
    <w:rsid w:val="00745A10"/>
    <w:rsid w:val="007460D9"/>
    <w:rsid w:val="0074635A"/>
    <w:rsid w:val="00746516"/>
    <w:rsid w:val="0074663C"/>
    <w:rsid w:val="00746C0A"/>
    <w:rsid w:val="00746E34"/>
    <w:rsid w:val="00746E68"/>
    <w:rsid w:val="00746EFA"/>
    <w:rsid w:val="00746FA4"/>
    <w:rsid w:val="00747269"/>
    <w:rsid w:val="00747656"/>
    <w:rsid w:val="007478C3"/>
    <w:rsid w:val="007479FD"/>
    <w:rsid w:val="007506CB"/>
    <w:rsid w:val="00750AB0"/>
    <w:rsid w:val="00750FC9"/>
    <w:rsid w:val="00751034"/>
    <w:rsid w:val="007516D3"/>
    <w:rsid w:val="0075197D"/>
    <w:rsid w:val="007519E4"/>
    <w:rsid w:val="00751B2B"/>
    <w:rsid w:val="00751CCD"/>
    <w:rsid w:val="0075295D"/>
    <w:rsid w:val="00752CE1"/>
    <w:rsid w:val="00752D2F"/>
    <w:rsid w:val="00752EB3"/>
    <w:rsid w:val="0075358F"/>
    <w:rsid w:val="00753765"/>
    <w:rsid w:val="00753D40"/>
    <w:rsid w:val="00753DA8"/>
    <w:rsid w:val="00754115"/>
    <w:rsid w:val="00754234"/>
    <w:rsid w:val="007543DC"/>
    <w:rsid w:val="007549C2"/>
    <w:rsid w:val="00754C3B"/>
    <w:rsid w:val="00755566"/>
    <w:rsid w:val="007555F8"/>
    <w:rsid w:val="00755C4D"/>
    <w:rsid w:val="00756569"/>
    <w:rsid w:val="00756E26"/>
    <w:rsid w:val="007573E0"/>
    <w:rsid w:val="00757E54"/>
    <w:rsid w:val="00757ECB"/>
    <w:rsid w:val="007600A4"/>
    <w:rsid w:val="007606C4"/>
    <w:rsid w:val="007608D8"/>
    <w:rsid w:val="00760C6C"/>
    <w:rsid w:val="00760D10"/>
    <w:rsid w:val="0076110E"/>
    <w:rsid w:val="00761115"/>
    <w:rsid w:val="00761234"/>
    <w:rsid w:val="007615B5"/>
    <w:rsid w:val="0076229B"/>
    <w:rsid w:val="0076236A"/>
    <w:rsid w:val="0076236E"/>
    <w:rsid w:val="0076261C"/>
    <w:rsid w:val="00762A8D"/>
    <w:rsid w:val="00762C76"/>
    <w:rsid w:val="00762DFC"/>
    <w:rsid w:val="00762E0F"/>
    <w:rsid w:val="0076370D"/>
    <w:rsid w:val="00763934"/>
    <w:rsid w:val="00763C3C"/>
    <w:rsid w:val="00763E87"/>
    <w:rsid w:val="007641B6"/>
    <w:rsid w:val="00764214"/>
    <w:rsid w:val="0076482E"/>
    <w:rsid w:val="00764B79"/>
    <w:rsid w:val="00764D6C"/>
    <w:rsid w:val="00764E79"/>
    <w:rsid w:val="007651DD"/>
    <w:rsid w:val="00765347"/>
    <w:rsid w:val="0076540A"/>
    <w:rsid w:val="00765533"/>
    <w:rsid w:val="0076559A"/>
    <w:rsid w:val="007656BA"/>
    <w:rsid w:val="007657F1"/>
    <w:rsid w:val="00765936"/>
    <w:rsid w:val="00765A69"/>
    <w:rsid w:val="00765B89"/>
    <w:rsid w:val="00765F08"/>
    <w:rsid w:val="00766062"/>
    <w:rsid w:val="007662BD"/>
    <w:rsid w:val="00766914"/>
    <w:rsid w:val="007669B0"/>
    <w:rsid w:val="00766F2B"/>
    <w:rsid w:val="0076722D"/>
    <w:rsid w:val="007676D5"/>
    <w:rsid w:val="00767766"/>
    <w:rsid w:val="00767B77"/>
    <w:rsid w:val="00767DF1"/>
    <w:rsid w:val="00767E16"/>
    <w:rsid w:val="00767ECD"/>
    <w:rsid w:val="00770262"/>
    <w:rsid w:val="00770354"/>
    <w:rsid w:val="00770E7D"/>
    <w:rsid w:val="00771472"/>
    <w:rsid w:val="0077194D"/>
    <w:rsid w:val="00771B94"/>
    <w:rsid w:val="00772A28"/>
    <w:rsid w:val="00772AC3"/>
    <w:rsid w:val="00772BA8"/>
    <w:rsid w:val="00772C3D"/>
    <w:rsid w:val="00772DC3"/>
    <w:rsid w:val="00772F02"/>
    <w:rsid w:val="00772F2A"/>
    <w:rsid w:val="00772FB5"/>
    <w:rsid w:val="00773045"/>
    <w:rsid w:val="00773236"/>
    <w:rsid w:val="007732F1"/>
    <w:rsid w:val="007733D9"/>
    <w:rsid w:val="007734E7"/>
    <w:rsid w:val="007737B4"/>
    <w:rsid w:val="007737E0"/>
    <w:rsid w:val="007742B0"/>
    <w:rsid w:val="00774AF1"/>
    <w:rsid w:val="0077524D"/>
    <w:rsid w:val="007754DD"/>
    <w:rsid w:val="00775858"/>
    <w:rsid w:val="00775A75"/>
    <w:rsid w:val="00775A9A"/>
    <w:rsid w:val="00776E5F"/>
    <w:rsid w:val="00777152"/>
    <w:rsid w:val="007772CB"/>
    <w:rsid w:val="007772CC"/>
    <w:rsid w:val="007777F1"/>
    <w:rsid w:val="00777BBD"/>
    <w:rsid w:val="00777D33"/>
    <w:rsid w:val="0078007F"/>
    <w:rsid w:val="00780336"/>
    <w:rsid w:val="00780462"/>
    <w:rsid w:val="007805D5"/>
    <w:rsid w:val="00780807"/>
    <w:rsid w:val="00780BE7"/>
    <w:rsid w:val="00780C4A"/>
    <w:rsid w:val="00781168"/>
    <w:rsid w:val="00781259"/>
    <w:rsid w:val="00781343"/>
    <w:rsid w:val="00781515"/>
    <w:rsid w:val="00781565"/>
    <w:rsid w:val="007816BD"/>
    <w:rsid w:val="00781BFC"/>
    <w:rsid w:val="007820E2"/>
    <w:rsid w:val="00782744"/>
    <w:rsid w:val="0078286C"/>
    <w:rsid w:val="00782A6C"/>
    <w:rsid w:val="00782C88"/>
    <w:rsid w:val="00783018"/>
    <w:rsid w:val="007830B2"/>
    <w:rsid w:val="007835FC"/>
    <w:rsid w:val="00783861"/>
    <w:rsid w:val="0078390B"/>
    <w:rsid w:val="00783CD2"/>
    <w:rsid w:val="00783F24"/>
    <w:rsid w:val="00783FDE"/>
    <w:rsid w:val="0078401E"/>
    <w:rsid w:val="00784035"/>
    <w:rsid w:val="0078410A"/>
    <w:rsid w:val="0078435D"/>
    <w:rsid w:val="0078480B"/>
    <w:rsid w:val="0078499C"/>
    <w:rsid w:val="007850CE"/>
    <w:rsid w:val="007853B1"/>
    <w:rsid w:val="007853DC"/>
    <w:rsid w:val="00785746"/>
    <w:rsid w:val="007858EB"/>
    <w:rsid w:val="00786020"/>
    <w:rsid w:val="0078698E"/>
    <w:rsid w:val="00786B91"/>
    <w:rsid w:val="00786FE1"/>
    <w:rsid w:val="00787718"/>
    <w:rsid w:val="007879F4"/>
    <w:rsid w:val="00787C45"/>
    <w:rsid w:val="00787D0F"/>
    <w:rsid w:val="00787D22"/>
    <w:rsid w:val="00787DE4"/>
    <w:rsid w:val="00787E43"/>
    <w:rsid w:val="00790074"/>
    <w:rsid w:val="007902F3"/>
    <w:rsid w:val="00790416"/>
    <w:rsid w:val="00790B12"/>
    <w:rsid w:val="00790B7B"/>
    <w:rsid w:val="00790FF0"/>
    <w:rsid w:val="007914A7"/>
    <w:rsid w:val="007916BB"/>
    <w:rsid w:val="00791A48"/>
    <w:rsid w:val="00791B60"/>
    <w:rsid w:val="00791BE0"/>
    <w:rsid w:val="00791E84"/>
    <w:rsid w:val="007921B3"/>
    <w:rsid w:val="00792662"/>
    <w:rsid w:val="00792832"/>
    <w:rsid w:val="0079283F"/>
    <w:rsid w:val="00792979"/>
    <w:rsid w:val="00792C8E"/>
    <w:rsid w:val="00792D63"/>
    <w:rsid w:val="00792F1F"/>
    <w:rsid w:val="00793133"/>
    <w:rsid w:val="0079318D"/>
    <w:rsid w:val="007932C1"/>
    <w:rsid w:val="007933E7"/>
    <w:rsid w:val="0079353B"/>
    <w:rsid w:val="0079386A"/>
    <w:rsid w:val="00793C0F"/>
    <w:rsid w:val="00793EC5"/>
    <w:rsid w:val="007941A1"/>
    <w:rsid w:val="00794410"/>
    <w:rsid w:val="00794681"/>
    <w:rsid w:val="00794BF3"/>
    <w:rsid w:val="00794E41"/>
    <w:rsid w:val="00794F4B"/>
    <w:rsid w:val="00795305"/>
    <w:rsid w:val="00795992"/>
    <w:rsid w:val="0079599F"/>
    <w:rsid w:val="00795AB1"/>
    <w:rsid w:val="00795B1F"/>
    <w:rsid w:val="00795B2C"/>
    <w:rsid w:val="00795D85"/>
    <w:rsid w:val="00795E37"/>
    <w:rsid w:val="00795EF4"/>
    <w:rsid w:val="00796422"/>
    <w:rsid w:val="007965C8"/>
    <w:rsid w:val="00796968"/>
    <w:rsid w:val="007969DC"/>
    <w:rsid w:val="00796A8E"/>
    <w:rsid w:val="00796D97"/>
    <w:rsid w:val="00797036"/>
    <w:rsid w:val="00797111"/>
    <w:rsid w:val="00797226"/>
    <w:rsid w:val="00797358"/>
    <w:rsid w:val="007977F9"/>
    <w:rsid w:val="00797F4B"/>
    <w:rsid w:val="007A03C4"/>
    <w:rsid w:val="007A0901"/>
    <w:rsid w:val="007A1318"/>
    <w:rsid w:val="007A13A5"/>
    <w:rsid w:val="007A1549"/>
    <w:rsid w:val="007A156B"/>
    <w:rsid w:val="007A196D"/>
    <w:rsid w:val="007A19D6"/>
    <w:rsid w:val="007A1EB9"/>
    <w:rsid w:val="007A2090"/>
    <w:rsid w:val="007A215F"/>
    <w:rsid w:val="007A2343"/>
    <w:rsid w:val="007A2494"/>
    <w:rsid w:val="007A278F"/>
    <w:rsid w:val="007A2BB2"/>
    <w:rsid w:val="007A2C69"/>
    <w:rsid w:val="007A2D59"/>
    <w:rsid w:val="007A2EA3"/>
    <w:rsid w:val="007A311E"/>
    <w:rsid w:val="007A3250"/>
    <w:rsid w:val="007A32A3"/>
    <w:rsid w:val="007A34E2"/>
    <w:rsid w:val="007A3BF8"/>
    <w:rsid w:val="007A413F"/>
    <w:rsid w:val="007A42EF"/>
    <w:rsid w:val="007A4518"/>
    <w:rsid w:val="007A4633"/>
    <w:rsid w:val="007A4888"/>
    <w:rsid w:val="007A4F17"/>
    <w:rsid w:val="007A51BB"/>
    <w:rsid w:val="007A5254"/>
    <w:rsid w:val="007A5368"/>
    <w:rsid w:val="007A536B"/>
    <w:rsid w:val="007A571D"/>
    <w:rsid w:val="007A586A"/>
    <w:rsid w:val="007A5B2B"/>
    <w:rsid w:val="007A5CC0"/>
    <w:rsid w:val="007A5E64"/>
    <w:rsid w:val="007A6005"/>
    <w:rsid w:val="007A614B"/>
    <w:rsid w:val="007A66B8"/>
    <w:rsid w:val="007A6771"/>
    <w:rsid w:val="007A6772"/>
    <w:rsid w:val="007A6D52"/>
    <w:rsid w:val="007A6E27"/>
    <w:rsid w:val="007A6E55"/>
    <w:rsid w:val="007A6E99"/>
    <w:rsid w:val="007A6F6C"/>
    <w:rsid w:val="007A712B"/>
    <w:rsid w:val="007A742A"/>
    <w:rsid w:val="007A7525"/>
    <w:rsid w:val="007A7528"/>
    <w:rsid w:val="007A77E9"/>
    <w:rsid w:val="007A78A7"/>
    <w:rsid w:val="007A7911"/>
    <w:rsid w:val="007A791A"/>
    <w:rsid w:val="007A7BAE"/>
    <w:rsid w:val="007A7C37"/>
    <w:rsid w:val="007A7E54"/>
    <w:rsid w:val="007A7ED8"/>
    <w:rsid w:val="007B008E"/>
    <w:rsid w:val="007B00DA"/>
    <w:rsid w:val="007B134B"/>
    <w:rsid w:val="007B14A5"/>
    <w:rsid w:val="007B15B9"/>
    <w:rsid w:val="007B18F3"/>
    <w:rsid w:val="007B1A9F"/>
    <w:rsid w:val="007B1E5D"/>
    <w:rsid w:val="007B2B02"/>
    <w:rsid w:val="007B2BAF"/>
    <w:rsid w:val="007B3131"/>
    <w:rsid w:val="007B32E9"/>
    <w:rsid w:val="007B3AC6"/>
    <w:rsid w:val="007B3D3D"/>
    <w:rsid w:val="007B4B5F"/>
    <w:rsid w:val="007B5037"/>
    <w:rsid w:val="007B5ECA"/>
    <w:rsid w:val="007B61F2"/>
    <w:rsid w:val="007B62EC"/>
    <w:rsid w:val="007B674A"/>
    <w:rsid w:val="007B6847"/>
    <w:rsid w:val="007B6885"/>
    <w:rsid w:val="007B68CA"/>
    <w:rsid w:val="007B6EF2"/>
    <w:rsid w:val="007B6EFF"/>
    <w:rsid w:val="007B6F0F"/>
    <w:rsid w:val="007B703A"/>
    <w:rsid w:val="007B7139"/>
    <w:rsid w:val="007B7932"/>
    <w:rsid w:val="007B7937"/>
    <w:rsid w:val="007B7BCD"/>
    <w:rsid w:val="007C0120"/>
    <w:rsid w:val="007C02EB"/>
    <w:rsid w:val="007C0A05"/>
    <w:rsid w:val="007C1336"/>
    <w:rsid w:val="007C136E"/>
    <w:rsid w:val="007C14AF"/>
    <w:rsid w:val="007C16C0"/>
    <w:rsid w:val="007C181D"/>
    <w:rsid w:val="007C1936"/>
    <w:rsid w:val="007C197B"/>
    <w:rsid w:val="007C1AC4"/>
    <w:rsid w:val="007C1D6B"/>
    <w:rsid w:val="007C1D7E"/>
    <w:rsid w:val="007C252D"/>
    <w:rsid w:val="007C28FD"/>
    <w:rsid w:val="007C297B"/>
    <w:rsid w:val="007C29F7"/>
    <w:rsid w:val="007C2B49"/>
    <w:rsid w:val="007C2DEB"/>
    <w:rsid w:val="007C2DF3"/>
    <w:rsid w:val="007C31D8"/>
    <w:rsid w:val="007C3222"/>
    <w:rsid w:val="007C324F"/>
    <w:rsid w:val="007C33E6"/>
    <w:rsid w:val="007C3712"/>
    <w:rsid w:val="007C385D"/>
    <w:rsid w:val="007C3880"/>
    <w:rsid w:val="007C3EEC"/>
    <w:rsid w:val="007C4185"/>
    <w:rsid w:val="007C4480"/>
    <w:rsid w:val="007C4605"/>
    <w:rsid w:val="007C4719"/>
    <w:rsid w:val="007C4780"/>
    <w:rsid w:val="007C4920"/>
    <w:rsid w:val="007C4C16"/>
    <w:rsid w:val="007C4C62"/>
    <w:rsid w:val="007C5499"/>
    <w:rsid w:val="007C5628"/>
    <w:rsid w:val="007C59CE"/>
    <w:rsid w:val="007C5AD3"/>
    <w:rsid w:val="007C5B9F"/>
    <w:rsid w:val="007C5D1E"/>
    <w:rsid w:val="007C5FDB"/>
    <w:rsid w:val="007C691C"/>
    <w:rsid w:val="007C695A"/>
    <w:rsid w:val="007C70A5"/>
    <w:rsid w:val="007C75F6"/>
    <w:rsid w:val="007C78B7"/>
    <w:rsid w:val="007C7A51"/>
    <w:rsid w:val="007C7AF5"/>
    <w:rsid w:val="007C7E20"/>
    <w:rsid w:val="007D018E"/>
    <w:rsid w:val="007D032E"/>
    <w:rsid w:val="007D0739"/>
    <w:rsid w:val="007D0CE5"/>
    <w:rsid w:val="007D13E8"/>
    <w:rsid w:val="007D14B9"/>
    <w:rsid w:val="007D1655"/>
    <w:rsid w:val="007D1C44"/>
    <w:rsid w:val="007D29C9"/>
    <w:rsid w:val="007D2D61"/>
    <w:rsid w:val="007D2E6A"/>
    <w:rsid w:val="007D3084"/>
    <w:rsid w:val="007D30FA"/>
    <w:rsid w:val="007D3771"/>
    <w:rsid w:val="007D3BCA"/>
    <w:rsid w:val="007D3C6E"/>
    <w:rsid w:val="007D3E8F"/>
    <w:rsid w:val="007D43BD"/>
    <w:rsid w:val="007D481A"/>
    <w:rsid w:val="007D48F0"/>
    <w:rsid w:val="007D5068"/>
    <w:rsid w:val="007D539B"/>
    <w:rsid w:val="007D53A8"/>
    <w:rsid w:val="007D586B"/>
    <w:rsid w:val="007D5A83"/>
    <w:rsid w:val="007D5E0A"/>
    <w:rsid w:val="007D5F30"/>
    <w:rsid w:val="007D642C"/>
    <w:rsid w:val="007D678C"/>
    <w:rsid w:val="007D68E7"/>
    <w:rsid w:val="007D6D83"/>
    <w:rsid w:val="007D6E6A"/>
    <w:rsid w:val="007D6FE9"/>
    <w:rsid w:val="007D7251"/>
    <w:rsid w:val="007D75E7"/>
    <w:rsid w:val="007D7C7B"/>
    <w:rsid w:val="007E0483"/>
    <w:rsid w:val="007E05FD"/>
    <w:rsid w:val="007E0ABA"/>
    <w:rsid w:val="007E0BEC"/>
    <w:rsid w:val="007E0C0F"/>
    <w:rsid w:val="007E10F7"/>
    <w:rsid w:val="007E171C"/>
    <w:rsid w:val="007E17F7"/>
    <w:rsid w:val="007E18FA"/>
    <w:rsid w:val="007E19D1"/>
    <w:rsid w:val="007E19D6"/>
    <w:rsid w:val="007E1A0B"/>
    <w:rsid w:val="007E1C05"/>
    <w:rsid w:val="007E1C85"/>
    <w:rsid w:val="007E1F14"/>
    <w:rsid w:val="007E20DC"/>
    <w:rsid w:val="007E2248"/>
    <w:rsid w:val="007E2575"/>
    <w:rsid w:val="007E26B7"/>
    <w:rsid w:val="007E28DF"/>
    <w:rsid w:val="007E304E"/>
    <w:rsid w:val="007E34F2"/>
    <w:rsid w:val="007E36B0"/>
    <w:rsid w:val="007E37C5"/>
    <w:rsid w:val="007E392E"/>
    <w:rsid w:val="007E3BBA"/>
    <w:rsid w:val="007E3D89"/>
    <w:rsid w:val="007E3F7F"/>
    <w:rsid w:val="007E42FF"/>
    <w:rsid w:val="007E46A2"/>
    <w:rsid w:val="007E46AE"/>
    <w:rsid w:val="007E46BB"/>
    <w:rsid w:val="007E4833"/>
    <w:rsid w:val="007E512D"/>
    <w:rsid w:val="007E5210"/>
    <w:rsid w:val="007E529B"/>
    <w:rsid w:val="007E53C0"/>
    <w:rsid w:val="007E57BB"/>
    <w:rsid w:val="007E5AE0"/>
    <w:rsid w:val="007E5BD4"/>
    <w:rsid w:val="007E5DAA"/>
    <w:rsid w:val="007E5F14"/>
    <w:rsid w:val="007E615E"/>
    <w:rsid w:val="007E649B"/>
    <w:rsid w:val="007E6612"/>
    <w:rsid w:val="007E666D"/>
    <w:rsid w:val="007E66B0"/>
    <w:rsid w:val="007E678E"/>
    <w:rsid w:val="007E6854"/>
    <w:rsid w:val="007E69D7"/>
    <w:rsid w:val="007E6E66"/>
    <w:rsid w:val="007E7AFA"/>
    <w:rsid w:val="007E7B71"/>
    <w:rsid w:val="007E7CDE"/>
    <w:rsid w:val="007F039A"/>
    <w:rsid w:val="007F068A"/>
    <w:rsid w:val="007F0753"/>
    <w:rsid w:val="007F0A5F"/>
    <w:rsid w:val="007F0A69"/>
    <w:rsid w:val="007F161A"/>
    <w:rsid w:val="007F2002"/>
    <w:rsid w:val="007F21B9"/>
    <w:rsid w:val="007F229E"/>
    <w:rsid w:val="007F23CE"/>
    <w:rsid w:val="007F261A"/>
    <w:rsid w:val="007F280F"/>
    <w:rsid w:val="007F2861"/>
    <w:rsid w:val="007F30EB"/>
    <w:rsid w:val="007F31B0"/>
    <w:rsid w:val="007F3227"/>
    <w:rsid w:val="007F3270"/>
    <w:rsid w:val="007F33F3"/>
    <w:rsid w:val="007F352E"/>
    <w:rsid w:val="007F3600"/>
    <w:rsid w:val="007F3BBB"/>
    <w:rsid w:val="007F3C8D"/>
    <w:rsid w:val="007F3D86"/>
    <w:rsid w:val="007F402D"/>
    <w:rsid w:val="007F408F"/>
    <w:rsid w:val="007F4192"/>
    <w:rsid w:val="007F4A1D"/>
    <w:rsid w:val="007F4B0F"/>
    <w:rsid w:val="007F4C08"/>
    <w:rsid w:val="007F4CFA"/>
    <w:rsid w:val="007F55BE"/>
    <w:rsid w:val="007F56FF"/>
    <w:rsid w:val="007F5959"/>
    <w:rsid w:val="007F621D"/>
    <w:rsid w:val="007F6349"/>
    <w:rsid w:val="007F64EF"/>
    <w:rsid w:val="007F6537"/>
    <w:rsid w:val="007F687C"/>
    <w:rsid w:val="007F6AEC"/>
    <w:rsid w:val="007F6BE4"/>
    <w:rsid w:val="007F6EBC"/>
    <w:rsid w:val="007F77AA"/>
    <w:rsid w:val="007F7AE8"/>
    <w:rsid w:val="007F7D39"/>
    <w:rsid w:val="007F7EEE"/>
    <w:rsid w:val="00800427"/>
    <w:rsid w:val="008009A9"/>
    <w:rsid w:val="00800B95"/>
    <w:rsid w:val="00800C03"/>
    <w:rsid w:val="00800EEF"/>
    <w:rsid w:val="008012A2"/>
    <w:rsid w:val="00801705"/>
    <w:rsid w:val="00801BDE"/>
    <w:rsid w:val="00801BEA"/>
    <w:rsid w:val="00801C68"/>
    <w:rsid w:val="00801F92"/>
    <w:rsid w:val="008021C3"/>
    <w:rsid w:val="00802769"/>
    <w:rsid w:val="00802823"/>
    <w:rsid w:val="008028BE"/>
    <w:rsid w:val="00802A13"/>
    <w:rsid w:val="00802A59"/>
    <w:rsid w:val="00802B17"/>
    <w:rsid w:val="00802C43"/>
    <w:rsid w:val="00803426"/>
    <w:rsid w:val="0080345F"/>
    <w:rsid w:val="008034CA"/>
    <w:rsid w:val="00803579"/>
    <w:rsid w:val="00804048"/>
    <w:rsid w:val="008040A9"/>
    <w:rsid w:val="0080437F"/>
    <w:rsid w:val="00805379"/>
    <w:rsid w:val="00805393"/>
    <w:rsid w:val="0080543C"/>
    <w:rsid w:val="008054D0"/>
    <w:rsid w:val="00805710"/>
    <w:rsid w:val="00805B2F"/>
    <w:rsid w:val="00805F1F"/>
    <w:rsid w:val="00805F5D"/>
    <w:rsid w:val="0080697C"/>
    <w:rsid w:val="00806B53"/>
    <w:rsid w:val="00806F37"/>
    <w:rsid w:val="00806F4D"/>
    <w:rsid w:val="0080724A"/>
    <w:rsid w:val="008075B4"/>
    <w:rsid w:val="00807822"/>
    <w:rsid w:val="00807E8C"/>
    <w:rsid w:val="00810149"/>
    <w:rsid w:val="0081058F"/>
    <w:rsid w:val="00810B73"/>
    <w:rsid w:val="00810E12"/>
    <w:rsid w:val="00810F2C"/>
    <w:rsid w:val="00811224"/>
    <w:rsid w:val="0081124A"/>
    <w:rsid w:val="00811324"/>
    <w:rsid w:val="008113D6"/>
    <w:rsid w:val="00811EB7"/>
    <w:rsid w:val="0081211F"/>
    <w:rsid w:val="008122FA"/>
    <w:rsid w:val="008125D6"/>
    <w:rsid w:val="00812EED"/>
    <w:rsid w:val="008131A6"/>
    <w:rsid w:val="00813A18"/>
    <w:rsid w:val="00813A9D"/>
    <w:rsid w:val="008142A6"/>
    <w:rsid w:val="00814933"/>
    <w:rsid w:val="00814C8E"/>
    <w:rsid w:val="00814D28"/>
    <w:rsid w:val="008153B8"/>
    <w:rsid w:val="00815743"/>
    <w:rsid w:val="00815855"/>
    <w:rsid w:val="008162CC"/>
    <w:rsid w:val="008168B3"/>
    <w:rsid w:val="00816935"/>
    <w:rsid w:val="00816A88"/>
    <w:rsid w:val="00816CDA"/>
    <w:rsid w:val="00816CF9"/>
    <w:rsid w:val="00816FB8"/>
    <w:rsid w:val="0081737C"/>
    <w:rsid w:val="00817C21"/>
    <w:rsid w:val="008200DC"/>
    <w:rsid w:val="008205C0"/>
    <w:rsid w:val="00820803"/>
    <w:rsid w:val="008209E7"/>
    <w:rsid w:val="00820A7F"/>
    <w:rsid w:val="00820C92"/>
    <w:rsid w:val="008215C6"/>
    <w:rsid w:val="00821991"/>
    <w:rsid w:val="00821CC2"/>
    <w:rsid w:val="008228CF"/>
    <w:rsid w:val="00822AA9"/>
    <w:rsid w:val="00822D21"/>
    <w:rsid w:val="00822FB1"/>
    <w:rsid w:val="008231D7"/>
    <w:rsid w:val="00823BEC"/>
    <w:rsid w:val="00823F7A"/>
    <w:rsid w:val="0082407E"/>
    <w:rsid w:val="008240A8"/>
    <w:rsid w:val="00824AA9"/>
    <w:rsid w:val="00824D61"/>
    <w:rsid w:val="00824F9A"/>
    <w:rsid w:val="008250B8"/>
    <w:rsid w:val="00825244"/>
    <w:rsid w:val="008258D4"/>
    <w:rsid w:val="0082599A"/>
    <w:rsid w:val="00825B48"/>
    <w:rsid w:val="00825B4E"/>
    <w:rsid w:val="00825DCF"/>
    <w:rsid w:val="00825FF6"/>
    <w:rsid w:val="00826095"/>
    <w:rsid w:val="008260E8"/>
    <w:rsid w:val="0082619E"/>
    <w:rsid w:val="008264C8"/>
    <w:rsid w:val="00826544"/>
    <w:rsid w:val="0082670B"/>
    <w:rsid w:val="00826DD4"/>
    <w:rsid w:val="00826ECD"/>
    <w:rsid w:val="00827040"/>
    <w:rsid w:val="008275EF"/>
    <w:rsid w:val="00827FD9"/>
    <w:rsid w:val="0083018B"/>
    <w:rsid w:val="00830463"/>
    <w:rsid w:val="00830711"/>
    <w:rsid w:val="008307B4"/>
    <w:rsid w:val="00831590"/>
    <w:rsid w:val="00831742"/>
    <w:rsid w:val="00831900"/>
    <w:rsid w:val="00831DA7"/>
    <w:rsid w:val="00832158"/>
    <w:rsid w:val="00832324"/>
    <w:rsid w:val="008326AC"/>
    <w:rsid w:val="0083277E"/>
    <w:rsid w:val="00832C9E"/>
    <w:rsid w:val="00832DAB"/>
    <w:rsid w:val="008331BE"/>
    <w:rsid w:val="008332C5"/>
    <w:rsid w:val="008333FC"/>
    <w:rsid w:val="00833C4B"/>
    <w:rsid w:val="00833EBD"/>
    <w:rsid w:val="00833ED5"/>
    <w:rsid w:val="0083421B"/>
    <w:rsid w:val="008342B8"/>
    <w:rsid w:val="00834A43"/>
    <w:rsid w:val="00834C4E"/>
    <w:rsid w:val="00834E2F"/>
    <w:rsid w:val="0083501D"/>
    <w:rsid w:val="00835425"/>
    <w:rsid w:val="0083554B"/>
    <w:rsid w:val="0083558D"/>
    <w:rsid w:val="00835605"/>
    <w:rsid w:val="00835800"/>
    <w:rsid w:val="00835A0F"/>
    <w:rsid w:val="00835F6D"/>
    <w:rsid w:val="0083663C"/>
    <w:rsid w:val="00836669"/>
    <w:rsid w:val="00836679"/>
    <w:rsid w:val="00836797"/>
    <w:rsid w:val="00836801"/>
    <w:rsid w:val="00836920"/>
    <w:rsid w:val="00836AA8"/>
    <w:rsid w:val="00836F30"/>
    <w:rsid w:val="0083712E"/>
    <w:rsid w:val="00837703"/>
    <w:rsid w:val="0083777B"/>
    <w:rsid w:val="00837974"/>
    <w:rsid w:val="0083797C"/>
    <w:rsid w:val="00837A9F"/>
    <w:rsid w:val="00837F18"/>
    <w:rsid w:val="008402F1"/>
    <w:rsid w:val="008403F5"/>
    <w:rsid w:val="00840857"/>
    <w:rsid w:val="00840D07"/>
    <w:rsid w:val="00840FE8"/>
    <w:rsid w:val="008415CD"/>
    <w:rsid w:val="008416AF"/>
    <w:rsid w:val="00841870"/>
    <w:rsid w:val="0084195C"/>
    <w:rsid w:val="00841BB2"/>
    <w:rsid w:val="00841E58"/>
    <w:rsid w:val="008422B8"/>
    <w:rsid w:val="00842798"/>
    <w:rsid w:val="00842999"/>
    <w:rsid w:val="00842B6C"/>
    <w:rsid w:val="00842E89"/>
    <w:rsid w:val="00842EEE"/>
    <w:rsid w:val="0084345A"/>
    <w:rsid w:val="0084357D"/>
    <w:rsid w:val="0084374C"/>
    <w:rsid w:val="008439F6"/>
    <w:rsid w:val="00843C33"/>
    <w:rsid w:val="008440DA"/>
    <w:rsid w:val="008441C6"/>
    <w:rsid w:val="00844574"/>
    <w:rsid w:val="008446CE"/>
    <w:rsid w:val="00844846"/>
    <w:rsid w:val="008449B1"/>
    <w:rsid w:val="00844C55"/>
    <w:rsid w:val="00844E1B"/>
    <w:rsid w:val="00844E40"/>
    <w:rsid w:val="008451F5"/>
    <w:rsid w:val="0084522E"/>
    <w:rsid w:val="00845690"/>
    <w:rsid w:val="00845823"/>
    <w:rsid w:val="00845A6D"/>
    <w:rsid w:val="00845D36"/>
    <w:rsid w:val="00845FF0"/>
    <w:rsid w:val="00846568"/>
    <w:rsid w:val="00846AC0"/>
    <w:rsid w:val="00846C6D"/>
    <w:rsid w:val="008470B8"/>
    <w:rsid w:val="008475B8"/>
    <w:rsid w:val="00847616"/>
    <w:rsid w:val="00847824"/>
    <w:rsid w:val="0084786F"/>
    <w:rsid w:val="00847DFC"/>
    <w:rsid w:val="00847E97"/>
    <w:rsid w:val="00850091"/>
    <w:rsid w:val="008500E3"/>
    <w:rsid w:val="00850153"/>
    <w:rsid w:val="0085035A"/>
    <w:rsid w:val="008508BC"/>
    <w:rsid w:val="008508E3"/>
    <w:rsid w:val="00850DD3"/>
    <w:rsid w:val="00850EE2"/>
    <w:rsid w:val="00850FD9"/>
    <w:rsid w:val="0085112B"/>
    <w:rsid w:val="00851374"/>
    <w:rsid w:val="00851657"/>
    <w:rsid w:val="00851854"/>
    <w:rsid w:val="008518E0"/>
    <w:rsid w:val="008518F0"/>
    <w:rsid w:val="00851B39"/>
    <w:rsid w:val="00852178"/>
    <w:rsid w:val="008522BB"/>
    <w:rsid w:val="008526DB"/>
    <w:rsid w:val="0085291F"/>
    <w:rsid w:val="00852981"/>
    <w:rsid w:val="00852BD6"/>
    <w:rsid w:val="00852E6A"/>
    <w:rsid w:val="0085377A"/>
    <w:rsid w:val="0085388E"/>
    <w:rsid w:val="008539F5"/>
    <w:rsid w:val="00853A2E"/>
    <w:rsid w:val="00853C2D"/>
    <w:rsid w:val="00853F1A"/>
    <w:rsid w:val="00853FF3"/>
    <w:rsid w:val="0085413D"/>
    <w:rsid w:val="00854225"/>
    <w:rsid w:val="00854326"/>
    <w:rsid w:val="00854350"/>
    <w:rsid w:val="008544B4"/>
    <w:rsid w:val="0085451D"/>
    <w:rsid w:val="00854AA0"/>
    <w:rsid w:val="00854EC8"/>
    <w:rsid w:val="008552E7"/>
    <w:rsid w:val="00855D3A"/>
    <w:rsid w:val="00855EE6"/>
    <w:rsid w:val="0085699F"/>
    <w:rsid w:val="008569BD"/>
    <w:rsid w:val="00856B46"/>
    <w:rsid w:val="00856FC3"/>
    <w:rsid w:val="00857243"/>
    <w:rsid w:val="00857718"/>
    <w:rsid w:val="008577D2"/>
    <w:rsid w:val="0085785D"/>
    <w:rsid w:val="00857A3D"/>
    <w:rsid w:val="00857AC5"/>
    <w:rsid w:val="00857B3D"/>
    <w:rsid w:val="00857BDA"/>
    <w:rsid w:val="00857E59"/>
    <w:rsid w:val="0086009D"/>
    <w:rsid w:val="0086012E"/>
    <w:rsid w:val="008603B4"/>
    <w:rsid w:val="0086042C"/>
    <w:rsid w:val="00860657"/>
    <w:rsid w:val="00860735"/>
    <w:rsid w:val="008609F4"/>
    <w:rsid w:val="00860AD5"/>
    <w:rsid w:val="008613B1"/>
    <w:rsid w:val="008613D3"/>
    <w:rsid w:val="00861579"/>
    <w:rsid w:val="008618EE"/>
    <w:rsid w:val="00861D5E"/>
    <w:rsid w:val="008622E2"/>
    <w:rsid w:val="00862A38"/>
    <w:rsid w:val="00862ACA"/>
    <w:rsid w:val="00863A64"/>
    <w:rsid w:val="00863D51"/>
    <w:rsid w:val="008640BE"/>
    <w:rsid w:val="008640CB"/>
    <w:rsid w:val="008642D7"/>
    <w:rsid w:val="00864A4F"/>
    <w:rsid w:val="00864BF1"/>
    <w:rsid w:val="00864BF8"/>
    <w:rsid w:val="00864D31"/>
    <w:rsid w:val="0086531E"/>
    <w:rsid w:val="0086535F"/>
    <w:rsid w:val="00865512"/>
    <w:rsid w:val="00865564"/>
    <w:rsid w:val="008655B1"/>
    <w:rsid w:val="00865769"/>
    <w:rsid w:val="008659E6"/>
    <w:rsid w:val="00865ACC"/>
    <w:rsid w:val="00865BD3"/>
    <w:rsid w:val="00865C17"/>
    <w:rsid w:val="00865E1F"/>
    <w:rsid w:val="00866202"/>
    <w:rsid w:val="00866312"/>
    <w:rsid w:val="00866B62"/>
    <w:rsid w:val="00866B6C"/>
    <w:rsid w:val="00866EFE"/>
    <w:rsid w:val="00867353"/>
    <w:rsid w:val="00867474"/>
    <w:rsid w:val="00867748"/>
    <w:rsid w:val="008677F7"/>
    <w:rsid w:val="008679B8"/>
    <w:rsid w:val="00867B44"/>
    <w:rsid w:val="00867E22"/>
    <w:rsid w:val="00867F83"/>
    <w:rsid w:val="00870243"/>
    <w:rsid w:val="008703B8"/>
    <w:rsid w:val="00870725"/>
    <w:rsid w:val="008709EF"/>
    <w:rsid w:val="00870BAC"/>
    <w:rsid w:val="00870E1A"/>
    <w:rsid w:val="00871011"/>
    <w:rsid w:val="00871542"/>
    <w:rsid w:val="00871981"/>
    <w:rsid w:val="00871DA8"/>
    <w:rsid w:val="008721A8"/>
    <w:rsid w:val="008726AA"/>
    <w:rsid w:val="00872D86"/>
    <w:rsid w:val="00873500"/>
    <w:rsid w:val="008739EA"/>
    <w:rsid w:val="00873C0A"/>
    <w:rsid w:val="00873C80"/>
    <w:rsid w:val="00874605"/>
    <w:rsid w:val="00874731"/>
    <w:rsid w:val="00874817"/>
    <w:rsid w:val="00874B71"/>
    <w:rsid w:val="00874D1D"/>
    <w:rsid w:val="00874D5C"/>
    <w:rsid w:val="00875374"/>
    <w:rsid w:val="008755A0"/>
    <w:rsid w:val="00875BA9"/>
    <w:rsid w:val="00875C25"/>
    <w:rsid w:val="00875D2D"/>
    <w:rsid w:val="00875FBB"/>
    <w:rsid w:val="008760B6"/>
    <w:rsid w:val="00876514"/>
    <w:rsid w:val="0087687D"/>
    <w:rsid w:val="00876B80"/>
    <w:rsid w:val="008770B1"/>
    <w:rsid w:val="00877210"/>
    <w:rsid w:val="008772E6"/>
    <w:rsid w:val="008773DC"/>
    <w:rsid w:val="008774CC"/>
    <w:rsid w:val="00877635"/>
    <w:rsid w:val="00877D2B"/>
    <w:rsid w:val="00877E69"/>
    <w:rsid w:val="00877F44"/>
    <w:rsid w:val="008804E4"/>
    <w:rsid w:val="0088057F"/>
    <w:rsid w:val="0088069E"/>
    <w:rsid w:val="00880CB5"/>
    <w:rsid w:val="00880DE5"/>
    <w:rsid w:val="00880FC5"/>
    <w:rsid w:val="008815D4"/>
    <w:rsid w:val="00881C22"/>
    <w:rsid w:val="00881C3E"/>
    <w:rsid w:val="008821A2"/>
    <w:rsid w:val="0088227A"/>
    <w:rsid w:val="00882652"/>
    <w:rsid w:val="008836DA"/>
    <w:rsid w:val="00883716"/>
    <w:rsid w:val="0088391F"/>
    <w:rsid w:val="00883ABE"/>
    <w:rsid w:val="00883C66"/>
    <w:rsid w:val="00883F21"/>
    <w:rsid w:val="00884277"/>
    <w:rsid w:val="00884460"/>
    <w:rsid w:val="008845D5"/>
    <w:rsid w:val="00884706"/>
    <w:rsid w:val="008849AE"/>
    <w:rsid w:val="00884C2A"/>
    <w:rsid w:val="00884D77"/>
    <w:rsid w:val="008851F4"/>
    <w:rsid w:val="008851F9"/>
    <w:rsid w:val="008854DC"/>
    <w:rsid w:val="00885509"/>
    <w:rsid w:val="00885547"/>
    <w:rsid w:val="00885816"/>
    <w:rsid w:val="008858E6"/>
    <w:rsid w:val="0088591B"/>
    <w:rsid w:val="00885CAE"/>
    <w:rsid w:val="00885E22"/>
    <w:rsid w:val="00885F41"/>
    <w:rsid w:val="00885F8F"/>
    <w:rsid w:val="00885FB6"/>
    <w:rsid w:val="008860EA"/>
    <w:rsid w:val="008861BC"/>
    <w:rsid w:val="00886590"/>
    <w:rsid w:val="008865AC"/>
    <w:rsid w:val="00886A76"/>
    <w:rsid w:val="00886ADE"/>
    <w:rsid w:val="00886F07"/>
    <w:rsid w:val="0088732D"/>
    <w:rsid w:val="0088759D"/>
    <w:rsid w:val="00887B23"/>
    <w:rsid w:val="00887D87"/>
    <w:rsid w:val="0089018A"/>
    <w:rsid w:val="0089055F"/>
    <w:rsid w:val="00890934"/>
    <w:rsid w:val="00890FBF"/>
    <w:rsid w:val="00891373"/>
    <w:rsid w:val="008913CB"/>
    <w:rsid w:val="008915FF"/>
    <w:rsid w:val="0089198E"/>
    <w:rsid w:val="00891B60"/>
    <w:rsid w:val="0089204F"/>
    <w:rsid w:val="0089266C"/>
    <w:rsid w:val="0089274D"/>
    <w:rsid w:val="0089289F"/>
    <w:rsid w:val="00892BC5"/>
    <w:rsid w:val="00892DDD"/>
    <w:rsid w:val="00892E65"/>
    <w:rsid w:val="00893657"/>
    <w:rsid w:val="00893D9C"/>
    <w:rsid w:val="00893F8C"/>
    <w:rsid w:val="00893FF0"/>
    <w:rsid w:val="008940AB"/>
    <w:rsid w:val="008942AA"/>
    <w:rsid w:val="00894692"/>
    <w:rsid w:val="00894956"/>
    <w:rsid w:val="008950CD"/>
    <w:rsid w:val="008954AA"/>
    <w:rsid w:val="008956FC"/>
    <w:rsid w:val="00895849"/>
    <w:rsid w:val="00895AA1"/>
    <w:rsid w:val="0089623C"/>
    <w:rsid w:val="00896809"/>
    <w:rsid w:val="00896C72"/>
    <w:rsid w:val="00896CF6"/>
    <w:rsid w:val="00896FE5"/>
    <w:rsid w:val="008971CC"/>
    <w:rsid w:val="008971FD"/>
    <w:rsid w:val="008972EB"/>
    <w:rsid w:val="008974B3"/>
    <w:rsid w:val="00897599"/>
    <w:rsid w:val="008975A7"/>
    <w:rsid w:val="0089795D"/>
    <w:rsid w:val="00897AA3"/>
    <w:rsid w:val="00897D33"/>
    <w:rsid w:val="008A0268"/>
    <w:rsid w:val="008A0487"/>
    <w:rsid w:val="008A04CB"/>
    <w:rsid w:val="008A0F68"/>
    <w:rsid w:val="008A1139"/>
    <w:rsid w:val="008A1160"/>
    <w:rsid w:val="008A117F"/>
    <w:rsid w:val="008A13A7"/>
    <w:rsid w:val="008A1688"/>
    <w:rsid w:val="008A1A82"/>
    <w:rsid w:val="008A30B6"/>
    <w:rsid w:val="008A31ED"/>
    <w:rsid w:val="008A32D3"/>
    <w:rsid w:val="008A33FD"/>
    <w:rsid w:val="008A34D6"/>
    <w:rsid w:val="008A3745"/>
    <w:rsid w:val="008A3A54"/>
    <w:rsid w:val="008A3DB2"/>
    <w:rsid w:val="008A413A"/>
    <w:rsid w:val="008A41FD"/>
    <w:rsid w:val="008A44CB"/>
    <w:rsid w:val="008A4672"/>
    <w:rsid w:val="008A49F6"/>
    <w:rsid w:val="008A4F2D"/>
    <w:rsid w:val="008A5133"/>
    <w:rsid w:val="008A51E9"/>
    <w:rsid w:val="008A5C6D"/>
    <w:rsid w:val="008A5CDB"/>
    <w:rsid w:val="008A600C"/>
    <w:rsid w:val="008A6156"/>
    <w:rsid w:val="008A642A"/>
    <w:rsid w:val="008A6441"/>
    <w:rsid w:val="008A6562"/>
    <w:rsid w:val="008A65AA"/>
    <w:rsid w:val="008A66EA"/>
    <w:rsid w:val="008A6D25"/>
    <w:rsid w:val="008A7260"/>
    <w:rsid w:val="008A73AF"/>
    <w:rsid w:val="008A755C"/>
    <w:rsid w:val="008A7B66"/>
    <w:rsid w:val="008A7F53"/>
    <w:rsid w:val="008B01B0"/>
    <w:rsid w:val="008B026E"/>
    <w:rsid w:val="008B0B0F"/>
    <w:rsid w:val="008B0D97"/>
    <w:rsid w:val="008B0DC6"/>
    <w:rsid w:val="008B109D"/>
    <w:rsid w:val="008B127B"/>
    <w:rsid w:val="008B167B"/>
    <w:rsid w:val="008B17F5"/>
    <w:rsid w:val="008B1A76"/>
    <w:rsid w:val="008B1C50"/>
    <w:rsid w:val="008B1DDE"/>
    <w:rsid w:val="008B22EF"/>
    <w:rsid w:val="008B241C"/>
    <w:rsid w:val="008B2601"/>
    <w:rsid w:val="008B2CB6"/>
    <w:rsid w:val="008B3189"/>
    <w:rsid w:val="008B328A"/>
    <w:rsid w:val="008B365A"/>
    <w:rsid w:val="008B38BA"/>
    <w:rsid w:val="008B3C01"/>
    <w:rsid w:val="008B41B8"/>
    <w:rsid w:val="008B4249"/>
    <w:rsid w:val="008B4272"/>
    <w:rsid w:val="008B439A"/>
    <w:rsid w:val="008B44E5"/>
    <w:rsid w:val="008B4819"/>
    <w:rsid w:val="008B4863"/>
    <w:rsid w:val="008B4A02"/>
    <w:rsid w:val="008B4E0A"/>
    <w:rsid w:val="008B5591"/>
    <w:rsid w:val="008B5840"/>
    <w:rsid w:val="008B5B6A"/>
    <w:rsid w:val="008B5E67"/>
    <w:rsid w:val="008B656F"/>
    <w:rsid w:val="008B6B78"/>
    <w:rsid w:val="008B6D09"/>
    <w:rsid w:val="008B7294"/>
    <w:rsid w:val="008B72C8"/>
    <w:rsid w:val="008B74DE"/>
    <w:rsid w:val="008B755F"/>
    <w:rsid w:val="008B78F6"/>
    <w:rsid w:val="008B7DB6"/>
    <w:rsid w:val="008B7FEC"/>
    <w:rsid w:val="008C02C6"/>
    <w:rsid w:val="008C0422"/>
    <w:rsid w:val="008C04D4"/>
    <w:rsid w:val="008C0E73"/>
    <w:rsid w:val="008C0F2F"/>
    <w:rsid w:val="008C109E"/>
    <w:rsid w:val="008C11C8"/>
    <w:rsid w:val="008C15E5"/>
    <w:rsid w:val="008C1838"/>
    <w:rsid w:val="008C1E24"/>
    <w:rsid w:val="008C21BB"/>
    <w:rsid w:val="008C241A"/>
    <w:rsid w:val="008C25B2"/>
    <w:rsid w:val="008C28DC"/>
    <w:rsid w:val="008C2C63"/>
    <w:rsid w:val="008C2CE9"/>
    <w:rsid w:val="008C2E55"/>
    <w:rsid w:val="008C3464"/>
    <w:rsid w:val="008C3572"/>
    <w:rsid w:val="008C3A14"/>
    <w:rsid w:val="008C3A3A"/>
    <w:rsid w:val="008C3E90"/>
    <w:rsid w:val="008C48F8"/>
    <w:rsid w:val="008C497C"/>
    <w:rsid w:val="008C4CE3"/>
    <w:rsid w:val="008C5597"/>
    <w:rsid w:val="008C55AA"/>
    <w:rsid w:val="008C59B7"/>
    <w:rsid w:val="008C5C5C"/>
    <w:rsid w:val="008C61BD"/>
    <w:rsid w:val="008C685D"/>
    <w:rsid w:val="008C6B4B"/>
    <w:rsid w:val="008C7047"/>
    <w:rsid w:val="008C7168"/>
    <w:rsid w:val="008C76BF"/>
    <w:rsid w:val="008C7B65"/>
    <w:rsid w:val="008C7F94"/>
    <w:rsid w:val="008D006F"/>
    <w:rsid w:val="008D009B"/>
    <w:rsid w:val="008D024C"/>
    <w:rsid w:val="008D0334"/>
    <w:rsid w:val="008D06CE"/>
    <w:rsid w:val="008D087C"/>
    <w:rsid w:val="008D09DD"/>
    <w:rsid w:val="008D0CC3"/>
    <w:rsid w:val="008D127B"/>
    <w:rsid w:val="008D1302"/>
    <w:rsid w:val="008D1334"/>
    <w:rsid w:val="008D140C"/>
    <w:rsid w:val="008D1CA6"/>
    <w:rsid w:val="008D1ED2"/>
    <w:rsid w:val="008D2119"/>
    <w:rsid w:val="008D2798"/>
    <w:rsid w:val="008D2DB7"/>
    <w:rsid w:val="008D3329"/>
    <w:rsid w:val="008D35C0"/>
    <w:rsid w:val="008D3D3D"/>
    <w:rsid w:val="008D40E9"/>
    <w:rsid w:val="008D4135"/>
    <w:rsid w:val="008D49D3"/>
    <w:rsid w:val="008D4A4D"/>
    <w:rsid w:val="008D4E2E"/>
    <w:rsid w:val="008D4FCA"/>
    <w:rsid w:val="008D5343"/>
    <w:rsid w:val="008D5348"/>
    <w:rsid w:val="008D5711"/>
    <w:rsid w:val="008D5D4A"/>
    <w:rsid w:val="008D602E"/>
    <w:rsid w:val="008D6091"/>
    <w:rsid w:val="008D66CC"/>
    <w:rsid w:val="008D6CDB"/>
    <w:rsid w:val="008D6E64"/>
    <w:rsid w:val="008D7018"/>
    <w:rsid w:val="008D726F"/>
    <w:rsid w:val="008D7365"/>
    <w:rsid w:val="008D74AE"/>
    <w:rsid w:val="008D78B3"/>
    <w:rsid w:val="008D7AAF"/>
    <w:rsid w:val="008E0112"/>
    <w:rsid w:val="008E0223"/>
    <w:rsid w:val="008E08D6"/>
    <w:rsid w:val="008E0A8C"/>
    <w:rsid w:val="008E10D1"/>
    <w:rsid w:val="008E1487"/>
    <w:rsid w:val="008E17FF"/>
    <w:rsid w:val="008E195F"/>
    <w:rsid w:val="008E1B3D"/>
    <w:rsid w:val="008E1DDB"/>
    <w:rsid w:val="008E2384"/>
    <w:rsid w:val="008E2435"/>
    <w:rsid w:val="008E26B9"/>
    <w:rsid w:val="008E2700"/>
    <w:rsid w:val="008E2B19"/>
    <w:rsid w:val="008E30A6"/>
    <w:rsid w:val="008E3161"/>
    <w:rsid w:val="008E32D5"/>
    <w:rsid w:val="008E3D5F"/>
    <w:rsid w:val="008E3E3D"/>
    <w:rsid w:val="008E4000"/>
    <w:rsid w:val="008E4417"/>
    <w:rsid w:val="008E4581"/>
    <w:rsid w:val="008E4766"/>
    <w:rsid w:val="008E49D9"/>
    <w:rsid w:val="008E4B45"/>
    <w:rsid w:val="008E4BA3"/>
    <w:rsid w:val="008E4C20"/>
    <w:rsid w:val="008E4D4E"/>
    <w:rsid w:val="008E51E4"/>
    <w:rsid w:val="008E56FE"/>
    <w:rsid w:val="008E5BDA"/>
    <w:rsid w:val="008E5E77"/>
    <w:rsid w:val="008E66CB"/>
    <w:rsid w:val="008E7121"/>
    <w:rsid w:val="008E7240"/>
    <w:rsid w:val="008E767C"/>
    <w:rsid w:val="008E7C8A"/>
    <w:rsid w:val="008E7CA5"/>
    <w:rsid w:val="008E7DC6"/>
    <w:rsid w:val="008E7DE7"/>
    <w:rsid w:val="008F020D"/>
    <w:rsid w:val="008F0327"/>
    <w:rsid w:val="008F0551"/>
    <w:rsid w:val="008F0629"/>
    <w:rsid w:val="008F0A77"/>
    <w:rsid w:val="008F0A90"/>
    <w:rsid w:val="008F0B24"/>
    <w:rsid w:val="008F0C45"/>
    <w:rsid w:val="008F0CD1"/>
    <w:rsid w:val="008F0CF2"/>
    <w:rsid w:val="008F1355"/>
    <w:rsid w:val="008F1B25"/>
    <w:rsid w:val="008F225E"/>
    <w:rsid w:val="008F28B9"/>
    <w:rsid w:val="008F2F84"/>
    <w:rsid w:val="008F2F9A"/>
    <w:rsid w:val="008F35AD"/>
    <w:rsid w:val="008F3600"/>
    <w:rsid w:val="008F3692"/>
    <w:rsid w:val="008F384D"/>
    <w:rsid w:val="008F3877"/>
    <w:rsid w:val="008F3950"/>
    <w:rsid w:val="008F3AD2"/>
    <w:rsid w:val="008F3ADE"/>
    <w:rsid w:val="008F3B8D"/>
    <w:rsid w:val="008F3CD4"/>
    <w:rsid w:val="008F3CF7"/>
    <w:rsid w:val="008F4211"/>
    <w:rsid w:val="008F4676"/>
    <w:rsid w:val="008F482A"/>
    <w:rsid w:val="008F486F"/>
    <w:rsid w:val="008F4A4C"/>
    <w:rsid w:val="008F4DA7"/>
    <w:rsid w:val="008F5F00"/>
    <w:rsid w:val="008F637C"/>
    <w:rsid w:val="008F6809"/>
    <w:rsid w:val="008F6B53"/>
    <w:rsid w:val="008F6BC2"/>
    <w:rsid w:val="008F6DB4"/>
    <w:rsid w:val="008F7012"/>
    <w:rsid w:val="008F724B"/>
    <w:rsid w:val="008F78E6"/>
    <w:rsid w:val="008F78FD"/>
    <w:rsid w:val="008F7ACC"/>
    <w:rsid w:val="008F7F75"/>
    <w:rsid w:val="009000E3"/>
    <w:rsid w:val="009001D7"/>
    <w:rsid w:val="00900230"/>
    <w:rsid w:val="00900423"/>
    <w:rsid w:val="00900A79"/>
    <w:rsid w:val="00900F41"/>
    <w:rsid w:val="00900F62"/>
    <w:rsid w:val="0090197A"/>
    <w:rsid w:val="00901D5B"/>
    <w:rsid w:val="00902473"/>
    <w:rsid w:val="00902D37"/>
    <w:rsid w:val="00902F4F"/>
    <w:rsid w:val="00902F59"/>
    <w:rsid w:val="00902F5D"/>
    <w:rsid w:val="00902F7B"/>
    <w:rsid w:val="0090306D"/>
    <w:rsid w:val="009030D8"/>
    <w:rsid w:val="00903836"/>
    <w:rsid w:val="00903D8C"/>
    <w:rsid w:val="00903F0D"/>
    <w:rsid w:val="009040F9"/>
    <w:rsid w:val="0090415D"/>
    <w:rsid w:val="009043CE"/>
    <w:rsid w:val="009045A6"/>
    <w:rsid w:val="009046EA"/>
    <w:rsid w:val="00904930"/>
    <w:rsid w:val="00904ADB"/>
    <w:rsid w:val="00904C31"/>
    <w:rsid w:val="00904FB3"/>
    <w:rsid w:val="00904FF0"/>
    <w:rsid w:val="00905220"/>
    <w:rsid w:val="00905226"/>
    <w:rsid w:val="0090530A"/>
    <w:rsid w:val="00905377"/>
    <w:rsid w:val="009058CC"/>
    <w:rsid w:val="00905903"/>
    <w:rsid w:val="0090641E"/>
    <w:rsid w:val="00906568"/>
    <w:rsid w:val="0090657A"/>
    <w:rsid w:val="00906650"/>
    <w:rsid w:val="009066F4"/>
    <w:rsid w:val="00906C08"/>
    <w:rsid w:val="00906E46"/>
    <w:rsid w:val="00906ECB"/>
    <w:rsid w:val="0090724D"/>
    <w:rsid w:val="00907759"/>
    <w:rsid w:val="00907777"/>
    <w:rsid w:val="00907FCE"/>
    <w:rsid w:val="009105E2"/>
    <w:rsid w:val="00910780"/>
    <w:rsid w:val="00910849"/>
    <w:rsid w:val="00910CDC"/>
    <w:rsid w:val="00910FCE"/>
    <w:rsid w:val="00911247"/>
    <w:rsid w:val="00911577"/>
    <w:rsid w:val="0091158E"/>
    <w:rsid w:val="009117E9"/>
    <w:rsid w:val="00911893"/>
    <w:rsid w:val="0091199C"/>
    <w:rsid w:val="00911A96"/>
    <w:rsid w:val="00911C49"/>
    <w:rsid w:val="00911FB1"/>
    <w:rsid w:val="0091232C"/>
    <w:rsid w:val="0091272B"/>
    <w:rsid w:val="00912EFB"/>
    <w:rsid w:val="009131D2"/>
    <w:rsid w:val="00913A92"/>
    <w:rsid w:val="00913DBC"/>
    <w:rsid w:val="00914E75"/>
    <w:rsid w:val="00914F7A"/>
    <w:rsid w:val="0091508A"/>
    <w:rsid w:val="00915191"/>
    <w:rsid w:val="00915540"/>
    <w:rsid w:val="00915A86"/>
    <w:rsid w:val="00915C42"/>
    <w:rsid w:val="00915ED9"/>
    <w:rsid w:val="00915F46"/>
    <w:rsid w:val="009162B6"/>
    <w:rsid w:val="00916715"/>
    <w:rsid w:val="00916A89"/>
    <w:rsid w:val="00916C37"/>
    <w:rsid w:val="00916C5F"/>
    <w:rsid w:val="00916DA8"/>
    <w:rsid w:val="00916E8A"/>
    <w:rsid w:val="00916EBB"/>
    <w:rsid w:val="00917137"/>
    <w:rsid w:val="009172E1"/>
    <w:rsid w:val="00917637"/>
    <w:rsid w:val="009177F0"/>
    <w:rsid w:val="0091792B"/>
    <w:rsid w:val="00920276"/>
    <w:rsid w:val="00920725"/>
    <w:rsid w:val="009209E0"/>
    <w:rsid w:val="00920AAB"/>
    <w:rsid w:val="00920B7D"/>
    <w:rsid w:val="00920CCD"/>
    <w:rsid w:val="00920DF3"/>
    <w:rsid w:val="00921276"/>
    <w:rsid w:val="009213AD"/>
    <w:rsid w:val="00921A73"/>
    <w:rsid w:val="00921CB1"/>
    <w:rsid w:val="00921FB4"/>
    <w:rsid w:val="00922048"/>
    <w:rsid w:val="00922278"/>
    <w:rsid w:val="009223A5"/>
    <w:rsid w:val="009224F1"/>
    <w:rsid w:val="009225B6"/>
    <w:rsid w:val="0092264E"/>
    <w:rsid w:val="009226B3"/>
    <w:rsid w:val="009226E2"/>
    <w:rsid w:val="0092275D"/>
    <w:rsid w:val="00922B29"/>
    <w:rsid w:val="00922F25"/>
    <w:rsid w:val="00922F2A"/>
    <w:rsid w:val="00923057"/>
    <w:rsid w:val="00923075"/>
    <w:rsid w:val="009232DB"/>
    <w:rsid w:val="00923331"/>
    <w:rsid w:val="00923502"/>
    <w:rsid w:val="00923563"/>
    <w:rsid w:val="0092361D"/>
    <w:rsid w:val="009238AB"/>
    <w:rsid w:val="00923983"/>
    <w:rsid w:val="00924297"/>
    <w:rsid w:val="0092459B"/>
    <w:rsid w:val="0092463B"/>
    <w:rsid w:val="00924BC0"/>
    <w:rsid w:val="00924CEA"/>
    <w:rsid w:val="009253A9"/>
    <w:rsid w:val="0092552A"/>
    <w:rsid w:val="0092570A"/>
    <w:rsid w:val="00926362"/>
    <w:rsid w:val="0092654D"/>
    <w:rsid w:val="0092656D"/>
    <w:rsid w:val="009267DB"/>
    <w:rsid w:val="00926AD5"/>
    <w:rsid w:val="00926AED"/>
    <w:rsid w:val="00926CD2"/>
    <w:rsid w:val="009276C3"/>
    <w:rsid w:val="00927791"/>
    <w:rsid w:val="00927AAE"/>
    <w:rsid w:val="00927DEE"/>
    <w:rsid w:val="00927EB3"/>
    <w:rsid w:val="009300C4"/>
    <w:rsid w:val="0093018A"/>
    <w:rsid w:val="0093068B"/>
    <w:rsid w:val="00930C56"/>
    <w:rsid w:val="00931088"/>
    <w:rsid w:val="00931107"/>
    <w:rsid w:val="009313B5"/>
    <w:rsid w:val="00931402"/>
    <w:rsid w:val="00931B31"/>
    <w:rsid w:val="00931B80"/>
    <w:rsid w:val="00932573"/>
    <w:rsid w:val="009325BA"/>
    <w:rsid w:val="009331C2"/>
    <w:rsid w:val="009338E5"/>
    <w:rsid w:val="00933F9A"/>
    <w:rsid w:val="0093405A"/>
    <w:rsid w:val="00934AED"/>
    <w:rsid w:val="0093505D"/>
    <w:rsid w:val="00935407"/>
    <w:rsid w:val="00935B26"/>
    <w:rsid w:val="00935D55"/>
    <w:rsid w:val="00935F51"/>
    <w:rsid w:val="0093657F"/>
    <w:rsid w:val="00936E96"/>
    <w:rsid w:val="00936F56"/>
    <w:rsid w:val="00937092"/>
    <w:rsid w:val="009370E5"/>
    <w:rsid w:val="009370F2"/>
    <w:rsid w:val="009372DE"/>
    <w:rsid w:val="00937424"/>
    <w:rsid w:val="00937452"/>
    <w:rsid w:val="009378A8"/>
    <w:rsid w:val="009378CE"/>
    <w:rsid w:val="00937C21"/>
    <w:rsid w:val="00937C2F"/>
    <w:rsid w:val="009403B1"/>
    <w:rsid w:val="00940403"/>
    <w:rsid w:val="00940704"/>
    <w:rsid w:val="0094070B"/>
    <w:rsid w:val="00940A1A"/>
    <w:rsid w:val="00940A68"/>
    <w:rsid w:val="00941358"/>
    <w:rsid w:val="00941425"/>
    <w:rsid w:val="009419A2"/>
    <w:rsid w:val="00941EDA"/>
    <w:rsid w:val="00942482"/>
    <w:rsid w:val="00942C0E"/>
    <w:rsid w:val="00942FAA"/>
    <w:rsid w:val="00943B33"/>
    <w:rsid w:val="00943CEB"/>
    <w:rsid w:val="00943E2C"/>
    <w:rsid w:val="00943E5E"/>
    <w:rsid w:val="00943E6C"/>
    <w:rsid w:val="00943EA8"/>
    <w:rsid w:val="00944241"/>
    <w:rsid w:val="0094455E"/>
    <w:rsid w:val="00944723"/>
    <w:rsid w:val="00944FB6"/>
    <w:rsid w:val="00945345"/>
    <w:rsid w:val="00945649"/>
    <w:rsid w:val="00945744"/>
    <w:rsid w:val="0094583C"/>
    <w:rsid w:val="00945C9B"/>
    <w:rsid w:val="00946079"/>
    <w:rsid w:val="009463EA"/>
    <w:rsid w:val="009464D1"/>
    <w:rsid w:val="00946BE4"/>
    <w:rsid w:val="00946C08"/>
    <w:rsid w:val="00947293"/>
    <w:rsid w:val="0094738E"/>
    <w:rsid w:val="0094760C"/>
    <w:rsid w:val="009477CE"/>
    <w:rsid w:val="00947858"/>
    <w:rsid w:val="00947B76"/>
    <w:rsid w:val="00947F9F"/>
    <w:rsid w:val="009501F8"/>
    <w:rsid w:val="009504D1"/>
    <w:rsid w:val="00950ECA"/>
    <w:rsid w:val="00950F0E"/>
    <w:rsid w:val="00950F94"/>
    <w:rsid w:val="00951007"/>
    <w:rsid w:val="00951308"/>
    <w:rsid w:val="009516BC"/>
    <w:rsid w:val="00951763"/>
    <w:rsid w:val="00951BFC"/>
    <w:rsid w:val="00951F1E"/>
    <w:rsid w:val="0095237B"/>
    <w:rsid w:val="009523BC"/>
    <w:rsid w:val="00952890"/>
    <w:rsid w:val="00952AF9"/>
    <w:rsid w:val="00952E4B"/>
    <w:rsid w:val="00952F0A"/>
    <w:rsid w:val="00953200"/>
    <w:rsid w:val="00953A44"/>
    <w:rsid w:val="00953CA8"/>
    <w:rsid w:val="00954097"/>
    <w:rsid w:val="00954585"/>
    <w:rsid w:val="009545BD"/>
    <w:rsid w:val="00954AC1"/>
    <w:rsid w:val="00954B03"/>
    <w:rsid w:val="00954F9E"/>
    <w:rsid w:val="009552C7"/>
    <w:rsid w:val="0095534D"/>
    <w:rsid w:val="00955630"/>
    <w:rsid w:val="00955884"/>
    <w:rsid w:val="00955997"/>
    <w:rsid w:val="00955C4C"/>
    <w:rsid w:val="00955E72"/>
    <w:rsid w:val="00955F07"/>
    <w:rsid w:val="00956215"/>
    <w:rsid w:val="0095659C"/>
    <w:rsid w:val="009566B3"/>
    <w:rsid w:val="00956712"/>
    <w:rsid w:val="009567F0"/>
    <w:rsid w:val="009568AD"/>
    <w:rsid w:val="00956B59"/>
    <w:rsid w:val="00956CA2"/>
    <w:rsid w:val="00956CE5"/>
    <w:rsid w:val="00956D53"/>
    <w:rsid w:val="00956DE1"/>
    <w:rsid w:val="00956E53"/>
    <w:rsid w:val="00957859"/>
    <w:rsid w:val="009578BB"/>
    <w:rsid w:val="00957A08"/>
    <w:rsid w:val="00957BA5"/>
    <w:rsid w:val="00957E4A"/>
    <w:rsid w:val="009604D2"/>
    <w:rsid w:val="009605D2"/>
    <w:rsid w:val="009606BC"/>
    <w:rsid w:val="00960730"/>
    <w:rsid w:val="00960814"/>
    <w:rsid w:val="00960A07"/>
    <w:rsid w:val="00960B31"/>
    <w:rsid w:val="00960C50"/>
    <w:rsid w:val="00960E35"/>
    <w:rsid w:val="00960F4B"/>
    <w:rsid w:val="0096112E"/>
    <w:rsid w:val="0096176E"/>
    <w:rsid w:val="00961ACA"/>
    <w:rsid w:val="00961D71"/>
    <w:rsid w:val="00961E03"/>
    <w:rsid w:val="00962241"/>
    <w:rsid w:val="009627E5"/>
    <w:rsid w:val="0096295B"/>
    <w:rsid w:val="00962BE1"/>
    <w:rsid w:val="009636B4"/>
    <w:rsid w:val="00963767"/>
    <w:rsid w:val="009638C1"/>
    <w:rsid w:val="009638C2"/>
    <w:rsid w:val="00963A67"/>
    <w:rsid w:val="00963A71"/>
    <w:rsid w:val="00963B3F"/>
    <w:rsid w:val="00963E28"/>
    <w:rsid w:val="00963E83"/>
    <w:rsid w:val="00963F83"/>
    <w:rsid w:val="009642DF"/>
    <w:rsid w:val="009642EE"/>
    <w:rsid w:val="0096486A"/>
    <w:rsid w:val="00964D2B"/>
    <w:rsid w:val="00965768"/>
    <w:rsid w:val="00965A9C"/>
    <w:rsid w:val="009660EA"/>
    <w:rsid w:val="00966166"/>
    <w:rsid w:val="00966573"/>
    <w:rsid w:val="00966A18"/>
    <w:rsid w:val="00966A2A"/>
    <w:rsid w:val="00966C76"/>
    <w:rsid w:val="00966D33"/>
    <w:rsid w:val="00966DF8"/>
    <w:rsid w:val="00966F28"/>
    <w:rsid w:val="00966FAB"/>
    <w:rsid w:val="00967096"/>
    <w:rsid w:val="00967204"/>
    <w:rsid w:val="00967E0F"/>
    <w:rsid w:val="00970004"/>
    <w:rsid w:val="0097029F"/>
    <w:rsid w:val="0097044B"/>
    <w:rsid w:val="00970584"/>
    <w:rsid w:val="009705E1"/>
    <w:rsid w:val="00970A1E"/>
    <w:rsid w:val="00970CB5"/>
    <w:rsid w:val="00970ECD"/>
    <w:rsid w:val="009711AB"/>
    <w:rsid w:val="009713E1"/>
    <w:rsid w:val="009716E2"/>
    <w:rsid w:val="009716E5"/>
    <w:rsid w:val="009718AF"/>
    <w:rsid w:val="00971AA3"/>
    <w:rsid w:val="00971B84"/>
    <w:rsid w:val="00971D40"/>
    <w:rsid w:val="00971E93"/>
    <w:rsid w:val="009729C6"/>
    <w:rsid w:val="00972A3D"/>
    <w:rsid w:val="00972FE0"/>
    <w:rsid w:val="00973211"/>
    <w:rsid w:val="00973812"/>
    <w:rsid w:val="0097396D"/>
    <w:rsid w:val="009739AF"/>
    <w:rsid w:val="00973D11"/>
    <w:rsid w:val="00973EBC"/>
    <w:rsid w:val="00973F31"/>
    <w:rsid w:val="00974073"/>
    <w:rsid w:val="009741B1"/>
    <w:rsid w:val="0097436A"/>
    <w:rsid w:val="0097487B"/>
    <w:rsid w:val="009749B1"/>
    <w:rsid w:val="00974AB8"/>
    <w:rsid w:val="00975475"/>
    <w:rsid w:val="0097556F"/>
    <w:rsid w:val="00975742"/>
    <w:rsid w:val="00975D53"/>
    <w:rsid w:val="00975F0B"/>
    <w:rsid w:val="00976556"/>
    <w:rsid w:val="00976602"/>
    <w:rsid w:val="009766CD"/>
    <w:rsid w:val="00976852"/>
    <w:rsid w:val="00976D6C"/>
    <w:rsid w:val="00976FDC"/>
    <w:rsid w:val="009770A3"/>
    <w:rsid w:val="0097713C"/>
    <w:rsid w:val="0097718A"/>
    <w:rsid w:val="009771FD"/>
    <w:rsid w:val="009777C5"/>
    <w:rsid w:val="00977957"/>
    <w:rsid w:val="00977D5A"/>
    <w:rsid w:val="00980072"/>
    <w:rsid w:val="00980DBB"/>
    <w:rsid w:val="00980FBB"/>
    <w:rsid w:val="009811D7"/>
    <w:rsid w:val="0098143F"/>
    <w:rsid w:val="00981937"/>
    <w:rsid w:val="00981B49"/>
    <w:rsid w:val="00981F92"/>
    <w:rsid w:val="00981FB8"/>
    <w:rsid w:val="0098234F"/>
    <w:rsid w:val="009824C8"/>
    <w:rsid w:val="00982F6D"/>
    <w:rsid w:val="0098324D"/>
    <w:rsid w:val="00983391"/>
    <w:rsid w:val="009835D8"/>
    <w:rsid w:val="009836E4"/>
    <w:rsid w:val="009837C0"/>
    <w:rsid w:val="00983813"/>
    <w:rsid w:val="00983DBE"/>
    <w:rsid w:val="009845AB"/>
    <w:rsid w:val="00984A5C"/>
    <w:rsid w:val="00984C69"/>
    <w:rsid w:val="00984D3A"/>
    <w:rsid w:val="009855A1"/>
    <w:rsid w:val="009856BF"/>
    <w:rsid w:val="0098580D"/>
    <w:rsid w:val="00985B07"/>
    <w:rsid w:val="00985E75"/>
    <w:rsid w:val="00985EC1"/>
    <w:rsid w:val="00985FD8"/>
    <w:rsid w:val="00986111"/>
    <w:rsid w:val="00986141"/>
    <w:rsid w:val="00986235"/>
    <w:rsid w:val="009862DC"/>
    <w:rsid w:val="00986640"/>
    <w:rsid w:val="0098678E"/>
    <w:rsid w:val="00986804"/>
    <w:rsid w:val="00987852"/>
    <w:rsid w:val="009879E2"/>
    <w:rsid w:val="00987E33"/>
    <w:rsid w:val="00987F51"/>
    <w:rsid w:val="00987FC9"/>
    <w:rsid w:val="00990843"/>
    <w:rsid w:val="009909BF"/>
    <w:rsid w:val="00990AE5"/>
    <w:rsid w:val="00990E04"/>
    <w:rsid w:val="00991239"/>
    <w:rsid w:val="0099132D"/>
    <w:rsid w:val="0099187E"/>
    <w:rsid w:val="00991F81"/>
    <w:rsid w:val="0099262E"/>
    <w:rsid w:val="00992880"/>
    <w:rsid w:val="0099290B"/>
    <w:rsid w:val="00992966"/>
    <w:rsid w:val="00992968"/>
    <w:rsid w:val="009929D7"/>
    <w:rsid w:val="00992A9F"/>
    <w:rsid w:val="0099300F"/>
    <w:rsid w:val="00993204"/>
    <w:rsid w:val="009935D3"/>
    <w:rsid w:val="00993652"/>
    <w:rsid w:val="00993673"/>
    <w:rsid w:val="0099370C"/>
    <w:rsid w:val="00993D85"/>
    <w:rsid w:val="00994010"/>
    <w:rsid w:val="009941EA"/>
    <w:rsid w:val="00994639"/>
    <w:rsid w:val="009946BE"/>
    <w:rsid w:val="00994812"/>
    <w:rsid w:val="009949EB"/>
    <w:rsid w:val="00994DD2"/>
    <w:rsid w:val="00994EDC"/>
    <w:rsid w:val="0099502C"/>
    <w:rsid w:val="009953A4"/>
    <w:rsid w:val="009956B4"/>
    <w:rsid w:val="00995C5C"/>
    <w:rsid w:val="00995D20"/>
    <w:rsid w:val="0099600D"/>
    <w:rsid w:val="009960EC"/>
    <w:rsid w:val="009965F8"/>
    <w:rsid w:val="00996889"/>
    <w:rsid w:val="00996DEB"/>
    <w:rsid w:val="009972C4"/>
    <w:rsid w:val="009973D1"/>
    <w:rsid w:val="009976B3"/>
    <w:rsid w:val="00997776"/>
    <w:rsid w:val="00997873"/>
    <w:rsid w:val="00997D52"/>
    <w:rsid w:val="00997E20"/>
    <w:rsid w:val="009A00FC"/>
    <w:rsid w:val="009A08DF"/>
    <w:rsid w:val="009A09B6"/>
    <w:rsid w:val="009A127D"/>
    <w:rsid w:val="009A1375"/>
    <w:rsid w:val="009A156E"/>
    <w:rsid w:val="009A1E03"/>
    <w:rsid w:val="009A1F45"/>
    <w:rsid w:val="009A24D8"/>
    <w:rsid w:val="009A2A78"/>
    <w:rsid w:val="009A31F9"/>
    <w:rsid w:val="009A32F0"/>
    <w:rsid w:val="009A33DB"/>
    <w:rsid w:val="009A3438"/>
    <w:rsid w:val="009A360D"/>
    <w:rsid w:val="009A3823"/>
    <w:rsid w:val="009A3877"/>
    <w:rsid w:val="009A39B2"/>
    <w:rsid w:val="009A3A99"/>
    <w:rsid w:val="009A3CC8"/>
    <w:rsid w:val="009A3CEE"/>
    <w:rsid w:val="009A3CFD"/>
    <w:rsid w:val="009A3E4B"/>
    <w:rsid w:val="009A432C"/>
    <w:rsid w:val="009A4361"/>
    <w:rsid w:val="009A43D3"/>
    <w:rsid w:val="009A476B"/>
    <w:rsid w:val="009A4AF2"/>
    <w:rsid w:val="009A5274"/>
    <w:rsid w:val="009A59DF"/>
    <w:rsid w:val="009A5CB8"/>
    <w:rsid w:val="009A5ED4"/>
    <w:rsid w:val="009A64C4"/>
    <w:rsid w:val="009A6701"/>
    <w:rsid w:val="009A69E7"/>
    <w:rsid w:val="009A6E02"/>
    <w:rsid w:val="009A6F04"/>
    <w:rsid w:val="009A6FB2"/>
    <w:rsid w:val="009A72E2"/>
    <w:rsid w:val="009A72F0"/>
    <w:rsid w:val="009A73D6"/>
    <w:rsid w:val="009A74C2"/>
    <w:rsid w:val="009A76DE"/>
    <w:rsid w:val="009A772C"/>
    <w:rsid w:val="009A790F"/>
    <w:rsid w:val="009B05E2"/>
    <w:rsid w:val="009B0714"/>
    <w:rsid w:val="009B0CFA"/>
    <w:rsid w:val="009B0DBC"/>
    <w:rsid w:val="009B0F22"/>
    <w:rsid w:val="009B1005"/>
    <w:rsid w:val="009B1060"/>
    <w:rsid w:val="009B10AD"/>
    <w:rsid w:val="009B1161"/>
    <w:rsid w:val="009B1174"/>
    <w:rsid w:val="009B15DF"/>
    <w:rsid w:val="009B18B8"/>
    <w:rsid w:val="009B1AE9"/>
    <w:rsid w:val="009B1C85"/>
    <w:rsid w:val="009B205C"/>
    <w:rsid w:val="009B23F0"/>
    <w:rsid w:val="009B25DA"/>
    <w:rsid w:val="009B30D4"/>
    <w:rsid w:val="009B3559"/>
    <w:rsid w:val="009B3563"/>
    <w:rsid w:val="009B35DF"/>
    <w:rsid w:val="009B38D8"/>
    <w:rsid w:val="009B3F4E"/>
    <w:rsid w:val="009B419A"/>
    <w:rsid w:val="009B427E"/>
    <w:rsid w:val="009B458A"/>
    <w:rsid w:val="009B49C3"/>
    <w:rsid w:val="009B4D82"/>
    <w:rsid w:val="009B53FB"/>
    <w:rsid w:val="009B5670"/>
    <w:rsid w:val="009B5B1B"/>
    <w:rsid w:val="009B65D8"/>
    <w:rsid w:val="009B68DC"/>
    <w:rsid w:val="009B6942"/>
    <w:rsid w:val="009B6AC6"/>
    <w:rsid w:val="009B6C93"/>
    <w:rsid w:val="009B6E37"/>
    <w:rsid w:val="009B6EC0"/>
    <w:rsid w:val="009B72CA"/>
    <w:rsid w:val="009B752C"/>
    <w:rsid w:val="009B7590"/>
    <w:rsid w:val="009B75AD"/>
    <w:rsid w:val="009B76FC"/>
    <w:rsid w:val="009B7D10"/>
    <w:rsid w:val="009B7D2C"/>
    <w:rsid w:val="009C00AE"/>
    <w:rsid w:val="009C0360"/>
    <w:rsid w:val="009C0364"/>
    <w:rsid w:val="009C07A7"/>
    <w:rsid w:val="009C086E"/>
    <w:rsid w:val="009C0892"/>
    <w:rsid w:val="009C105E"/>
    <w:rsid w:val="009C1378"/>
    <w:rsid w:val="009C18CA"/>
    <w:rsid w:val="009C196B"/>
    <w:rsid w:val="009C199C"/>
    <w:rsid w:val="009C1AF1"/>
    <w:rsid w:val="009C1B5C"/>
    <w:rsid w:val="009C1C98"/>
    <w:rsid w:val="009C1CE2"/>
    <w:rsid w:val="009C1FDC"/>
    <w:rsid w:val="009C20D0"/>
    <w:rsid w:val="009C20DC"/>
    <w:rsid w:val="009C219D"/>
    <w:rsid w:val="009C263E"/>
    <w:rsid w:val="009C2A42"/>
    <w:rsid w:val="009C2B60"/>
    <w:rsid w:val="009C2B7F"/>
    <w:rsid w:val="009C2BCA"/>
    <w:rsid w:val="009C2CFD"/>
    <w:rsid w:val="009C317E"/>
    <w:rsid w:val="009C339C"/>
    <w:rsid w:val="009C3710"/>
    <w:rsid w:val="009C3D5D"/>
    <w:rsid w:val="009C3E2D"/>
    <w:rsid w:val="009C44AC"/>
    <w:rsid w:val="009C4614"/>
    <w:rsid w:val="009C4876"/>
    <w:rsid w:val="009C48CB"/>
    <w:rsid w:val="009C4B31"/>
    <w:rsid w:val="009C4C6A"/>
    <w:rsid w:val="009C4E0C"/>
    <w:rsid w:val="009C4EDB"/>
    <w:rsid w:val="009C50F6"/>
    <w:rsid w:val="009C51CE"/>
    <w:rsid w:val="009C5683"/>
    <w:rsid w:val="009C574A"/>
    <w:rsid w:val="009C5ABA"/>
    <w:rsid w:val="009C6522"/>
    <w:rsid w:val="009C6E1A"/>
    <w:rsid w:val="009C73D9"/>
    <w:rsid w:val="009C7809"/>
    <w:rsid w:val="009C799E"/>
    <w:rsid w:val="009C7D16"/>
    <w:rsid w:val="009C7EEF"/>
    <w:rsid w:val="009D0265"/>
    <w:rsid w:val="009D0272"/>
    <w:rsid w:val="009D02F2"/>
    <w:rsid w:val="009D04D3"/>
    <w:rsid w:val="009D0784"/>
    <w:rsid w:val="009D09C3"/>
    <w:rsid w:val="009D1183"/>
    <w:rsid w:val="009D11ED"/>
    <w:rsid w:val="009D13AF"/>
    <w:rsid w:val="009D13F9"/>
    <w:rsid w:val="009D1949"/>
    <w:rsid w:val="009D198C"/>
    <w:rsid w:val="009D1A20"/>
    <w:rsid w:val="009D1A55"/>
    <w:rsid w:val="009D203E"/>
    <w:rsid w:val="009D20F7"/>
    <w:rsid w:val="009D20FE"/>
    <w:rsid w:val="009D22C4"/>
    <w:rsid w:val="009D23EF"/>
    <w:rsid w:val="009D2685"/>
    <w:rsid w:val="009D2BFA"/>
    <w:rsid w:val="009D2DC5"/>
    <w:rsid w:val="009D2E78"/>
    <w:rsid w:val="009D2F19"/>
    <w:rsid w:val="009D2F8B"/>
    <w:rsid w:val="009D330F"/>
    <w:rsid w:val="009D33FB"/>
    <w:rsid w:val="009D36F5"/>
    <w:rsid w:val="009D39FF"/>
    <w:rsid w:val="009D3A18"/>
    <w:rsid w:val="009D3C66"/>
    <w:rsid w:val="009D3CD7"/>
    <w:rsid w:val="009D4513"/>
    <w:rsid w:val="009D48BF"/>
    <w:rsid w:val="009D4A0A"/>
    <w:rsid w:val="009D4BB3"/>
    <w:rsid w:val="009D4C29"/>
    <w:rsid w:val="009D500F"/>
    <w:rsid w:val="009D535C"/>
    <w:rsid w:val="009D540A"/>
    <w:rsid w:val="009D5533"/>
    <w:rsid w:val="009D5701"/>
    <w:rsid w:val="009D6142"/>
    <w:rsid w:val="009D6159"/>
    <w:rsid w:val="009D6E0A"/>
    <w:rsid w:val="009D6E34"/>
    <w:rsid w:val="009D6F1E"/>
    <w:rsid w:val="009D7024"/>
    <w:rsid w:val="009D730E"/>
    <w:rsid w:val="009D74CE"/>
    <w:rsid w:val="009D77AD"/>
    <w:rsid w:val="009D7D83"/>
    <w:rsid w:val="009D7F7A"/>
    <w:rsid w:val="009E01F2"/>
    <w:rsid w:val="009E062E"/>
    <w:rsid w:val="009E07C8"/>
    <w:rsid w:val="009E0851"/>
    <w:rsid w:val="009E0FD4"/>
    <w:rsid w:val="009E143F"/>
    <w:rsid w:val="009E1D8F"/>
    <w:rsid w:val="009E1EC0"/>
    <w:rsid w:val="009E1FDA"/>
    <w:rsid w:val="009E204C"/>
    <w:rsid w:val="009E25D7"/>
    <w:rsid w:val="009E26AA"/>
    <w:rsid w:val="009E271F"/>
    <w:rsid w:val="009E2D53"/>
    <w:rsid w:val="009E2E89"/>
    <w:rsid w:val="009E2EF9"/>
    <w:rsid w:val="009E39C5"/>
    <w:rsid w:val="009E3CAC"/>
    <w:rsid w:val="009E3D32"/>
    <w:rsid w:val="009E3F1A"/>
    <w:rsid w:val="009E3FD5"/>
    <w:rsid w:val="009E412B"/>
    <w:rsid w:val="009E4232"/>
    <w:rsid w:val="009E43BA"/>
    <w:rsid w:val="009E455A"/>
    <w:rsid w:val="009E48F9"/>
    <w:rsid w:val="009E4C65"/>
    <w:rsid w:val="009E4F3C"/>
    <w:rsid w:val="009E53CE"/>
    <w:rsid w:val="009E560D"/>
    <w:rsid w:val="009E5962"/>
    <w:rsid w:val="009E5DD4"/>
    <w:rsid w:val="009E5F63"/>
    <w:rsid w:val="009E5F69"/>
    <w:rsid w:val="009E6116"/>
    <w:rsid w:val="009E6546"/>
    <w:rsid w:val="009E6984"/>
    <w:rsid w:val="009E6ABC"/>
    <w:rsid w:val="009E6C4F"/>
    <w:rsid w:val="009E6F5A"/>
    <w:rsid w:val="009E70E6"/>
    <w:rsid w:val="009E7C81"/>
    <w:rsid w:val="009E7EC1"/>
    <w:rsid w:val="009F0478"/>
    <w:rsid w:val="009F0AFE"/>
    <w:rsid w:val="009F0B67"/>
    <w:rsid w:val="009F0EFA"/>
    <w:rsid w:val="009F11C2"/>
    <w:rsid w:val="009F11CF"/>
    <w:rsid w:val="009F1279"/>
    <w:rsid w:val="009F198A"/>
    <w:rsid w:val="009F19FE"/>
    <w:rsid w:val="009F1C31"/>
    <w:rsid w:val="009F1C3D"/>
    <w:rsid w:val="009F1D4B"/>
    <w:rsid w:val="009F2065"/>
    <w:rsid w:val="009F2462"/>
    <w:rsid w:val="009F279D"/>
    <w:rsid w:val="009F2955"/>
    <w:rsid w:val="009F2F03"/>
    <w:rsid w:val="009F3168"/>
    <w:rsid w:val="009F330D"/>
    <w:rsid w:val="009F3348"/>
    <w:rsid w:val="009F34BA"/>
    <w:rsid w:val="009F39C9"/>
    <w:rsid w:val="009F3BB1"/>
    <w:rsid w:val="009F3C45"/>
    <w:rsid w:val="009F4303"/>
    <w:rsid w:val="009F4531"/>
    <w:rsid w:val="009F4790"/>
    <w:rsid w:val="009F4AD9"/>
    <w:rsid w:val="009F4C87"/>
    <w:rsid w:val="009F5038"/>
    <w:rsid w:val="009F51F2"/>
    <w:rsid w:val="009F5214"/>
    <w:rsid w:val="009F5511"/>
    <w:rsid w:val="009F56E8"/>
    <w:rsid w:val="009F5A0E"/>
    <w:rsid w:val="009F5B14"/>
    <w:rsid w:val="009F5CC7"/>
    <w:rsid w:val="009F5F2A"/>
    <w:rsid w:val="009F62C6"/>
    <w:rsid w:val="009F63B3"/>
    <w:rsid w:val="009F6660"/>
    <w:rsid w:val="009F68B5"/>
    <w:rsid w:val="009F68CE"/>
    <w:rsid w:val="009F6995"/>
    <w:rsid w:val="009F69AE"/>
    <w:rsid w:val="009F6C25"/>
    <w:rsid w:val="009F70B4"/>
    <w:rsid w:val="009F70F1"/>
    <w:rsid w:val="009F71C8"/>
    <w:rsid w:val="009F72A2"/>
    <w:rsid w:val="009F79AF"/>
    <w:rsid w:val="009F7B26"/>
    <w:rsid w:val="009F7CD1"/>
    <w:rsid w:val="00A0012B"/>
    <w:rsid w:val="00A002BF"/>
    <w:rsid w:val="00A00414"/>
    <w:rsid w:val="00A00A87"/>
    <w:rsid w:val="00A00BCC"/>
    <w:rsid w:val="00A00FCA"/>
    <w:rsid w:val="00A017C7"/>
    <w:rsid w:val="00A018F3"/>
    <w:rsid w:val="00A02641"/>
    <w:rsid w:val="00A0267E"/>
    <w:rsid w:val="00A02796"/>
    <w:rsid w:val="00A02899"/>
    <w:rsid w:val="00A02BC7"/>
    <w:rsid w:val="00A02E60"/>
    <w:rsid w:val="00A03977"/>
    <w:rsid w:val="00A03991"/>
    <w:rsid w:val="00A0449E"/>
    <w:rsid w:val="00A048CE"/>
    <w:rsid w:val="00A048EC"/>
    <w:rsid w:val="00A04CF2"/>
    <w:rsid w:val="00A04DE7"/>
    <w:rsid w:val="00A04E7B"/>
    <w:rsid w:val="00A04F48"/>
    <w:rsid w:val="00A052A6"/>
    <w:rsid w:val="00A056FB"/>
    <w:rsid w:val="00A0586B"/>
    <w:rsid w:val="00A05933"/>
    <w:rsid w:val="00A059BF"/>
    <w:rsid w:val="00A05B1C"/>
    <w:rsid w:val="00A05C94"/>
    <w:rsid w:val="00A05F6A"/>
    <w:rsid w:val="00A0603D"/>
    <w:rsid w:val="00A065A2"/>
    <w:rsid w:val="00A069F5"/>
    <w:rsid w:val="00A06F4A"/>
    <w:rsid w:val="00A071FB"/>
    <w:rsid w:val="00A072D8"/>
    <w:rsid w:val="00A073BE"/>
    <w:rsid w:val="00A07434"/>
    <w:rsid w:val="00A075E8"/>
    <w:rsid w:val="00A07847"/>
    <w:rsid w:val="00A07945"/>
    <w:rsid w:val="00A0794F"/>
    <w:rsid w:val="00A07B7D"/>
    <w:rsid w:val="00A07FDE"/>
    <w:rsid w:val="00A100D8"/>
    <w:rsid w:val="00A1029B"/>
    <w:rsid w:val="00A102BA"/>
    <w:rsid w:val="00A1057B"/>
    <w:rsid w:val="00A108FE"/>
    <w:rsid w:val="00A10982"/>
    <w:rsid w:val="00A10D6A"/>
    <w:rsid w:val="00A10E42"/>
    <w:rsid w:val="00A11426"/>
    <w:rsid w:val="00A114D8"/>
    <w:rsid w:val="00A11CE9"/>
    <w:rsid w:val="00A11E8D"/>
    <w:rsid w:val="00A1202C"/>
    <w:rsid w:val="00A121AE"/>
    <w:rsid w:val="00A122F5"/>
    <w:rsid w:val="00A123AE"/>
    <w:rsid w:val="00A12857"/>
    <w:rsid w:val="00A12A07"/>
    <w:rsid w:val="00A12AA2"/>
    <w:rsid w:val="00A12EDE"/>
    <w:rsid w:val="00A13216"/>
    <w:rsid w:val="00A1335D"/>
    <w:rsid w:val="00A1470B"/>
    <w:rsid w:val="00A14718"/>
    <w:rsid w:val="00A14723"/>
    <w:rsid w:val="00A14A0F"/>
    <w:rsid w:val="00A15243"/>
    <w:rsid w:val="00A155A1"/>
    <w:rsid w:val="00A156B9"/>
    <w:rsid w:val="00A157A7"/>
    <w:rsid w:val="00A15C02"/>
    <w:rsid w:val="00A15FAC"/>
    <w:rsid w:val="00A16499"/>
    <w:rsid w:val="00A16513"/>
    <w:rsid w:val="00A16762"/>
    <w:rsid w:val="00A16DCD"/>
    <w:rsid w:val="00A1737F"/>
    <w:rsid w:val="00A17540"/>
    <w:rsid w:val="00A17AC2"/>
    <w:rsid w:val="00A17B00"/>
    <w:rsid w:val="00A17C97"/>
    <w:rsid w:val="00A2020B"/>
    <w:rsid w:val="00A205BD"/>
    <w:rsid w:val="00A20944"/>
    <w:rsid w:val="00A20A1D"/>
    <w:rsid w:val="00A20AA9"/>
    <w:rsid w:val="00A20AD7"/>
    <w:rsid w:val="00A20D16"/>
    <w:rsid w:val="00A2100C"/>
    <w:rsid w:val="00A21261"/>
    <w:rsid w:val="00A21771"/>
    <w:rsid w:val="00A21968"/>
    <w:rsid w:val="00A21DCF"/>
    <w:rsid w:val="00A21E45"/>
    <w:rsid w:val="00A22014"/>
    <w:rsid w:val="00A221D2"/>
    <w:rsid w:val="00A22498"/>
    <w:rsid w:val="00A224BA"/>
    <w:rsid w:val="00A22B8C"/>
    <w:rsid w:val="00A230E3"/>
    <w:rsid w:val="00A2333E"/>
    <w:rsid w:val="00A23414"/>
    <w:rsid w:val="00A23922"/>
    <w:rsid w:val="00A239C8"/>
    <w:rsid w:val="00A23A31"/>
    <w:rsid w:val="00A23F1B"/>
    <w:rsid w:val="00A2433A"/>
    <w:rsid w:val="00A24811"/>
    <w:rsid w:val="00A24BE3"/>
    <w:rsid w:val="00A24BFB"/>
    <w:rsid w:val="00A24BFF"/>
    <w:rsid w:val="00A24DA8"/>
    <w:rsid w:val="00A251C7"/>
    <w:rsid w:val="00A256DD"/>
    <w:rsid w:val="00A25779"/>
    <w:rsid w:val="00A2594A"/>
    <w:rsid w:val="00A26047"/>
    <w:rsid w:val="00A26049"/>
    <w:rsid w:val="00A26996"/>
    <w:rsid w:val="00A26A87"/>
    <w:rsid w:val="00A26DB4"/>
    <w:rsid w:val="00A274AC"/>
    <w:rsid w:val="00A274FC"/>
    <w:rsid w:val="00A2772A"/>
    <w:rsid w:val="00A27883"/>
    <w:rsid w:val="00A278F7"/>
    <w:rsid w:val="00A302CE"/>
    <w:rsid w:val="00A309AC"/>
    <w:rsid w:val="00A30A61"/>
    <w:rsid w:val="00A30B71"/>
    <w:rsid w:val="00A30F8B"/>
    <w:rsid w:val="00A3120B"/>
    <w:rsid w:val="00A3129A"/>
    <w:rsid w:val="00A312FC"/>
    <w:rsid w:val="00A31646"/>
    <w:rsid w:val="00A31F60"/>
    <w:rsid w:val="00A32011"/>
    <w:rsid w:val="00A323BE"/>
    <w:rsid w:val="00A328FA"/>
    <w:rsid w:val="00A32A7F"/>
    <w:rsid w:val="00A331CE"/>
    <w:rsid w:val="00A33336"/>
    <w:rsid w:val="00A3340B"/>
    <w:rsid w:val="00A33522"/>
    <w:rsid w:val="00A33871"/>
    <w:rsid w:val="00A33B23"/>
    <w:rsid w:val="00A33BF8"/>
    <w:rsid w:val="00A33C7F"/>
    <w:rsid w:val="00A33E19"/>
    <w:rsid w:val="00A33FAE"/>
    <w:rsid w:val="00A3437E"/>
    <w:rsid w:val="00A3491B"/>
    <w:rsid w:val="00A34DB8"/>
    <w:rsid w:val="00A34FAC"/>
    <w:rsid w:val="00A35059"/>
    <w:rsid w:val="00A3507D"/>
    <w:rsid w:val="00A35099"/>
    <w:rsid w:val="00A350ED"/>
    <w:rsid w:val="00A352DA"/>
    <w:rsid w:val="00A35931"/>
    <w:rsid w:val="00A35945"/>
    <w:rsid w:val="00A35C2A"/>
    <w:rsid w:val="00A35CFC"/>
    <w:rsid w:val="00A360DC"/>
    <w:rsid w:val="00A362D8"/>
    <w:rsid w:val="00A3646A"/>
    <w:rsid w:val="00A367EE"/>
    <w:rsid w:val="00A36DDF"/>
    <w:rsid w:val="00A37C7B"/>
    <w:rsid w:val="00A4014F"/>
    <w:rsid w:val="00A402D4"/>
    <w:rsid w:val="00A403BB"/>
    <w:rsid w:val="00A403F9"/>
    <w:rsid w:val="00A40A35"/>
    <w:rsid w:val="00A40BAE"/>
    <w:rsid w:val="00A40D69"/>
    <w:rsid w:val="00A40DF2"/>
    <w:rsid w:val="00A41079"/>
    <w:rsid w:val="00A41756"/>
    <w:rsid w:val="00A41D62"/>
    <w:rsid w:val="00A41EFA"/>
    <w:rsid w:val="00A42308"/>
    <w:rsid w:val="00A42868"/>
    <w:rsid w:val="00A42B8D"/>
    <w:rsid w:val="00A4309D"/>
    <w:rsid w:val="00A43127"/>
    <w:rsid w:val="00A43138"/>
    <w:rsid w:val="00A43310"/>
    <w:rsid w:val="00A435AB"/>
    <w:rsid w:val="00A43661"/>
    <w:rsid w:val="00A4374C"/>
    <w:rsid w:val="00A43AE9"/>
    <w:rsid w:val="00A44095"/>
    <w:rsid w:val="00A440BF"/>
    <w:rsid w:val="00A4417C"/>
    <w:rsid w:val="00A44208"/>
    <w:rsid w:val="00A44A1E"/>
    <w:rsid w:val="00A44CBA"/>
    <w:rsid w:val="00A450DE"/>
    <w:rsid w:val="00A45305"/>
    <w:rsid w:val="00A4565A"/>
    <w:rsid w:val="00A45698"/>
    <w:rsid w:val="00A457A4"/>
    <w:rsid w:val="00A45A94"/>
    <w:rsid w:val="00A45F27"/>
    <w:rsid w:val="00A46141"/>
    <w:rsid w:val="00A465C7"/>
    <w:rsid w:val="00A4679A"/>
    <w:rsid w:val="00A46A2C"/>
    <w:rsid w:val="00A46E1B"/>
    <w:rsid w:val="00A47332"/>
    <w:rsid w:val="00A4748A"/>
    <w:rsid w:val="00A47845"/>
    <w:rsid w:val="00A47A1E"/>
    <w:rsid w:val="00A47C19"/>
    <w:rsid w:val="00A47F7C"/>
    <w:rsid w:val="00A50316"/>
    <w:rsid w:val="00A50705"/>
    <w:rsid w:val="00A5085D"/>
    <w:rsid w:val="00A50ED5"/>
    <w:rsid w:val="00A50F2A"/>
    <w:rsid w:val="00A510C1"/>
    <w:rsid w:val="00A510DD"/>
    <w:rsid w:val="00A5149B"/>
    <w:rsid w:val="00A51874"/>
    <w:rsid w:val="00A519AB"/>
    <w:rsid w:val="00A51B99"/>
    <w:rsid w:val="00A52075"/>
    <w:rsid w:val="00A52128"/>
    <w:rsid w:val="00A521E3"/>
    <w:rsid w:val="00A52311"/>
    <w:rsid w:val="00A524E9"/>
    <w:rsid w:val="00A5288B"/>
    <w:rsid w:val="00A528B6"/>
    <w:rsid w:val="00A528E1"/>
    <w:rsid w:val="00A52907"/>
    <w:rsid w:val="00A52A89"/>
    <w:rsid w:val="00A52AD6"/>
    <w:rsid w:val="00A52AED"/>
    <w:rsid w:val="00A52CCD"/>
    <w:rsid w:val="00A52F6C"/>
    <w:rsid w:val="00A5310C"/>
    <w:rsid w:val="00A53114"/>
    <w:rsid w:val="00A5312E"/>
    <w:rsid w:val="00A532CD"/>
    <w:rsid w:val="00A533D5"/>
    <w:rsid w:val="00A5372D"/>
    <w:rsid w:val="00A5394D"/>
    <w:rsid w:val="00A53A98"/>
    <w:rsid w:val="00A53AEC"/>
    <w:rsid w:val="00A54402"/>
    <w:rsid w:val="00A545B2"/>
    <w:rsid w:val="00A548D2"/>
    <w:rsid w:val="00A548F0"/>
    <w:rsid w:val="00A54E68"/>
    <w:rsid w:val="00A554A0"/>
    <w:rsid w:val="00A5584A"/>
    <w:rsid w:val="00A560EF"/>
    <w:rsid w:val="00A56207"/>
    <w:rsid w:val="00A56356"/>
    <w:rsid w:val="00A5674E"/>
    <w:rsid w:val="00A56DC9"/>
    <w:rsid w:val="00A5745C"/>
    <w:rsid w:val="00A57E4F"/>
    <w:rsid w:val="00A57F93"/>
    <w:rsid w:val="00A60432"/>
    <w:rsid w:val="00A606BE"/>
    <w:rsid w:val="00A60866"/>
    <w:rsid w:val="00A608B9"/>
    <w:rsid w:val="00A60A4A"/>
    <w:rsid w:val="00A60AC7"/>
    <w:rsid w:val="00A60DFF"/>
    <w:rsid w:val="00A60E3F"/>
    <w:rsid w:val="00A612B4"/>
    <w:rsid w:val="00A61758"/>
    <w:rsid w:val="00A61875"/>
    <w:rsid w:val="00A61CE5"/>
    <w:rsid w:val="00A6226E"/>
    <w:rsid w:val="00A623C2"/>
    <w:rsid w:val="00A62682"/>
    <w:rsid w:val="00A62A95"/>
    <w:rsid w:val="00A62ADC"/>
    <w:rsid w:val="00A62E45"/>
    <w:rsid w:val="00A62ECE"/>
    <w:rsid w:val="00A62EF3"/>
    <w:rsid w:val="00A63266"/>
    <w:rsid w:val="00A6328F"/>
    <w:rsid w:val="00A63508"/>
    <w:rsid w:val="00A63509"/>
    <w:rsid w:val="00A635D2"/>
    <w:rsid w:val="00A63961"/>
    <w:rsid w:val="00A63C13"/>
    <w:rsid w:val="00A6456D"/>
    <w:rsid w:val="00A645FC"/>
    <w:rsid w:val="00A64675"/>
    <w:rsid w:val="00A64882"/>
    <w:rsid w:val="00A64A64"/>
    <w:rsid w:val="00A65117"/>
    <w:rsid w:val="00A653A2"/>
    <w:rsid w:val="00A65A82"/>
    <w:rsid w:val="00A65E76"/>
    <w:rsid w:val="00A66089"/>
    <w:rsid w:val="00A6608E"/>
    <w:rsid w:val="00A66626"/>
    <w:rsid w:val="00A6670C"/>
    <w:rsid w:val="00A66A6B"/>
    <w:rsid w:val="00A6736B"/>
    <w:rsid w:val="00A675FD"/>
    <w:rsid w:val="00A67A30"/>
    <w:rsid w:val="00A67CF0"/>
    <w:rsid w:val="00A7030C"/>
    <w:rsid w:val="00A70ABD"/>
    <w:rsid w:val="00A70D71"/>
    <w:rsid w:val="00A70E4E"/>
    <w:rsid w:val="00A71130"/>
    <w:rsid w:val="00A71196"/>
    <w:rsid w:val="00A711D3"/>
    <w:rsid w:val="00A71250"/>
    <w:rsid w:val="00A712E4"/>
    <w:rsid w:val="00A71595"/>
    <w:rsid w:val="00A719F9"/>
    <w:rsid w:val="00A71BB0"/>
    <w:rsid w:val="00A71DD5"/>
    <w:rsid w:val="00A71E7F"/>
    <w:rsid w:val="00A72378"/>
    <w:rsid w:val="00A724FA"/>
    <w:rsid w:val="00A72599"/>
    <w:rsid w:val="00A7264D"/>
    <w:rsid w:val="00A72673"/>
    <w:rsid w:val="00A727A7"/>
    <w:rsid w:val="00A72CBF"/>
    <w:rsid w:val="00A73475"/>
    <w:rsid w:val="00A73C00"/>
    <w:rsid w:val="00A73CB8"/>
    <w:rsid w:val="00A74050"/>
    <w:rsid w:val="00A744A5"/>
    <w:rsid w:val="00A748BF"/>
    <w:rsid w:val="00A74979"/>
    <w:rsid w:val="00A74DF7"/>
    <w:rsid w:val="00A74FF3"/>
    <w:rsid w:val="00A75090"/>
    <w:rsid w:val="00A759F1"/>
    <w:rsid w:val="00A75B15"/>
    <w:rsid w:val="00A75E09"/>
    <w:rsid w:val="00A75F8A"/>
    <w:rsid w:val="00A7696A"/>
    <w:rsid w:val="00A769C4"/>
    <w:rsid w:val="00A769E4"/>
    <w:rsid w:val="00A76BA0"/>
    <w:rsid w:val="00A76C93"/>
    <w:rsid w:val="00A7713C"/>
    <w:rsid w:val="00A7736C"/>
    <w:rsid w:val="00A77583"/>
    <w:rsid w:val="00A7779A"/>
    <w:rsid w:val="00A779D2"/>
    <w:rsid w:val="00A77BB9"/>
    <w:rsid w:val="00A77E04"/>
    <w:rsid w:val="00A77FFB"/>
    <w:rsid w:val="00A801DC"/>
    <w:rsid w:val="00A80A71"/>
    <w:rsid w:val="00A80B0C"/>
    <w:rsid w:val="00A80D95"/>
    <w:rsid w:val="00A80E5A"/>
    <w:rsid w:val="00A80EFC"/>
    <w:rsid w:val="00A8123A"/>
    <w:rsid w:val="00A8147B"/>
    <w:rsid w:val="00A81690"/>
    <w:rsid w:val="00A81810"/>
    <w:rsid w:val="00A81A46"/>
    <w:rsid w:val="00A82387"/>
    <w:rsid w:val="00A82DD0"/>
    <w:rsid w:val="00A83026"/>
    <w:rsid w:val="00A83234"/>
    <w:rsid w:val="00A83327"/>
    <w:rsid w:val="00A8383E"/>
    <w:rsid w:val="00A83B6E"/>
    <w:rsid w:val="00A83C88"/>
    <w:rsid w:val="00A83D05"/>
    <w:rsid w:val="00A850B7"/>
    <w:rsid w:val="00A853F0"/>
    <w:rsid w:val="00A858AA"/>
    <w:rsid w:val="00A85A8E"/>
    <w:rsid w:val="00A85D0D"/>
    <w:rsid w:val="00A86178"/>
    <w:rsid w:val="00A862E7"/>
    <w:rsid w:val="00A863CF"/>
    <w:rsid w:val="00A86AA9"/>
    <w:rsid w:val="00A86DD2"/>
    <w:rsid w:val="00A8714F"/>
    <w:rsid w:val="00A8715B"/>
    <w:rsid w:val="00A8755C"/>
    <w:rsid w:val="00A8771F"/>
    <w:rsid w:val="00A87AA1"/>
    <w:rsid w:val="00A87E6F"/>
    <w:rsid w:val="00A90047"/>
    <w:rsid w:val="00A9031B"/>
    <w:rsid w:val="00A90507"/>
    <w:rsid w:val="00A906B5"/>
    <w:rsid w:val="00A908BB"/>
    <w:rsid w:val="00A90C30"/>
    <w:rsid w:val="00A90E2C"/>
    <w:rsid w:val="00A91025"/>
    <w:rsid w:val="00A91247"/>
    <w:rsid w:val="00A919C3"/>
    <w:rsid w:val="00A91ADA"/>
    <w:rsid w:val="00A92029"/>
    <w:rsid w:val="00A921E8"/>
    <w:rsid w:val="00A92489"/>
    <w:rsid w:val="00A9257E"/>
    <w:rsid w:val="00A92667"/>
    <w:rsid w:val="00A92795"/>
    <w:rsid w:val="00A92B68"/>
    <w:rsid w:val="00A92BE3"/>
    <w:rsid w:val="00A92DFD"/>
    <w:rsid w:val="00A92F48"/>
    <w:rsid w:val="00A937A5"/>
    <w:rsid w:val="00A937F1"/>
    <w:rsid w:val="00A93824"/>
    <w:rsid w:val="00A93A87"/>
    <w:rsid w:val="00A940F2"/>
    <w:rsid w:val="00A941DF"/>
    <w:rsid w:val="00A94347"/>
    <w:rsid w:val="00A9459F"/>
    <w:rsid w:val="00A94621"/>
    <w:rsid w:val="00A946C4"/>
    <w:rsid w:val="00A94ACE"/>
    <w:rsid w:val="00A94C3C"/>
    <w:rsid w:val="00A9538E"/>
    <w:rsid w:val="00A9572F"/>
    <w:rsid w:val="00A957A2"/>
    <w:rsid w:val="00A95C48"/>
    <w:rsid w:val="00A95E43"/>
    <w:rsid w:val="00A95F2F"/>
    <w:rsid w:val="00A9629B"/>
    <w:rsid w:val="00A967A0"/>
    <w:rsid w:val="00A96869"/>
    <w:rsid w:val="00A96BDC"/>
    <w:rsid w:val="00A96C4C"/>
    <w:rsid w:val="00A96D1F"/>
    <w:rsid w:val="00A97471"/>
    <w:rsid w:val="00A975AA"/>
    <w:rsid w:val="00A97D69"/>
    <w:rsid w:val="00A97E4E"/>
    <w:rsid w:val="00AA0029"/>
    <w:rsid w:val="00AA04A9"/>
    <w:rsid w:val="00AA073A"/>
    <w:rsid w:val="00AA0943"/>
    <w:rsid w:val="00AA0C9E"/>
    <w:rsid w:val="00AA0CFF"/>
    <w:rsid w:val="00AA11CA"/>
    <w:rsid w:val="00AA154F"/>
    <w:rsid w:val="00AA17D0"/>
    <w:rsid w:val="00AA1BF8"/>
    <w:rsid w:val="00AA2371"/>
    <w:rsid w:val="00AA2BE6"/>
    <w:rsid w:val="00AA2C20"/>
    <w:rsid w:val="00AA30F8"/>
    <w:rsid w:val="00AA32C1"/>
    <w:rsid w:val="00AA3373"/>
    <w:rsid w:val="00AA4A9E"/>
    <w:rsid w:val="00AA4BEA"/>
    <w:rsid w:val="00AA4DB6"/>
    <w:rsid w:val="00AA4DD2"/>
    <w:rsid w:val="00AA5215"/>
    <w:rsid w:val="00AA5FBE"/>
    <w:rsid w:val="00AA6AAF"/>
    <w:rsid w:val="00AA6C07"/>
    <w:rsid w:val="00AA6C43"/>
    <w:rsid w:val="00AA6D3C"/>
    <w:rsid w:val="00AA6DB5"/>
    <w:rsid w:val="00AA731D"/>
    <w:rsid w:val="00AA7474"/>
    <w:rsid w:val="00AA75E9"/>
    <w:rsid w:val="00AA78EF"/>
    <w:rsid w:val="00AB004C"/>
    <w:rsid w:val="00AB018B"/>
    <w:rsid w:val="00AB03DF"/>
    <w:rsid w:val="00AB096F"/>
    <w:rsid w:val="00AB0A24"/>
    <w:rsid w:val="00AB0FF7"/>
    <w:rsid w:val="00AB154A"/>
    <w:rsid w:val="00AB1637"/>
    <w:rsid w:val="00AB1C61"/>
    <w:rsid w:val="00AB2280"/>
    <w:rsid w:val="00AB3215"/>
    <w:rsid w:val="00AB3793"/>
    <w:rsid w:val="00AB37F9"/>
    <w:rsid w:val="00AB3976"/>
    <w:rsid w:val="00AB3C70"/>
    <w:rsid w:val="00AB41E7"/>
    <w:rsid w:val="00AB45E8"/>
    <w:rsid w:val="00AB4965"/>
    <w:rsid w:val="00AB4A9A"/>
    <w:rsid w:val="00AB4E61"/>
    <w:rsid w:val="00AB5054"/>
    <w:rsid w:val="00AB546D"/>
    <w:rsid w:val="00AB5537"/>
    <w:rsid w:val="00AB58DC"/>
    <w:rsid w:val="00AB59A3"/>
    <w:rsid w:val="00AB5B2D"/>
    <w:rsid w:val="00AB64C9"/>
    <w:rsid w:val="00AB662E"/>
    <w:rsid w:val="00AB66B5"/>
    <w:rsid w:val="00AB6B0B"/>
    <w:rsid w:val="00AB6B35"/>
    <w:rsid w:val="00AB6C29"/>
    <w:rsid w:val="00AB72AC"/>
    <w:rsid w:val="00AB72B7"/>
    <w:rsid w:val="00AB763A"/>
    <w:rsid w:val="00AB777D"/>
    <w:rsid w:val="00AB7E5D"/>
    <w:rsid w:val="00AC0008"/>
    <w:rsid w:val="00AC0502"/>
    <w:rsid w:val="00AC068B"/>
    <w:rsid w:val="00AC0AED"/>
    <w:rsid w:val="00AC0C1C"/>
    <w:rsid w:val="00AC0CBF"/>
    <w:rsid w:val="00AC0D58"/>
    <w:rsid w:val="00AC1266"/>
    <w:rsid w:val="00AC14DA"/>
    <w:rsid w:val="00AC1EDB"/>
    <w:rsid w:val="00AC1F01"/>
    <w:rsid w:val="00AC3B9C"/>
    <w:rsid w:val="00AC3BFA"/>
    <w:rsid w:val="00AC3E66"/>
    <w:rsid w:val="00AC401E"/>
    <w:rsid w:val="00AC404A"/>
    <w:rsid w:val="00AC4312"/>
    <w:rsid w:val="00AC4343"/>
    <w:rsid w:val="00AC43EA"/>
    <w:rsid w:val="00AC4897"/>
    <w:rsid w:val="00AC4BBF"/>
    <w:rsid w:val="00AC4E6F"/>
    <w:rsid w:val="00AC5329"/>
    <w:rsid w:val="00AC534E"/>
    <w:rsid w:val="00AC5455"/>
    <w:rsid w:val="00AC5978"/>
    <w:rsid w:val="00AC5D4F"/>
    <w:rsid w:val="00AC64FE"/>
    <w:rsid w:val="00AC6AD6"/>
    <w:rsid w:val="00AC6C60"/>
    <w:rsid w:val="00AC6D46"/>
    <w:rsid w:val="00AC6FFB"/>
    <w:rsid w:val="00AC7237"/>
    <w:rsid w:val="00AC772B"/>
    <w:rsid w:val="00AD0184"/>
    <w:rsid w:val="00AD01F5"/>
    <w:rsid w:val="00AD035C"/>
    <w:rsid w:val="00AD07FC"/>
    <w:rsid w:val="00AD086F"/>
    <w:rsid w:val="00AD0A96"/>
    <w:rsid w:val="00AD0EA4"/>
    <w:rsid w:val="00AD1271"/>
    <w:rsid w:val="00AD13E4"/>
    <w:rsid w:val="00AD146B"/>
    <w:rsid w:val="00AD1477"/>
    <w:rsid w:val="00AD183F"/>
    <w:rsid w:val="00AD1E27"/>
    <w:rsid w:val="00AD2AA7"/>
    <w:rsid w:val="00AD2FC4"/>
    <w:rsid w:val="00AD322D"/>
    <w:rsid w:val="00AD3289"/>
    <w:rsid w:val="00AD3534"/>
    <w:rsid w:val="00AD357D"/>
    <w:rsid w:val="00AD35D7"/>
    <w:rsid w:val="00AD39CA"/>
    <w:rsid w:val="00AD3C84"/>
    <w:rsid w:val="00AD3DD3"/>
    <w:rsid w:val="00AD4232"/>
    <w:rsid w:val="00AD43F5"/>
    <w:rsid w:val="00AD4723"/>
    <w:rsid w:val="00AD4737"/>
    <w:rsid w:val="00AD4B9D"/>
    <w:rsid w:val="00AD4C00"/>
    <w:rsid w:val="00AD4D03"/>
    <w:rsid w:val="00AD4FB6"/>
    <w:rsid w:val="00AD5184"/>
    <w:rsid w:val="00AD52A4"/>
    <w:rsid w:val="00AD54BA"/>
    <w:rsid w:val="00AD57CA"/>
    <w:rsid w:val="00AD5A61"/>
    <w:rsid w:val="00AD5B12"/>
    <w:rsid w:val="00AD5D3B"/>
    <w:rsid w:val="00AD64D8"/>
    <w:rsid w:val="00AD69D7"/>
    <w:rsid w:val="00AD6C64"/>
    <w:rsid w:val="00AD6D44"/>
    <w:rsid w:val="00AD71AE"/>
    <w:rsid w:val="00AD724A"/>
    <w:rsid w:val="00AD7301"/>
    <w:rsid w:val="00AD74F7"/>
    <w:rsid w:val="00AD7539"/>
    <w:rsid w:val="00AD7A66"/>
    <w:rsid w:val="00AD7AB0"/>
    <w:rsid w:val="00AD7AF7"/>
    <w:rsid w:val="00AD7C10"/>
    <w:rsid w:val="00AD7CB5"/>
    <w:rsid w:val="00AD7D8C"/>
    <w:rsid w:val="00AE0019"/>
    <w:rsid w:val="00AE002E"/>
    <w:rsid w:val="00AE00C7"/>
    <w:rsid w:val="00AE00EC"/>
    <w:rsid w:val="00AE0615"/>
    <w:rsid w:val="00AE09E1"/>
    <w:rsid w:val="00AE0A34"/>
    <w:rsid w:val="00AE0E67"/>
    <w:rsid w:val="00AE1005"/>
    <w:rsid w:val="00AE14A9"/>
    <w:rsid w:val="00AE194C"/>
    <w:rsid w:val="00AE19A9"/>
    <w:rsid w:val="00AE19D0"/>
    <w:rsid w:val="00AE1D5D"/>
    <w:rsid w:val="00AE1E5E"/>
    <w:rsid w:val="00AE1E8C"/>
    <w:rsid w:val="00AE22FE"/>
    <w:rsid w:val="00AE2689"/>
    <w:rsid w:val="00AE2F61"/>
    <w:rsid w:val="00AE338D"/>
    <w:rsid w:val="00AE371E"/>
    <w:rsid w:val="00AE3AA0"/>
    <w:rsid w:val="00AE3C32"/>
    <w:rsid w:val="00AE3C84"/>
    <w:rsid w:val="00AE3E39"/>
    <w:rsid w:val="00AE4312"/>
    <w:rsid w:val="00AE4719"/>
    <w:rsid w:val="00AE48F2"/>
    <w:rsid w:val="00AE4923"/>
    <w:rsid w:val="00AE4E2C"/>
    <w:rsid w:val="00AE4E4F"/>
    <w:rsid w:val="00AE4E99"/>
    <w:rsid w:val="00AE5213"/>
    <w:rsid w:val="00AE53F0"/>
    <w:rsid w:val="00AE5556"/>
    <w:rsid w:val="00AE567C"/>
    <w:rsid w:val="00AE5A98"/>
    <w:rsid w:val="00AE5C22"/>
    <w:rsid w:val="00AE5E5A"/>
    <w:rsid w:val="00AE5EBC"/>
    <w:rsid w:val="00AE60AD"/>
    <w:rsid w:val="00AE62FB"/>
    <w:rsid w:val="00AE6470"/>
    <w:rsid w:val="00AE697C"/>
    <w:rsid w:val="00AE6AFF"/>
    <w:rsid w:val="00AE6C4C"/>
    <w:rsid w:val="00AE6D7C"/>
    <w:rsid w:val="00AE6E7C"/>
    <w:rsid w:val="00AE731A"/>
    <w:rsid w:val="00AE7676"/>
    <w:rsid w:val="00AE7918"/>
    <w:rsid w:val="00AE7B82"/>
    <w:rsid w:val="00AF0708"/>
    <w:rsid w:val="00AF087D"/>
    <w:rsid w:val="00AF08DF"/>
    <w:rsid w:val="00AF0A9D"/>
    <w:rsid w:val="00AF0DA2"/>
    <w:rsid w:val="00AF1011"/>
    <w:rsid w:val="00AF1535"/>
    <w:rsid w:val="00AF19BA"/>
    <w:rsid w:val="00AF1A3F"/>
    <w:rsid w:val="00AF1BE7"/>
    <w:rsid w:val="00AF1D2C"/>
    <w:rsid w:val="00AF209C"/>
    <w:rsid w:val="00AF23BC"/>
    <w:rsid w:val="00AF257E"/>
    <w:rsid w:val="00AF26FF"/>
    <w:rsid w:val="00AF3186"/>
    <w:rsid w:val="00AF3575"/>
    <w:rsid w:val="00AF374E"/>
    <w:rsid w:val="00AF3910"/>
    <w:rsid w:val="00AF39AB"/>
    <w:rsid w:val="00AF404D"/>
    <w:rsid w:val="00AF416E"/>
    <w:rsid w:val="00AF4DA2"/>
    <w:rsid w:val="00AF4E51"/>
    <w:rsid w:val="00AF524C"/>
    <w:rsid w:val="00AF5520"/>
    <w:rsid w:val="00AF577C"/>
    <w:rsid w:val="00AF5C82"/>
    <w:rsid w:val="00AF5EE3"/>
    <w:rsid w:val="00AF607C"/>
    <w:rsid w:val="00AF6339"/>
    <w:rsid w:val="00AF63B7"/>
    <w:rsid w:val="00AF6C82"/>
    <w:rsid w:val="00AF6C8D"/>
    <w:rsid w:val="00AF6D3F"/>
    <w:rsid w:val="00AF6EA0"/>
    <w:rsid w:val="00AF7366"/>
    <w:rsid w:val="00AF740C"/>
    <w:rsid w:val="00AF74D7"/>
    <w:rsid w:val="00AF75FF"/>
    <w:rsid w:val="00AF7784"/>
    <w:rsid w:val="00AF7987"/>
    <w:rsid w:val="00AF7A1D"/>
    <w:rsid w:val="00AF7D4A"/>
    <w:rsid w:val="00B00002"/>
    <w:rsid w:val="00B000E5"/>
    <w:rsid w:val="00B00284"/>
    <w:rsid w:val="00B003E7"/>
    <w:rsid w:val="00B00449"/>
    <w:rsid w:val="00B007E2"/>
    <w:rsid w:val="00B00D66"/>
    <w:rsid w:val="00B01329"/>
    <w:rsid w:val="00B015E3"/>
    <w:rsid w:val="00B01A0A"/>
    <w:rsid w:val="00B01A30"/>
    <w:rsid w:val="00B0216C"/>
    <w:rsid w:val="00B0219F"/>
    <w:rsid w:val="00B0252E"/>
    <w:rsid w:val="00B02988"/>
    <w:rsid w:val="00B041CD"/>
    <w:rsid w:val="00B041DA"/>
    <w:rsid w:val="00B0447B"/>
    <w:rsid w:val="00B047C1"/>
    <w:rsid w:val="00B04903"/>
    <w:rsid w:val="00B04A1E"/>
    <w:rsid w:val="00B04C0B"/>
    <w:rsid w:val="00B04D7D"/>
    <w:rsid w:val="00B053E6"/>
    <w:rsid w:val="00B0558E"/>
    <w:rsid w:val="00B05614"/>
    <w:rsid w:val="00B056D6"/>
    <w:rsid w:val="00B0578E"/>
    <w:rsid w:val="00B05927"/>
    <w:rsid w:val="00B0599C"/>
    <w:rsid w:val="00B05BA5"/>
    <w:rsid w:val="00B05C3F"/>
    <w:rsid w:val="00B05E34"/>
    <w:rsid w:val="00B05ED0"/>
    <w:rsid w:val="00B0652D"/>
    <w:rsid w:val="00B06C8F"/>
    <w:rsid w:val="00B07004"/>
    <w:rsid w:val="00B0700F"/>
    <w:rsid w:val="00B0708E"/>
    <w:rsid w:val="00B07400"/>
    <w:rsid w:val="00B074D9"/>
    <w:rsid w:val="00B0751A"/>
    <w:rsid w:val="00B07604"/>
    <w:rsid w:val="00B0795A"/>
    <w:rsid w:val="00B07DE6"/>
    <w:rsid w:val="00B07EB6"/>
    <w:rsid w:val="00B0CC07"/>
    <w:rsid w:val="00B100EF"/>
    <w:rsid w:val="00B10A45"/>
    <w:rsid w:val="00B10B5D"/>
    <w:rsid w:val="00B10CD2"/>
    <w:rsid w:val="00B10D13"/>
    <w:rsid w:val="00B10FF1"/>
    <w:rsid w:val="00B11308"/>
    <w:rsid w:val="00B1152E"/>
    <w:rsid w:val="00B1199F"/>
    <w:rsid w:val="00B11D2E"/>
    <w:rsid w:val="00B12033"/>
    <w:rsid w:val="00B12127"/>
    <w:rsid w:val="00B1240C"/>
    <w:rsid w:val="00B12928"/>
    <w:rsid w:val="00B12E08"/>
    <w:rsid w:val="00B13068"/>
    <w:rsid w:val="00B13140"/>
    <w:rsid w:val="00B13150"/>
    <w:rsid w:val="00B13274"/>
    <w:rsid w:val="00B1367D"/>
    <w:rsid w:val="00B13784"/>
    <w:rsid w:val="00B13D70"/>
    <w:rsid w:val="00B14223"/>
    <w:rsid w:val="00B143B8"/>
    <w:rsid w:val="00B149C8"/>
    <w:rsid w:val="00B14D19"/>
    <w:rsid w:val="00B14EEF"/>
    <w:rsid w:val="00B150ED"/>
    <w:rsid w:val="00B15112"/>
    <w:rsid w:val="00B16B46"/>
    <w:rsid w:val="00B16DBB"/>
    <w:rsid w:val="00B170A3"/>
    <w:rsid w:val="00B171C6"/>
    <w:rsid w:val="00B1790F"/>
    <w:rsid w:val="00B17B50"/>
    <w:rsid w:val="00B200D9"/>
    <w:rsid w:val="00B20850"/>
    <w:rsid w:val="00B2095E"/>
    <w:rsid w:val="00B2099E"/>
    <w:rsid w:val="00B20F84"/>
    <w:rsid w:val="00B20FC9"/>
    <w:rsid w:val="00B2104F"/>
    <w:rsid w:val="00B21466"/>
    <w:rsid w:val="00B2146A"/>
    <w:rsid w:val="00B215B4"/>
    <w:rsid w:val="00B216AE"/>
    <w:rsid w:val="00B218C5"/>
    <w:rsid w:val="00B218FB"/>
    <w:rsid w:val="00B21965"/>
    <w:rsid w:val="00B21D22"/>
    <w:rsid w:val="00B21EFD"/>
    <w:rsid w:val="00B22174"/>
    <w:rsid w:val="00B22336"/>
    <w:rsid w:val="00B22457"/>
    <w:rsid w:val="00B225D4"/>
    <w:rsid w:val="00B2270C"/>
    <w:rsid w:val="00B229E1"/>
    <w:rsid w:val="00B22D3D"/>
    <w:rsid w:val="00B23099"/>
    <w:rsid w:val="00B2346C"/>
    <w:rsid w:val="00B23692"/>
    <w:rsid w:val="00B237AF"/>
    <w:rsid w:val="00B23E72"/>
    <w:rsid w:val="00B24344"/>
    <w:rsid w:val="00B245DB"/>
    <w:rsid w:val="00B24620"/>
    <w:rsid w:val="00B24688"/>
    <w:rsid w:val="00B2470E"/>
    <w:rsid w:val="00B24783"/>
    <w:rsid w:val="00B24A17"/>
    <w:rsid w:val="00B24C4B"/>
    <w:rsid w:val="00B24C67"/>
    <w:rsid w:val="00B24DAB"/>
    <w:rsid w:val="00B251B6"/>
    <w:rsid w:val="00B2525D"/>
    <w:rsid w:val="00B25982"/>
    <w:rsid w:val="00B25B08"/>
    <w:rsid w:val="00B25C0C"/>
    <w:rsid w:val="00B25CF7"/>
    <w:rsid w:val="00B25DDF"/>
    <w:rsid w:val="00B25FD4"/>
    <w:rsid w:val="00B26125"/>
    <w:rsid w:val="00B262A4"/>
    <w:rsid w:val="00B26466"/>
    <w:rsid w:val="00B264F1"/>
    <w:rsid w:val="00B2674C"/>
    <w:rsid w:val="00B26BE7"/>
    <w:rsid w:val="00B26DCB"/>
    <w:rsid w:val="00B26E18"/>
    <w:rsid w:val="00B270C9"/>
    <w:rsid w:val="00B27C06"/>
    <w:rsid w:val="00B27E2D"/>
    <w:rsid w:val="00B27EA5"/>
    <w:rsid w:val="00B27F9E"/>
    <w:rsid w:val="00B3009F"/>
    <w:rsid w:val="00B3075E"/>
    <w:rsid w:val="00B30824"/>
    <w:rsid w:val="00B3106C"/>
    <w:rsid w:val="00B314E2"/>
    <w:rsid w:val="00B3155A"/>
    <w:rsid w:val="00B31D91"/>
    <w:rsid w:val="00B31ED6"/>
    <w:rsid w:val="00B32189"/>
    <w:rsid w:val="00B3222E"/>
    <w:rsid w:val="00B3241D"/>
    <w:rsid w:val="00B3284B"/>
    <w:rsid w:val="00B32A1C"/>
    <w:rsid w:val="00B33B40"/>
    <w:rsid w:val="00B340F4"/>
    <w:rsid w:val="00B34225"/>
    <w:rsid w:val="00B34549"/>
    <w:rsid w:val="00B345DA"/>
    <w:rsid w:val="00B34A2C"/>
    <w:rsid w:val="00B34C51"/>
    <w:rsid w:val="00B34FC1"/>
    <w:rsid w:val="00B34FFB"/>
    <w:rsid w:val="00B35125"/>
    <w:rsid w:val="00B355A6"/>
    <w:rsid w:val="00B35D92"/>
    <w:rsid w:val="00B35EAE"/>
    <w:rsid w:val="00B35EF6"/>
    <w:rsid w:val="00B35FFD"/>
    <w:rsid w:val="00B362CA"/>
    <w:rsid w:val="00B36896"/>
    <w:rsid w:val="00B36B50"/>
    <w:rsid w:val="00B36FBD"/>
    <w:rsid w:val="00B371AB"/>
    <w:rsid w:val="00B373D7"/>
    <w:rsid w:val="00B377FF"/>
    <w:rsid w:val="00B37801"/>
    <w:rsid w:val="00B3783D"/>
    <w:rsid w:val="00B37912"/>
    <w:rsid w:val="00B37A0A"/>
    <w:rsid w:val="00B37BB4"/>
    <w:rsid w:val="00B37C81"/>
    <w:rsid w:val="00B402C4"/>
    <w:rsid w:val="00B40583"/>
    <w:rsid w:val="00B40616"/>
    <w:rsid w:val="00B406C6"/>
    <w:rsid w:val="00B40BB4"/>
    <w:rsid w:val="00B41724"/>
    <w:rsid w:val="00B4187F"/>
    <w:rsid w:val="00B4233F"/>
    <w:rsid w:val="00B42395"/>
    <w:rsid w:val="00B42397"/>
    <w:rsid w:val="00B428FA"/>
    <w:rsid w:val="00B42F42"/>
    <w:rsid w:val="00B42FEF"/>
    <w:rsid w:val="00B430FE"/>
    <w:rsid w:val="00B434BE"/>
    <w:rsid w:val="00B435ED"/>
    <w:rsid w:val="00B436AA"/>
    <w:rsid w:val="00B43AE5"/>
    <w:rsid w:val="00B43E3A"/>
    <w:rsid w:val="00B44000"/>
    <w:rsid w:val="00B44186"/>
    <w:rsid w:val="00B44535"/>
    <w:rsid w:val="00B4467C"/>
    <w:rsid w:val="00B4478A"/>
    <w:rsid w:val="00B44948"/>
    <w:rsid w:val="00B44C60"/>
    <w:rsid w:val="00B44C9A"/>
    <w:rsid w:val="00B44C9D"/>
    <w:rsid w:val="00B4585B"/>
    <w:rsid w:val="00B45C51"/>
    <w:rsid w:val="00B46221"/>
    <w:rsid w:val="00B4666C"/>
    <w:rsid w:val="00B46923"/>
    <w:rsid w:val="00B46C65"/>
    <w:rsid w:val="00B46FCD"/>
    <w:rsid w:val="00B471E7"/>
    <w:rsid w:val="00B4722F"/>
    <w:rsid w:val="00B4752D"/>
    <w:rsid w:val="00B4783E"/>
    <w:rsid w:val="00B47957"/>
    <w:rsid w:val="00B47B8D"/>
    <w:rsid w:val="00B5019C"/>
    <w:rsid w:val="00B50454"/>
    <w:rsid w:val="00B5067A"/>
    <w:rsid w:val="00B50A67"/>
    <w:rsid w:val="00B51028"/>
    <w:rsid w:val="00B51035"/>
    <w:rsid w:val="00B511C3"/>
    <w:rsid w:val="00B518D4"/>
    <w:rsid w:val="00B51BF5"/>
    <w:rsid w:val="00B51E41"/>
    <w:rsid w:val="00B5210B"/>
    <w:rsid w:val="00B521A7"/>
    <w:rsid w:val="00B52F52"/>
    <w:rsid w:val="00B53539"/>
    <w:rsid w:val="00B53945"/>
    <w:rsid w:val="00B53B5E"/>
    <w:rsid w:val="00B53F94"/>
    <w:rsid w:val="00B542E6"/>
    <w:rsid w:val="00B542FF"/>
    <w:rsid w:val="00B546AF"/>
    <w:rsid w:val="00B54728"/>
    <w:rsid w:val="00B54852"/>
    <w:rsid w:val="00B54A9A"/>
    <w:rsid w:val="00B54B9F"/>
    <w:rsid w:val="00B54FC3"/>
    <w:rsid w:val="00B55747"/>
    <w:rsid w:val="00B55943"/>
    <w:rsid w:val="00B55F3E"/>
    <w:rsid w:val="00B56046"/>
    <w:rsid w:val="00B56225"/>
    <w:rsid w:val="00B562DA"/>
    <w:rsid w:val="00B56525"/>
    <w:rsid w:val="00B56807"/>
    <w:rsid w:val="00B56BB8"/>
    <w:rsid w:val="00B570ED"/>
    <w:rsid w:val="00B57175"/>
    <w:rsid w:val="00B5729A"/>
    <w:rsid w:val="00B5735F"/>
    <w:rsid w:val="00B575CC"/>
    <w:rsid w:val="00B57684"/>
    <w:rsid w:val="00B57790"/>
    <w:rsid w:val="00B57876"/>
    <w:rsid w:val="00B57B15"/>
    <w:rsid w:val="00B57FAF"/>
    <w:rsid w:val="00B601B4"/>
    <w:rsid w:val="00B60604"/>
    <w:rsid w:val="00B60612"/>
    <w:rsid w:val="00B60803"/>
    <w:rsid w:val="00B608D0"/>
    <w:rsid w:val="00B60CD6"/>
    <w:rsid w:val="00B61114"/>
    <w:rsid w:val="00B614F4"/>
    <w:rsid w:val="00B617DC"/>
    <w:rsid w:val="00B6190C"/>
    <w:rsid w:val="00B61A0A"/>
    <w:rsid w:val="00B61B0D"/>
    <w:rsid w:val="00B624E4"/>
    <w:rsid w:val="00B62707"/>
    <w:rsid w:val="00B62D05"/>
    <w:rsid w:val="00B62DA0"/>
    <w:rsid w:val="00B62DB0"/>
    <w:rsid w:val="00B6393A"/>
    <w:rsid w:val="00B63C80"/>
    <w:rsid w:val="00B63FF7"/>
    <w:rsid w:val="00B640CA"/>
    <w:rsid w:val="00B64368"/>
    <w:rsid w:val="00B646A5"/>
    <w:rsid w:val="00B64723"/>
    <w:rsid w:val="00B64BC8"/>
    <w:rsid w:val="00B65090"/>
    <w:rsid w:val="00B650DD"/>
    <w:rsid w:val="00B655CC"/>
    <w:rsid w:val="00B656A9"/>
    <w:rsid w:val="00B65946"/>
    <w:rsid w:val="00B659C1"/>
    <w:rsid w:val="00B65C77"/>
    <w:rsid w:val="00B65D00"/>
    <w:rsid w:val="00B6608A"/>
    <w:rsid w:val="00B6614A"/>
    <w:rsid w:val="00B661A4"/>
    <w:rsid w:val="00B66291"/>
    <w:rsid w:val="00B66621"/>
    <w:rsid w:val="00B667C8"/>
    <w:rsid w:val="00B66862"/>
    <w:rsid w:val="00B66972"/>
    <w:rsid w:val="00B66E02"/>
    <w:rsid w:val="00B66F7B"/>
    <w:rsid w:val="00B6745F"/>
    <w:rsid w:val="00B67488"/>
    <w:rsid w:val="00B674B8"/>
    <w:rsid w:val="00B678E4"/>
    <w:rsid w:val="00B67B92"/>
    <w:rsid w:val="00B70147"/>
    <w:rsid w:val="00B7022B"/>
    <w:rsid w:val="00B70333"/>
    <w:rsid w:val="00B704AF"/>
    <w:rsid w:val="00B70862"/>
    <w:rsid w:val="00B70CEA"/>
    <w:rsid w:val="00B70F3D"/>
    <w:rsid w:val="00B70FAE"/>
    <w:rsid w:val="00B70FF7"/>
    <w:rsid w:val="00B715CD"/>
    <w:rsid w:val="00B716F6"/>
    <w:rsid w:val="00B71ABC"/>
    <w:rsid w:val="00B71F53"/>
    <w:rsid w:val="00B72250"/>
    <w:rsid w:val="00B72670"/>
    <w:rsid w:val="00B72FC4"/>
    <w:rsid w:val="00B7382F"/>
    <w:rsid w:val="00B73B2C"/>
    <w:rsid w:val="00B73C70"/>
    <w:rsid w:val="00B73D5B"/>
    <w:rsid w:val="00B73FC9"/>
    <w:rsid w:val="00B749CE"/>
    <w:rsid w:val="00B74AA3"/>
    <w:rsid w:val="00B74DB6"/>
    <w:rsid w:val="00B74F1E"/>
    <w:rsid w:val="00B75136"/>
    <w:rsid w:val="00B751B6"/>
    <w:rsid w:val="00B752B4"/>
    <w:rsid w:val="00B753B5"/>
    <w:rsid w:val="00B75B93"/>
    <w:rsid w:val="00B75CE0"/>
    <w:rsid w:val="00B75F1F"/>
    <w:rsid w:val="00B75FE8"/>
    <w:rsid w:val="00B7630D"/>
    <w:rsid w:val="00B765F3"/>
    <w:rsid w:val="00B76849"/>
    <w:rsid w:val="00B76AF8"/>
    <w:rsid w:val="00B76B96"/>
    <w:rsid w:val="00B76E81"/>
    <w:rsid w:val="00B77152"/>
    <w:rsid w:val="00B77168"/>
    <w:rsid w:val="00B77236"/>
    <w:rsid w:val="00B779CF"/>
    <w:rsid w:val="00B8044B"/>
    <w:rsid w:val="00B80473"/>
    <w:rsid w:val="00B80606"/>
    <w:rsid w:val="00B806B0"/>
    <w:rsid w:val="00B8095F"/>
    <w:rsid w:val="00B80A1F"/>
    <w:rsid w:val="00B80CA7"/>
    <w:rsid w:val="00B80DB3"/>
    <w:rsid w:val="00B80E05"/>
    <w:rsid w:val="00B8131C"/>
    <w:rsid w:val="00B81452"/>
    <w:rsid w:val="00B81C6F"/>
    <w:rsid w:val="00B82106"/>
    <w:rsid w:val="00B825DD"/>
    <w:rsid w:val="00B8269F"/>
    <w:rsid w:val="00B8270B"/>
    <w:rsid w:val="00B82AC7"/>
    <w:rsid w:val="00B82BC2"/>
    <w:rsid w:val="00B82C0A"/>
    <w:rsid w:val="00B82ECC"/>
    <w:rsid w:val="00B833D0"/>
    <w:rsid w:val="00B83444"/>
    <w:rsid w:val="00B83898"/>
    <w:rsid w:val="00B83E66"/>
    <w:rsid w:val="00B8462D"/>
    <w:rsid w:val="00B84A0F"/>
    <w:rsid w:val="00B84DAF"/>
    <w:rsid w:val="00B84FD3"/>
    <w:rsid w:val="00B8567C"/>
    <w:rsid w:val="00B85869"/>
    <w:rsid w:val="00B85A21"/>
    <w:rsid w:val="00B85CC5"/>
    <w:rsid w:val="00B85D03"/>
    <w:rsid w:val="00B86000"/>
    <w:rsid w:val="00B867A4"/>
    <w:rsid w:val="00B86A59"/>
    <w:rsid w:val="00B86A9B"/>
    <w:rsid w:val="00B86BBC"/>
    <w:rsid w:val="00B86C5E"/>
    <w:rsid w:val="00B8709A"/>
    <w:rsid w:val="00B8736C"/>
    <w:rsid w:val="00B8752D"/>
    <w:rsid w:val="00B877E9"/>
    <w:rsid w:val="00B87BF7"/>
    <w:rsid w:val="00B900B7"/>
    <w:rsid w:val="00B903AE"/>
    <w:rsid w:val="00B911C8"/>
    <w:rsid w:val="00B9120B"/>
    <w:rsid w:val="00B9159C"/>
    <w:rsid w:val="00B92067"/>
    <w:rsid w:val="00B923C8"/>
    <w:rsid w:val="00B9245E"/>
    <w:rsid w:val="00B92488"/>
    <w:rsid w:val="00B92502"/>
    <w:rsid w:val="00B92AA0"/>
    <w:rsid w:val="00B92C08"/>
    <w:rsid w:val="00B92ECE"/>
    <w:rsid w:val="00B92FA0"/>
    <w:rsid w:val="00B9332A"/>
    <w:rsid w:val="00B93450"/>
    <w:rsid w:val="00B9363B"/>
    <w:rsid w:val="00B937C4"/>
    <w:rsid w:val="00B937F0"/>
    <w:rsid w:val="00B938A9"/>
    <w:rsid w:val="00B938EC"/>
    <w:rsid w:val="00B93E9A"/>
    <w:rsid w:val="00B9458B"/>
    <w:rsid w:val="00B9459A"/>
    <w:rsid w:val="00B95DA1"/>
    <w:rsid w:val="00B9640D"/>
    <w:rsid w:val="00B96555"/>
    <w:rsid w:val="00B96716"/>
    <w:rsid w:val="00B969C4"/>
    <w:rsid w:val="00B96DAC"/>
    <w:rsid w:val="00B96E0C"/>
    <w:rsid w:val="00B96FB4"/>
    <w:rsid w:val="00B97532"/>
    <w:rsid w:val="00B976F4"/>
    <w:rsid w:val="00B97856"/>
    <w:rsid w:val="00B9798E"/>
    <w:rsid w:val="00B97A93"/>
    <w:rsid w:val="00B97B80"/>
    <w:rsid w:val="00BA02A9"/>
    <w:rsid w:val="00BA02F2"/>
    <w:rsid w:val="00BA0578"/>
    <w:rsid w:val="00BA07D5"/>
    <w:rsid w:val="00BA0ABC"/>
    <w:rsid w:val="00BA0C98"/>
    <w:rsid w:val="00BA0E3B"/>
    <w:rsid w:val="00BA0F18"/>
    <w:rsid w:val="00BA0F90"/>
    <w:rsid w:val="00BA1082"/>
    <w:rsid w:val="00BA15C3"/>
    <w:rsid w:val="00BA15D7"/>
    <w:rsid w:val="00BA187B"/>
    <w:rsid w:val="00BA1CD8"/>
    <w:rsid w:val="00BA1DB1"/>
    <w:rsid w:val="00BA2239"/>
    <w:rsid w:val="00BA266A"/>
    <w:rsid w:val="00BA287C"/>
    <w:rsid w:val="00BA2886"/>
    <w:rsid w:val="00BA2E14"/>
    <w:rsid w:val="00BA323A"/>
    <w:rsid w:val="00BA37DA"/>
    <w:rsid w:val="00BA3F03"/>
    <w:rsid w:val="00BA3F6E"/>
    <w:rsid w:val="00BA438A"/>
    <w:rsid w:val="00BA4606"/>
    <w:rsid w:val="00BA4B8C"/>
    <w:rsid w:val="00BA4E0D"/>
    <w:rsid w:val="00BA543D"/>
    <w:rsid w:val="00BA55A6"/>
    <w:rsid w:val="00BA565C"/>
    <w:rsid w:val="00BA57E3"/>
    <w:rsid w:val="00BA580C"/>
    <w:rsid w:val="00BA5B20"/>
    <w:rsid w:val="00BA5BA9"/>
    <w:rsid w:val="00BA5CFF"/>
    <w:rsid w:val="00BA5E76"/>
    <w:rsid w:val="00BA5ED1"/>
    <w:rsid w:val="00BA5EDB"/>
    <w:rsid w:val="00BA627B"/>
    <w:rsid w:val="00BA6995"/>
    <w:rsid w:val="00BA709F"/>
    <w:rsid w:val="00BA719E"/>
    <w:rsid w:val="00BA71A8"/>
    <w:rsid w:val="00BA740F"/>
    <w:rsid w:val="00BA760F"/>
    <w:rsid w:val="00BA7CD1"/>
    <w:rsid w:val="00BA9580"/>
    <w:rsid w:val="00BB029A"/>
    <w:rsid w:val="00BB0326"/>
    <w:rsid w:val="00BB07E5"/>
    <w:rsid w:val="00BB0DB2"/>
    <w:rsid w:val="00BB0EBE"/>
    <w:rsid w:val="00BB0F76"/>
    <w:rsid w:val="00BB1219"/>
    <w:rsid w:val="00BB15B1"/>
    <w:rsid w:val="00BB1AD4"/>
    <w:rsid w:val="00BB1F5C"/>
    <w:rsid w:val="00BB2100"/>
    <w:rsid w:val="00BB21E1"/>
    <w:rsid w:val="00BB223B"/>
    <w:rsid w:val="00BB2312"/>
    <w:rsid w:val="00BB3145"/>
    <w:rsid w:val="00BB32E5"/>
    <w:rsid w:val="00BB3370"/>
    <w:rsid w:val="00BB35D7"/>
    <w:rsid w:val="00BB38B2"/>
    <w:rsid w:val="00BB3A59"/>
    <w:rsid w:val="00BB3AB8"/>
    <w:rsid w:val="00BB3E0D"/>
    <w:rsid w:val="00BB3EED"/>
    <w:rsid w:val="00BB4FE0"/>
    <w:rsid w:val="00BB5301"/>
    <w:rsid w:val="00BB53A2"/>
    <w:rsid w:val="00BB5B38"/>
    <w:rsid w:val="00BB5D55"/>
    <w:rsid w:val="00BB6089"/>
    <w:rsid w:val="00BB6CBB"/>
    <w:rsid w:val="00BB72E2"/>
    <w:rsid w:val="00BB73BB"/>
    <w:rsid w:val="00BB7511"/>
    <w:rsid w:val="00BB75B2"/>
    <w:rsid w:val="00BB76B5"/>
    <w:rsid w:val="00BB7F1F"/>
    <w:rsid w:val="00BC02A8"/>
    <w:rsid w:val="00BC0339"/>
    <w:rsid w:val="00BC062F"/>
    <w:rsid w:val="00BC19AE"/>
    <w:rsid w:val="00BC1D82"/>
    <w:rsid w:val="00BC1DB5"/>
    <w:rsid w:val="00BC1DED"/>
    <w:rsid w:val="00BC28E8"/>
    <w:rsid w:val="00BC2CCA"/>
    <w:rsid w:val="00BC2DFF"/>
    <w:rsid w:val="00BC2F03"/>
    <w:rsid w:val="00BC3263"/>
    <w:rsid w:val="00BC33B8"/>
    <w:rsid w:val="00BC38FC"/>
    <w:rsid w:val="00BC3939"/>
    <w:rsid w:val="00BC3A16"/>
    <w:rsid w:val="00BC3A67"/>
    <w:rsid w:val="00BC3CD9"/>
    <w:rsid w:val="00BC3E93"/>
    <w:rsid w:val="00BC412F"/>
    <w:rsid w:val="00BC4240"/>
    <w:rsid w:val="00BC44EE"/>
    <w:rsid w:val="00BC44F6"/>
    <w:rsid w:val="00BC46DE"/>
    <w:rsid w:val="00BC59AA"/>
    <w:rsid w:val="00BC5A5F"/>
    <w:rsid w:val="00BC5E48"/>
    <w:rsid w:val="00BC60A1"/>
    <w:rsid w:val="00BC60CB"/>
    <w:rsid w:val="00BC6292"/>
    <w:rsid w:val="00BC6353"/>
    <w:rsid w:val="00BC6476"/>
    <w:rsid w:val="00BC6A48"/>
    <w:rsid w:val="00BC7604"/>
    <w:rsid w:val="00BC7A3B"/>
    <w:rsid w:val="00BC7E83"/>
    <w:rsid w:val="00BC7E9D"/>
    <w:rsid w:val="00BD0366"/>
    <w:rsid w:val="00BD03D6"/>
    <w:rsid w:val="00BD0908"/>
    <w:rsid w:val="00BD0A9A"/>
    <w:rsid w:val="00BD0DCE"/>
    <w:rsid w:val="00BD14AD"/>
    <w:rsid w:val="00BD18AC"/>
    <w:rsid w:val="00BD1AB1"/>
    <w:rsid w:val="00BD1AB3"/>
    <w:rsid w:val="00BD223E"/>
    <w:rsid w:val="00BD25CF"/>
    <w:rsid w:val="00BD2782"/>
    <w:rsid w:val="00BD2A69"/>
    <w:rsid w:val="00BD2D56"/>
    <w:rsid w:val="00BD2D60"/>
    <w:rsid w:val="00BD33F2"/>
    <w:rsid w:val="00BD358A"/>
    <w:rsid w:val="00BD372D"/>
    <w:rsid w:val="00BD383F"/>
    <w:rsid w:val="00BD38DE"/>
    <w:rsid w:val="00BD3A9C"/>
    <w:rsid w:val="00BD3E70"/>
    <w:rsid w:val="00BD3FF9"/>
    <w:rsid w:val="00BD4505"/>
    <w:rsid w:val="00BD4A79"/>
    <w:rsid w:val="00BD4E55"/>
    <w:rsid w:val="00BD5114"/>
    <w:rsid w:val="00BD5291"/>
    <w:rsid w:val="00BD54BF"/>
    <w:rsid w:val="00BD55DC"/>
    <w:rsid w:val="00BD6430"/>
    <w:rsid w:val="00BD65FF"/>
    <w:rsid w:val="00BD69A7"/>
    <w:rsid w:val="00BD6A10"/>
    <w:rsid w:val="00BD6AF0"/>
    <w:rsid w:val="00BD6C20"/>
    <w:rsid w:val="00BD6C4D"/>
    <w:rsid w:val="00BD7175"/>
    <w:rsid w:val="00BD71BB"/>
    <w:rsid w:val="00BD75C7"/>
    <w:rsid w:val="00BD775F"/>
    <w:rsid w:val="00BD7B0C"/>
    <w:rsid w:val="00BD7F87"/>
    <w:rsid w:val="00BE0213"/>
    <w:rsid w:val="00BE0A20"/>
    <w:rsid w:val="00BE0A3B"/>
    <w:rsid w:val="00BE0C80"/>
    <w:rsid w:val="00BE0D2F"/>
    <w:rsid w:val="00BE0DC8"/>
    <w:rsid w:val="00BE0DD1"/>
    <w:rsid w:val="00BE0FC2"/>
    <w:rsid w:val="00BE1422"/>
    <w:rsid w:val="00BE1860"/>
    <w:rsid w:val="00BE1997"/>
    <w:rsid w:val="00BE1BFB"/>
    <w:rsid w:val="00BE1C12"/>
    <w:rsid w:val="00BE1D2C"/>
    <w:rsid w:val="00BE1D7B"/>
    <w:rsid w:val="00BE1ECA"/>
    <w:rsid w:val="00BE244A"/>
    <w:rsid w:val="00BE2621"/>
    <w:rsid w:val="00BE268D"/>
    <w:rsid w:val="00BE2DC0"/>
    <w:rsid w:val="00BE3231"/>
    <w:rsid w:val="00BE3441"/>
    <w:rsid w:val="00BE363B"/>
    <w:rsid w:val="00BE36CF"/>
    <w:rsid w:val="00BE40AF"/>
    <w:rsid w:val="00BE4306"/>
    <w:rsid w:val="00BE487F"/>
    <w:rsid w:val="00BE4A06"/>
    <w:rsid w:val="00BE5180"/>
    <w:rsid w:val="00BE5713"/>
    <w:rsid w:val="00BE57CE"/>
    <w:rsid w:val="00BE6087"/>
    <w:rsid w:val="00BE60A5"/>
    <w:rsid w:val="00BE6202"/>
    <w:rsid w:val="00BE62C1"/>
    <w:rsid w:val="00BE64E9"/>
    <w:rsid w:val="00BE67D0"/>
    <w:rsid w:val="00BE6C43"/>
    <w:rsid w:val="00BE6FAC"/>
    <w:rsid w:val="00BE79D1"/>
    <w:rsid w:val="00BE7B65"/>
    <w:rsid w:val="00BE7E25"/>
    <w:rsid w:val="00BF00DF"/>
    <w:rsid w:val="00BF00ED"/>
    <w:rsid w:val="00BF00F7"/>
    <w:rsid w:val="00BF0280"/>
    <w:rsid w:val="00BF045B"/>
    <w:rsid w:val="00BF061A"/>
    <w:rsid w:val="00BF0A0D"/>
    <w:rsid w:val="00BF0A37"/>
    <w:rsid w:val="00BF0C62"/>
    <w:rsid w:val="00BF0F5E"/>
    <w:rsid w:val="00BF13A7"/>
    <w:rsid w:val="00BF16F9"/>
    <w:rsid w:val="00BF190D"/>
    <w:rsid w:val="00BF199B"/>
    <w:rsid w:val="00BF19FE"/>
    <w:rsid w:val="00BF1A79"/>
    <w:rsid w:val="00BF1BF3"/>
    <w:rsid w:val="00BF1D56"/>
    <w:rsid w:val="00BF1FAC"/>
    <w:rsid w:val="00BF23AD"/>
    <w:rsid w:val="00BF25E0"/>
    <w:rsid w:val="00BF25F5"/>
    <w:rsid w:val="00BF29B1"/>
    <w:rsid w:val="00BF2B69"/>
    <w:rsid w:val="00BF2C03"/>
    <w:rsid w:val="00BF2C91"/>
    <w:rsid w:val="00BF2E3B"/>
    <w:rsid w:val="00BF2FC9"/>
    <w:rsid w:val="00BF3CAB"/>
    <w:rsid w:val="00BF3EB7"/>
    <w:rsid w:val="00BF3EC8"/>
    <w:rsid w:val="00BF4169"/>
    <w:rsid w:val="00BF457F"/>
    <w:rsid w:val="00BF46F4"/>
    <w:rsid w:val="00BF472E"/>
    <w:rsid w:val="00BF47F9"/>
    <w:rsid w:val="00BF4800"/>
    <w:rsid w:val="00BF4A1A"/>
    <w:rsid w:val="00BF4C75"/>
    <w:rsid w:val="00BF4CAF"/>
    <w:rsid w:val="00BF4E18"/>
    <w:rsid w:val="00BF4E7C"/>
    <w:rsid w:val="00BF4F8A"/>
    <w:rsid w:val="00BF5144"/>
    <w:rsid w:val="00BF5606"/>
    <w:rsid w:val="00BF57C6"/>
    <w:rsid w:val="00BF58BB"/>
    <w:rsid w:val="00BF5979"/>
    <w:rsid w:val="00BF5D08"/>
    <w:rsid w:val="00BF6542"/>
    <w:rsid w:val="00BF6755"/>
    <w:rsid w:val="00BF6B7F"/>
    <w:rsid w:val="00BF6D94"/>
    <w:rsid w:val="00BF6D9A"/>
    <w:rsid w:val="00BF7146"/>
    <w:rsid w:val="00BF71F8"/>
    <w:rsid w:val="00BF7450"/>
    <w:rsid w:val="00BF7665"/>
    <w:rsid w:val="00BF7D9D"/>
    <w:rsid w:val="00BF7DFA"/>
    <w:rsid w:val="00C00121"/>
    <w:rsid w:val="00C00125"/>
    <w:rsid w:val="00C00461"/>
    <w:rsid w:val="00C00657"/>
    <w:rsid w:val="00C006EA"/>
    <w:rsid w:val="00C00A13"/>
    <w:rsid w:val="00C00EB9"/>
    <w:rsid w:val="00C00EEE"/>
    <w:rsid w:val="00C01035"/>
    <w:rsid w:val="00C010F8"/>
    <w:rsid w:val="00C01117"/>
    <w:rsid w:val="00C01154"/>
    <w:rsid w:val="00C01256"/>
    <w:rsid w:val="00C012EC"/>
    <w:rsid w:val="00C01359"/>
    <w:rsid w:val="00C015D7"/>
    <w:rsid w:val="00C01719"/>
    <w:rsid w:val="00C02488"/>
    <w:rsid w:val="00C0259B"/>
    <w:rsid w:val="00C02CEB"/>
    <w:rsid w:val="00C030CD"/>
    <w:rsid w:val="00C031A5"/>
    <w:rsid w:val="00C0359B"/>
    <w:rsid w:val="00C0376B"/>
    <w:rsid w:val="00C039D4"/>
    <w:rsid w:val="00C03A7F"/>
    <w:rsid w:val="00C03CD1"/>
    <w:rsid w:val="00C03DD6"/>
    <w:rsid w:val="00C03EC7"/>
    <w:rsid w:val="00C03FD5"/>
    <w:rsid w:val="00C0479F"/>
    <w:rsid w:val="00C04CCD"/>
    <w:rsid w:val="00C05075"/>
    <w:rsid w:val="00C0512A"/>
    <w:rsid w:val="00C05429"/>
    <w:rsid w:val="00C058BD"/>
    <w:rsid w:val="00C05A18"/>
    <w:rsid w:val="00C05D68"/>
    <w:rsid w:val="00C05E08"/>
    <w:rsid w:val="00C064D9"/>
    <w:rsid w:val="00C07058"/>
    <w:rsid w:val="00C073AB"/>
    <w:rsid w:val="00C0785F"/>
    <w:rsid w:val="00C07BD7"/>
    <w:rsid w:val="00C07C62"/>
    <w:rsid w:val="00C07DFA"/>
    <w:rsid w:val="00C07F8B"/>
    <w:rsid w:val="00C07FE9"/>
    <w:rsid w:val="00C10006"/>
    <w:rsid w:val="00C108E1"/>
    <w:rsid w:val="00C10CA9"/>
    <w:rsid w:val="00C11068"/>
    <w:rsid w:val="00C11135"/>
    <w:rsid w:val="00C11427"/>
    <w:rsid w:val="00C11584"/>
    <w:rsid w:val="00C11634"/>
    <w:rsid w:val="00C11A86"/>
    <w:rsid w:val="00C11D49"/>
    <w:rsid w:val="00C12141"/>
    <w:rsid w:val="00C12789"/>
    <w:rsid w:val="00C127E6"/>
    <w:rsid w:val="00C129CB"/>
    <w:rsid w:val="00C12A48"/>
    <w:rsid w:val="00C12DF5"/>
    <w:rsid w:val="00C13242"/>
    <w:rsid w:val="00C13339"/>
    <w:rsid w:val="00C13A88"/>
    <w:rsid w:val="00C13ECF"/>
    <w:rsid w:val="00C14470"/>
    <w:rsid w:val="00C1475E"/>
    <w:rsid w:val="00C1559A"/>
    <w:rsid w:val="00C15726"/>
    <w:rsid w:val="00C15933"/>
    <w:rsid w:val="00C159CF"/>
    <w:rsid w:val="00C15D07"/>
    <w:rsid w:val="00C1641D"/>
    <w:rsid w:val="00C16629"/>
    <w:rsid w:val="00C167E7"/>
    <w:rsid w:val="00C16895"/>
    <w:rsid w:val="00C17461"/>
    <w:rsid w:val="00C174E4"/>
    <w:rsid w:val="00C17740"/>
    <w:rsid w:val="00C177C6"/>
    <w:rsid w:val="00C17D32"/>
    <w:rsid w:val="00C2009C"/>
    <w:rsid w:val="00C2010D"/>
    <w:rsid w:val="00C202E6"/>
    <w:rsid w:val="00C204B7"/>
    <w:rsid w:val="00C205A7"/>
    <w:rsid w:val="00C20964"/>
    <w:rsid w:val="00C20B4C"/>
    <w:rsid w:val="00C20CC5"/>
    <w:rsid w:val="00C211AF"/>
    <w:rsid w:val="00C21233"/>
    <w:rsid w:val="00C21371"/>
    <w:rsid w:val="00C21E26"/>
    <w:rsid w:val="00C21F0B"/>
    <w:rsid w:val="00C21F88"/>
    <w:rsid w:val="00C225ED"/>
    <w:rsid w:val="00C22634"/>
    <w:rsid w:val="00C2286E"/>
    <w:rsid w:val="00C22896"/>
    <w:rsid w:val="00C22B01"/>
    <w:rsid w:val="00C22B58"/>
    <w:rsid w:val="00C22C80"/>
    <w:rsid w:val="00C22DAE"/>
    <w:rsid w:val="00C23955"/>
    <w:rsid w:val="00C239C4"/>
    <w:rsid w:val="00C23DE7"/>
    <w:rsid w:val="00C24525"/>
    <w:rsid w:val="00C2494E"/>
    <w:rsid w:val="00C24B31"/>
    <w:rsid w:val="00C24D28"/>
    <w:rsid w:val="00C24E05"/>
    <w:rsid w:val="00C25022"/>
    <w:rsid w:val="00C25872"/>
    <w:rsid w:val="00C2604F"/>
    <w:rsid w:val="00C260E9"/>
    <w:rsid w:val="00C265F2"/>
    <w:rsid w:val="00C26C23"/>
    <w:rsid w:val="00C26EA7"/>
    <w:rsid w:val="00C270C5"/>
    <w:rsid w:val="00C27125"/>
    <w:rsid w:val="00C27290"/>
    <w:rsid w:val="00C27634"/>
    <w:rsid w:val="00C27832"/>
    <w:rsid w:val="00C27D47"/>
    <w:rsid w:val="00C27EBB"/>
    <w:rsid w:val="00C30670"/>
    <w:rsid w:val="00C307BD"/>
    <w:rsid w:val="00C309CA"/>
    <w:rsid w:val="00C30B03"/>
    <w:rsid w:val="00C30DD9"/>
    <w:rsid w:val="00C30E14"/>
    <w:rsid w:val="00C31053"/>
    <w:rsid w:val="00C310B7"/>
    <w:rsid w:val="00C31469"/>
    <w:rsid w:val="00C31A8B"/>
    <w:rsid w:val="00C31B58"/>
    <w:rsid w:val="00C31EF4"/>
    <w:rsid w:val="00C32163"/>
    <w:rsid w:val="00C32A42"/>
    <w:rsid w:val="00C32A4D"/>
    <w:rsid w:val="00C32AD2"/>
    <w:rsid w:val="00C339CC"/>
    <w:rsid w:val="00C33CDB"/>
    <w:rsid w:val="00C33DA4"/>
    <w:rsid w:val="00C33ECD"/>
    <w:rsid w:val="00C34BC0"/>
    <w:rsid w:val="00C3506E"/>
    <w:rsid w:val="00C351B4"/>
    <w:rsid w:val="00C353BE"/>
    <w:rsid w:val="00C35789"/>
    <w:rsid w:val="00C357F5"/>
    <w:rsid w:val="00C359CD"/>
    <w:rsid w:val="00C35C9B"/>
    <w:rsid w:val="00C35FD3"/>
    <w:rsid w:val="00C360AD"/>
    <w:rsid w:val="00C3626B"/>
    <w:rsid w:val="00C362D3"/>
    <w:rsid w:val="00C36F74"/>
    <w:rsid w:val="00C36FE1"/>
    <w:rsid w:val="00C37619"/>
    <w:rsid w:val="00C37C89"/>
    <w:rsid w:val="00C37CD1"/>
    <w:rsid w:val="00C37D59"/>
    <w:rsid w:val="00C4041A"/>
    <w:rsid w:val="00C40434"/>
    <w:rsid w:val="00C40704"/>
    <w:rsid w:val="00C40792"/>
    <w:rsid w:val="00C409B9"/>
    <w:rsid w:val="00C410E6"/>
    <w:rsid w:val="00C4142E"/>
    <w:rsid w:val="00C4165F"/>
    <w:rsid w:val="00C41671"/>
    <w:rsid w:val="00C4171E"/>
    <w:rsid w:val="00C418B4"/>
    <w:rsid w:val="00C41B0A"/>
    <w:rsid w:val="00C41B49"/>
    <w:rsid w:val="00C41C22"/>
    <w:rsid w:val="00C41F51"/>
    <w:rsid w:val="00C42166"/>
    <w:rsid w:val="00C421CA"/>
    <w:rsid w:val="00C421E9"/>
    <w:rsid w:val="00C4255D"/>
    <w:rsid w:val="00C426F0"/>
    <w:rsid w:val="00C42C49"/>
    <w:rsid w:val="00C42C6C"/>
    <w:rsid w:val="00C42FEB"/>
    <w:rsid w:val="00C433B8"/>
    <w:rsid w:val="00C4344F"/>
    <w:rsid w:val="00C436F8"/>
    <w:rsid w:val="00C43889"/>
    <w:rsid w:val="00C439EB"/>
    <w:rsid w:val="00C43A8D"/>
    <w:rsid w:val="00C43F5E"/>
    <w:rsid w:val="00C4439A"/>
    <w:rsid w:val="00C4443B"/>
    <w:rsid w:val="00C4446E"/>
    <w:rsid w:val="00C446F1"/>
    <w:rsid w:val="00C44809"/>
    <w:rsid w:val="00C44B4F"/>
    <w:rsid w:val="00C44C08"/>
    <w:rsid w:val="00C44D15"/>
    <w:rsid w:val="00C44DE7"/>
    <w:rsid w:val="00C45295"/>
    <w:rsid w:val="00C459A5"/>
    <w:rsid w:val="00C45D6B"/>
    <w:rsid w:val="00C45F88"/>
    <w:rsid w:val="00C46026"/>
    <w:rsid w:val="00C46056"/>
    <w:rsid w:val="00C460AE"/>
    <w:rsid w:val="00C46155"/>
    <w:rsid w:val="00C46409"/>
    <w:rsid w:val="00C46568"/>
    <w:rsid w:val="00C46691"/>
    <w:rsid w:val="00C46995"/>
    <w:rsid w:val="00C46A45"/>
    <w:rsid w:val="00C46CA8"/>
    <w:rsid w:val="00C46D01"/>
    <w:rsid w:val="00C471C5"/>
    <w:rsid w:val="00C47391"/>
    <w:rsid w:val="00C473F0"/>
    <w:rsid w:val="00C47585"/>
    <w:rsid w:val="00C476AD"/>
    <w:rsid w:val="00C4785D"/>
    <w:rsid w:val="00C4787C"/>
    <w:rsid w:val="00C47AB2"/>
    <w:rsid w:val="00C47AB9"/>
    <w:rsid w:val="00C47CDA"/>
    <w:rsid w:val="00C47D9D"/>
    <w:rsid w:val="00C47E29"/>
    <w:rsid w:val="00C5001F"/>
    <w:rsid w:val="00C50068"/>
    <w:rsid w:val="00C50264"/>
    <w:rsid w:val="00C504DF"/>
    <w:rsid w:val="00C509C0"/>
    <w:rsid w:val="00C50A94"/>
    <w:rsid w:val="00C50B38"/>
    <w:rsid w:val="00C51189"/>
    <w:rsid w:val="00C513B7"/>
    <w:rsid w:val="00C5182C"/>
    <w:rsid w:val="00C51900"/>
    <w:rsid w:val="00C51DB7"/>
    <w:rsid w:val="00C51E36"/>
    <w:rsid w:val="00C51ED6"/>
    <w:rsid w:val="00C52276"/>
    <w:rsid w:val="00C52926"/>
    <w:rsid w:val="00C52E17"/>
    <w:rsid w:val="00C53179"/>
    <w:rsid w:val="00C5396A"/>
    <w:rsid w:val="00C53F80"/>
    <w:rsid w:val="00C53F9D"/>
    <w:rsid w:val="00C5468D"/>
    <w:rsid w:val="00C54963"/>
    <w:rsid w:val="00C54CCA"/>
    <w:rsid w:val="00C54E34"/>
    <w:rsid w:val="00C5538D"/>
    <w:rsid w:val="00C555CA"/>
    <w:rsid w:val="00C558D3"/>
    <w:rsid w:val="00C55F0C"/>
    <w:rsid w:val="00C5604F"/>
    <w:rsid w:val="00C56520"/>
    <w:rsid w:val="00C56717"/>
    <w:rsid w:val="00C56D9C"/>
    <w:rsid w:val="00C56F3C"/>
    <w:rsid w:val="00C57B6F"/>
    <w:rsid w:val="00C602D0"/>
    <w:rsid w:val="00C60BB5"/>
    <w:rsid w:val="00C61099"/>
    <w:rsid w:val="00C61226"/>
    <w:rsid w:val="00C61AAE"/>
    <w:rsid w:val="00C61F40"/>
    <w:rsid w:val="00C6241C"/>
    <w:rsid w:val="00C62BDB"/>
    <w:rsid w:val="00C62C4F"/>
    <w:rsid w:val="00C62D2D"/>
    <w:rsid w:val="00C62EC4"/>
    <w:rsid w:val="00C62FA9"/>
    <w:rsid w:val="00C630B2"/>
    <w:rsid w:val="00C6333E"/>
    <w:rsid w:val="00C63463"/>
    <w:rsid w:val="00C63955"/>
    <w:rsid w:val="00C639AB"/>
    <w:rsid w:val="00C63A11"/>
    <w:rsid w:val="00C63A3B"/>
    <w:rsid w:val="00C63BBB"/>
    <w:rsid w:val="00C63BDF"/>
    <w:rsid w:val="00C63F12"/>
    <w:rsid w:val="00C64074"/>
    <w:rsid w:val="00C64179"/>
    <w:rsid w:val="00C6433F"/>
    <w:rsid w:val="00C643AB"/>
    <w:rsid w:val="00C64ACD"/>
    <w:rsid w:val="00C64C5A"/>
    <w:rsid w:val="00C64F7F"/>
    <w:rsid w:val="00C64FED"/>
    <w:rsid w:val="00C64FF4"/>
    <w:rsid w:val="00C6508F"/>
    <w:rsid w:val="00C6518E"/>
    <w:rsid w:val="00C6554E"/>
    <w:rsid w:val="00C65870"/>
    <w:rsid w:val="00C65B28"/>
    <w:rsid w:val="00C65E1A"/>
    <w:rsid w:val="00C65EDC"/>
    <w:rsid w:val="00C6614C"/>
    <w:rsid w:val="00C6637C"/>
    <w:rsid w:val="00C6692C"/>
    <w:rsid w:val="00C66930"/>
    <w:rsid w:val="00C66B98"/>
    <w:rsid w:val="00C66F49"/>
    <w:rsid w:val="00C66FCE"/>
    <w:rsid w:val="00C6782D"/>
    <w:rsid w:val="00C678EE"/>
    <w:rsid w:val="00C67AC7"/>
    <w:rsid w:val="00C67B0E"/>
    <w:rsid w:val="00C67C4A"/>
    <w:rsid w:val="00C67D39"/>
    <w:rsid w:val="00C7040D"/>
    <w:rsid w:val="00C704A5"/>
    <w:rsid w:val="00C7065B"/>
    <w:rsid w:val="00C707FD"/>
    <w:rsid w:val="00C708E5"/>
    <w:rsid w:val="00C70C0B"/>
    <w:rsid w:val="00C70FBE"/>
    <w:rsid w:val="00C70FFE"/>
    <w:rsid w:val="00C71017"/>
    <w:rsid w:val="00C716CD"/>
    <w:rsid w:val="00C719E6"/>
    <w:rsid w:val="00C72111"/>
    <w:rsid w:val="00C72513"/>
    <w:rsid w:val="00C727B4"/>
    <w:rsid w:val="00C72D03"/>
    <w:rsid w:val="00C72EF9"/>
    <w:rsid w:val="00C730EA"/>
    <w:rsid w:val="00C734EB"/>
    <w:rsid w:val="00C7375F"/>
    <w:rsid w:val="00C73929"/>
    <w:rsid w:val="00C73D36"/>
    <w:rsid w:val="00C73DA3"/>
    <w:rsid w:val="00C73F68"/>
    <w:rsid w:val="00C73FE5"/>
    <w:rsid w:val="00C742CC"/>
    <w:rsid w:val="00C745BD"/>
    <w:rsid w:val="00C74D7C"/>
    <w:rsid w:val="00C753B7"/>
    <w:rsid w:val="00C75479"/>
    <w:rsid w:val="00C756D9"/>
    <w:rsid w:val="00C75983"/>
    <w:rsid w:val="00C76214"/>
    <w:rsid w:val="00C76461"/>
    <w:rsid w:val="00C766B9"/>
    <w:rsid w:val="00C76728"/>
    <w:rsid w:val="00C76891"/>
    <w:rsid w:val="00C76A7E"/>
    <w:rsid w:val="00C76EB7"/>
    <w:rsid w:val="00C7719F"/>
    <w:rsid w:val="00C7792B"/>
    <w:rsid w:val="00C77A67"/>
    <w:rsid w:val="00C77B4A"/>
    <w:rsid w:val="00C77C80"/>
    <w:rsid w:val="00C80203"/>
    <w:rsid w:val="00C802E6"/>
    <w:rsid w:val="00C8082C"/>
    <w:rsid w:val="00C80DF5"/>
    <w:rsid w:val="00C80E7E"/>
    <w:rsid w:val="00C8129E"/>
    <w:rsid w:val="00C81329"/>
    <w:rsid w:val="00C8133A"/>
    <w:rsid w:val="00C8194A"/>
    <w:rsid w:val="00C819A4"/>
    <w:rsid w:val="00C819DB"/>
    <w:rsid w:val="00C81BD4"/>
    <w:rsid w:val="00C81D45"/>
    <w:rsid w:val="00C81F58"/>
    <w:rsid w:val="00C8247E"/>
    <w:rsid w:val="00C824ED"/>
    <w:rsid w:val="00C82714"/>
    <w:rsid w:val="00C833EF"/>
    <w:rsid w:val="00C83456"/>
    <w:rsid w:val="00C83461"/>
    <w:rsid w:val="00C83503"/>
    <w:rsid w:val="00C83786"/>
    <w:rsid w:val="00C838A7"/>
    <w:rsid w:val="00C83F0D"/>
    <w:rsid w:val="00C842D6"/>
    <w:rsid w:val="00C84853"/>
    <w:rsid w:val="00C84ACA"/>
    <w:rsid w:val="00C84B2D"/>
    <w:rsid w:val="00C8502F"/>
    <w:rsid w:val="00C85CCE"/>
    <w:rsid w:val="00C85E93"/>
    <w:rsid w:val="00C86150"/>
    <w:rsid w:val="00C861B5"/>
    <w:rsid w:val="00C8683F"/>
    <w:rsid w:val="00C86C34"/>
    <w:rsid w:val="00C86DC8"/>
    <w:rsid w:val="00C86E98"/>
    <w:rsid w:val="00C87038"/>
    <w:rsid w:val="00C870AF"/>
    <w:rsid w:val="00C8749E"/>
    <w:rsid w:val="00C8764C"/>
    <w:rsid w:val="00C87715"/>
    <w:rsid w:val="00C87930"/>
    <w:rsid w:val="00C87B4E"/>
    <w:rsid w:val="00C903D3"/>
    <w:rsid w:val="00C9076B"/>
    <w:rsid w:val="00C908BF"/>
    <w:rsid w:val="00C90FEE"/>
    <w:rsid w:val="00C910DD"/>
    <w:rsid w:val="00C911B1"/>
    <w:rsid w:val="00C9140A"/>
    <w:rsid w:val="00C91877"/>
    <w:rsid w:val="00C91A53"/>
    <w:rsid w:val="00C91B12"/>
    <w:rsid w:val="00C91CCF"/>
    <w:rsid w:val="00C91F9F"/>
    <w:rsid w:val="00C92029"/>
    <w:rsid w:val="00C9202D"/>
    <w:rsid w:val="00C923AC"/>
    <w:rsid w:val="00C926AF"/>
    <w:rsid w:val="00C92A84"/>
    <w:rsid w:val="00C92CE8"/>
    <w:rsid w:val="00C92D48"/>
    <w:rsid w:val="00C9306F"/>
    <w:rsid w:val="00C93222"/>
    <w:rsid w:val="00C93499"/>
    <w:rsid w:val="00C939EF"/>
    <w:rsid w:val="00C93BC0"/>
    <w:rsid w:val="00C93E22"/>
    <w:rsid w:val="00C941FD"/>
    <w:rsid w:val="00C94B86"/>
    <w:rsid w:val="00C94D31"/>
    <w:rsid w:val="00C94E23"/>
    <w:rsid w:val="00C94ED4"/>
    <w:rsid w:val="00C94EE1"/>
    <w:rsid w:val="00C95027"/>
    <w:rsid w:val="00C95071"/>
    <w:rsid w:val="00C95200"/>
    <w:rsid w:val="00C953AB"/>
    <w:rsid w:val="00C95407"/>
    <w:rsid w:val="00C9566B"/>
    <w:rsid w:val="00C95822"/>
    <w:rsid w:val="00C9589B"/>
    <w:rsid w:val="00C95B32"/>
    <w:rsid w:val="00C95C98"/>
    <w:rsid w:val="00C962F6"/>
    <w:rsid w:val="00C96CA8"/>
    <w:rsid w:val="00C96E59"/>
    <w:rsid w:val="00C96E6E"/>
    <w:rsid w:val="00C97350"/>
    <w:rsid w:val="00C97462"/>
    <w:rsid w:val="00C976E4"/>
    <w:rsid w:val="00C97FE1"/>
    <w:rsid w:val="00CA06A0"/>
    <w:rsid w:val="00CA07E4"/>
    <w:rsid w:val="00CA088C"/>
    <w:rsid w:val="00CA0BBC"/>
    <w:rsid w:val="00CA10B0"/>
    <w:rsid w:val="00CA16A5"/>
    <w:rsid w:val="00CA17D1"/>
    <w:rsid w:val="00CA17E7"/>
    <w:rsid w:val="00CA1C0E"/>
    <w:rsid w:val="00CA2567"/>
    <w:rsid w:val="00CA27A8"/>
    <w:rsid w:val="00CA27D0"/>
    <w:rsid w:val="00CA29B9"/>
    <w:rsid w:val="00CA29C3"/>
    <w:rsid w:val="00CA2A71"/>
    <w:rsid w:val="00CA2ECE"/>
    <w:rsid w:val="00CA2EE4"/>
    <w:rsid w:val="00CA3714"/>
    <w:rsid w:val="00CA3787"/>
    <w:rsid w:val="00CA3998"/>
    <w:rsid w:val="00CA3BB9"/>
    <w:rsid w:val="00CA3EB1"/>
    <w:rsid w:val="00CA4029"/>
    <w:rsid w:val="00CA429B"/>
    <w:rsid w:val="00CA48D6"/>
    <w:rsid w:val="00CA4B71"/>
    <w:rsid w:val="00CA4F7A"/>
    <w:rsid w:val="00CA529F"/>
    <w:rsid w:val="00CA5801"/>
    <w:rsid w:val="00CA5C99"/>
    <w:rsid w:val="00CA605D"/>
    <w:rsid w:val="00CA6878"/>
    <w:rsid w:val="00CA72F7"/>
    <w:rsid w:val="00CA767D"/>
    <w:rsid w:val="00CA7746"/>
    <w:rsid w:val="00CA7997"/>
    <w:rsid w:val="00CA7B5A"/>
    <w:rsid w:val="00CA7D39"/>
    <w:rsid w:val="00CA7F07"/>
    <w:rsid w:val="00CB0003"/>
    <w:rsid w:val="00CB04F6"/>
    <w:rsid w:val="00CB0CB5"/>
    <w:rsid w:val="00CB0E45"/>
    <w:rsid w:val="00CB14AB"/>
    <w:rsid w:val="00CB1504"/>
    <w:rsid w:val="00CB19E6"/>
    <w:rsid w:val="00CB1B5C"/>
    <w:rsid w:val="00CB1E31"/>
    <w:rsid w:val="00CB2209"/>
    <w:rsid w:val="00CB2471"/>
    <w:rsid w:val="00CB24F1"/>
    <w:rsid w:val="00CB2889"/>
    <w:rsid w:val="00CB29E1"/>
    <w:rsid w:val="00CB2A0D"/>
    <w:rsid w:val="00CB2A37"/>
    <w:rsid w:val="00CB2F01"/>
    <w:rsid w:val="00CB2F16"/>
    <w:rsid w:val="00CB31B2"/>
    <w:rsid w:val="00CB3363"/>
    <w:rsid w:val="00CB35EE"/>
    <w:rsid w:val="00CB3977"/>
    <w:rsid w:val="00CB3992"/>
    <w:rsid w:val="00CB3B58"/>
    <w:rsid w:val="00CB4827"/>
    <w:rsid w:val="00CB4B24"/>
    <w:rsid w:val="00CB4C72"/>
    <w:rsid w:val="00CB4CFD"/>
    <w:rsid w:val="00CB5792"/>
    <w:rsid w:val="00CB5862"/>
    <w:rsid w:val="00CB5FA3"/>
    <w:rsid w:val="00CB63DD"/>
    <w:rsid w:val="00CB6464"/>
    <w:rsid w:val="00CB6AC7"/>
    <w:rsid w:val="00CB6E74"/>
    <w:rsid w:val="00CB6F6A"/>
    <w:rsid w:val="00CB7108"/>
    <w:rsid w:val="00CB7133"/>
    <w:rsid w:val="00CB715A"/>
    <w:rsid w:val="00CB7349"/>
    <w:rsid w:val="00CB756B"/>
    <w:rsid w:val="00CB75C3"/>
    <w:rsid w:val="00CB76CC"/>
    <w:rsid w:val="00CB7A64"/>
    <w:rsid w:val="00CB7D43"/>
    <w:rsid w:val="00CC0139"/>
    <w:rsid w:val="00CC03B9"/>
    <w:rsid w:val="00CC093F"/>
    <w:rsid w:val="00CC0F06"/>
    <w:rsid w:val="00CC1C6D"/>
    <w:rsid w:val="00CC1E9C"/>
    <w:rsid w:val="00CC26A5"/>
    <w:rsid w:val="00CC2A51"/>
    <w:rsid w:val="00CC2D8B"/>
    <w:rsid w:val="00CC2DBE"/>
    <w:rsid w:val="00CC318B"/>
    <w:rsid w:val="00CC31A7"/>
    <w:rsid w:val="00CC31F9"/>
    <w:rsid w:val="00CC3280"/>
    <w:rsid w:val="00CC3348"/>
    <w:rsid w:val="00CC33B9"/>
    <w:rsid w:val="00CC345C"/>
    <w:rsid w:val="00CC46AD"/>
    <w:rsid w:val="00CC472C"/>
    <w:rsid w:val="00CC4AEC"/>
    <w:rsid w:val="00CC4AF3"/>
    <w:rsid w:val="00CC4D3F"/>
    <w:rsid w:val="00CC4E25"/>
    <w:rsid w:val="00CC5144"/>
    <w:rsid w:val="00CC5155"/>
    <w:rsid w:val="00CC5328"/>
    <w:rsid w:val="00CC577F"/>
    <w:rsid w:val="00CC57D4"/>
    <w:rsid w:val="00CC598F"/>
    <w:rsid w:val="00CC5AE4"/>
    <w:rsid w:val="00CC5B87"/>
    <w:rsid w:val="00CC5E4E"/>
    <w:rsid w:val="00CC5F5D"/>
    <w:rsid w:val="00CC629C"/>
    <w:rsid w:val="00CC65D4"/>
    <w:rsid w:val="00CC66B8"/>
    <w:rsid w:val="00CC691E"/>
    <w:rsid w:val="00CC6D86"/>
    <w:rsid w:val="00CC7075"/>
    <w:rsid w:val="00CC7112"/>
    <w:rsid w:val="00CC71B9"/>
    <w:rsid w:val="00CC76F0"/>
    <w:rsid w:val="00CC77DB"/>
    <w:rsid w:val="00CC7899"/>
    <w:rsid w:val="00CC78CF"/>
    <w:rsid w:val="00CC7B54"/>
    <w:rsid w:val="00CC7C2A"/>
    <w:rsid w:val="00CC7DCF"/>
    <w:rsid w:val="00CC7EA4"/>
    <w:rsid w:val="00CD046C"/>
    <w:rsid w:val="00CD0731"/>
    <w:rsid w:val="00CD0842"/>
    <w:rsid w:val="00CD0CA2"/>
    <w:rsid w:val="00CD0D18"/>
    <w:rsid w:val="00CD0E5C"/>
    <w:rsid w:val="00CD0E8A"/>
    <w:rsid w:val="00CD0EFF"/>
    <w:rsid w:val="00CD10D6"/>
    <w:rsid w:val="00CD1E2E"/>
    <w:rsid w:val="00CD2056"/>
    <w:rsid w:val="00CD2501"/>
    <w:rsid w:val="00CD2D41"/>
    <w:rsid w:val="00CD3365"/>
    <w:rsid w:val="00CD362B"/>
    <w:rsid w:val="00CD39B2"/>
    <w:rsid w:val="00CD3B11"/>
    <w:rsid w:val="00CD4142"/>
    <w:rsid w:val="00CD4249"/>
    <w:rsid w:val="00CD44AB"/>
    <w:rsid w:val="00CD46F1"/>
    <w:rsid w:val="00CD4E68"/>
    <w:rsid w:val="00CD5032"/>
    <w:rsid w:val="00CD523E"/>
    <w:rsid w:val="00CD5308"/>
    <w:rsid w:val="00CD537D"/>
    <w:rsid w:val="00CD5982"/>
    <w:rsid w:val="00CD5CFD"/>
    <w:rsid w:val="00CD5D29"/>
    <w:rsid w:val="00CD5D90"/>
    <w:rsid w:val="00CD5EE9"/>
    <w:rsid w:val="00CD63DE"/>
    <w:rsid w:val="00CD6F1D"/>
    <w:rsid w:val="00CD7033"/>
    <w:rsid w:val="00CD7372"/>
    <w:rsid w:val="00CD7A3E"/>
    <w:rsid w:val="00CD7BC9"/>
    <w:rsid w:val="00CD7D71"/>
    <w:rsid w:val="00CD7F8F"/>
    <w:rsid w:val="00CE04E6"/>
    <w:rsid w:val="00CE093A"/>
    <w:rsid w:val="00CE0BEB"/>
    <w:rsid w:val="00CE1229"/>
    <w:rsid w:val="00CE138A"/>
    <w:rsid w:val="00CE1712"/>
    <w:rsid w:val="00CE1B29"/>
    <w:rsid w:val="00CE1FE5"/>
    <w:rsid w:val="00CE2023"/>
    <w:rsid w:val="00CE25DA"/>
    <w:rsid w:val="00CE29A0"/>
    <w:rsid w:val="00CE3883"/>
    <w:rsid w:val="00CE3B5E"/>
    <w:rsid w:val="00CE3C21"/>
    <w:rsid w:val="00CE3CD3"/>
    <w:rsid w:val="00CE3EA6"/>
    <w:rsid w:val="00CE428D"/>
    <w:rsid w:val="00CE47DD"/>
    <w:rsid w:val="00CE49D7"/>
    <w:rsid w:val="00CE4C56"/>
    <w:rsid w:val="00CE4E5E"/>
    <w:rsid w:val="00CE51AC"/>
    <w:rsid w:val="00CE54EE"/>
    <w:rsid w:val="00CE56F0"/>
    <w:rsid w:val="00CE5A83"/>
    <w:rsid w:val="00CE5D64"/>
    <w:rsid w:val="00CE6654"/>
    <w:rsid w:val="00CE6ACD"/>
    <w:rsid w:val="00CE6B24"/>
    <w:rsid w:val="00CE70A1"/>
    <w:rsid w:val="00CE714A"/>
    <w:rsid w:val="00CE751A"/>
    <w:rsid w:val="00CF069B"/>
    <w:rsid w:val="00CF081D"/>
    <w:rsid w:val="00CF08B0"/>
    <w:rsid w:val="00CF09CC"/>
    <w:rsid w:val="00CF0B08"/>
    <w:rsid w:val="00CF0CEB"/>
    <w:rsid w:val="00CF0EB8"/>
    <w:rsid w:val="00CF0F94"/>
    <w:rsid w:val="00CF106B"/>
    <w:rsid w:val="00CF16E1"/>
    <w:rsid w:val="00CF1AE6"/>
    <w:rsid w:val="00CF1E7D"/>
    <w:rsid w:val="00CF1FE5"/>
    <w:rsid w:val="00CF2298"/>
    <w:rsid w:val="00CF2576"/>
    <w:rsid w:val="00CF2736"/>
    <w:rsid w:val="00CF2AA0"/>
    <w:rsid w:val="00CF2B75"/>
    <w:rsid w:val="00CF2D9F"/>
    <w:rsid w:val="00CF300A"/>
    <w:rsid w:val="00CF32EF"/>
    <w:rsid w:val="00CF3686"/>
    <w:rsid w:val="00CF371D"/>
    <w:rsid w:val="00CF3A2B"/>
    <w:rsid w:val="00CF3B67"/>
    <w:rsid w:val="00CF40B1"/>
    <w:rsid w:val="00CF420C"/>
    <w:rsid w:val="00CF428F"/>
    <w:rsid w:val="00CF429C"/>
    <w:rsid w:val="00CF462D"/>
    <w:rsid w:val="00CF4642"/>
    <w:rsid w:val="00CF46D5"/>
    <w:rsid w:val="00CF4C77"/>
    <w:rsid w:val="00CF4E8C"/>
    <w:rsid w:val="00CF5191"/>
    <w:rsid w:val="00CF559E"/>
    <w:rsid w:val="00CF5802"/>
    <w:rsid w:val="00CF58E1"/>
    <w:rsid w:val="00CF5B66"/>
    <w:rsid w:val="00CF5D9A"/>
    <w:rsid w:val="00CF734C"/>
    <w:rsid w:val="00CF74F2"/>
    <w:rsid w:val="00CF75AB"/>
    <w:rsid w:val="00CF7653"/>
    <w:rsid w:val="00CF77E4"/>
    <w:rsid w:val="00CF782F"/>
    <w:rsid w:val="00CF7A0F"/>
    <w:rsid w:val="00CF7E0F"/>
    <w:rsid w:val="00CF7F26"/>
    <w:rsid w:val="00D00705"/>
    <w:rsid w:val="00D008E0"/>
    <w:rsid w:val="00D0096A"/>
    <w:rsid w:val="00D00B57"/>
    <w:rsid w:val="00D0110B"/>
    <w:rsid w:val="00D01234"/>
    <w:rsid w:val="00D01A07"/>
    <w:rsid w:val="00D01D2B"/>
    <w:rsid w:val="00D01E9F"/>
    <w:rsid w:val="00D01F74"/>
    <w:rsid w:val="00D02071"/>
    <w:rsid w:val="00D0208E"/>
    <w:rsid w:val="00D024D9"/>
    <w:rsid w:val="00D0251C"/>
    <w:rsid w:val="00D02C8D"/>
    <w:rsid w:val="00D02CD9"/>
    <w:rsid w:val="00D02D74"/>
    <w:rsid w:val="00D02E18"/>
    <w:rsid w:val="00D030EC"/>
    <w:rsid w:val="00D03E16"/>
    <w:rsid w:val="00D040AF"/>
    <w:rsid w:val="00D047B0"/>
    <w:rsid w:val="00D048A7"/>
    <w:rsid w:val="00D049F7"/>
    <w:rsid w:val="00D04CD1"/>
    <w:rsid w:val="00D04D65"/>
    <w:rsid w:val="00D04E52"/>
    <w:rsid w:val="00D0516C"/>
    <w:rsid w:val="00D0520C"/>
    <w:rsid w:val="00D054A2"/>
    <w:rsid w:val="00D05994"/>
    <w:rsid w:val="00D05B2F"/>
    <w:rsid w:val="00D05B6A"/>
    <w:rsid w:val="00D05C08"/>
    <w:rsid w:val="00D05C37"/>
    <w:rsid w:val="00D05F08"/>
    <w:rsid w:val="00D06005"/>
    <w:rsid w:val="00D0611A"/>
    <w:rsid w:val="00D064A8"/>
    <w:rsid w:val="00D064E2"/>
    <w:rsid w:val="00D06624"/>
    <w:rsid w:val="00D0674D"/>
    <w:rsid w:val="00D06E66"/>
    <w:rsid w:val="00D06F8D"/>
    <w:rsid w:val="00D06FF2"/>
    <w:rsid w:val="00D071DF"/>
    <w:rsid w:val="00D077D9"/>
    <w:rsid w:val="00D07E98"/>
    <w:rsid w:val="00D102D3"/>
    <w:rsid w:val="00D103DC"/>
    <w:rsid w:val="00D107A5"/>
    <w:rsid w:val="00D1131B"/>
    <w:rsid w:val="00D1132E"/>
    <w:rsid w:val="00D1141F"/>
    <w:rsid w:val="00D11736"/>
    <w:rsid w:val="00D118FF"/>
    <w:rsid w:val="00D11CD2"/>
    <w:rsid w:val="00D1200A"/>
    <w:rsid w:val="00D12887"/>
    <w:rsid w:val="00D12EE3"/>
    <w:rsid w:val="00D1308B"/>
    <w:rsid w:val="00D1348B"/>
    <w:rsid w:val="00D13547"/>
    <w:rsid w:val="00D1362D"/>
    <w:rsid w:val="00D13DB1"/>
    <w:rsid w:val="00D140A4"/>
    <w:rsid w:val="00D14507"/>
    <w:rsid w:val="00D14843"/>
    <w:rsid w:val="00D14AB8"/>
    <w:rsid w:val="00D14C2A"/>
    <w:rsid w:val="00D14C5A"/>
    <w:rsid w:val="00D14C6C"/>
    <w:rsid w:val="00D14FBF"/>
    <w:rsid w:val="00D151CD"/>
    <w:rsid w:val="00D15313"/>
    <w:rsid w:val="00D15755"/>
    <w:rsid w:val="00D15AE0"/>
    <w:rsid w:val="00D15B32"/>
    <w:rsid w:val="00D15E07"/>
    <w:rsid w:val="00D16005"/>
    <w:rsid w:val="00D16492"/>
    <w:rsid w:val="00D173A5"/>
    <w:rsid w:val="00D175E1"/>
    <w:rsid w:val="00D1768C"/>
    <w:rsid w:val="00D17F21"/>
    <w:rsid w:val="00D20003"/>
    <w:rsid w:val="00D20140"/>
    <w:rsid w:val="00D20232"/>
    <w:rsid w:val="00D20701"/>
    <w:rsid w:val="00D20A29"/>
    <w:rsid w:val="00D20FA6"/>
    <w:rsid w:val="00D21013"/>
    <w:rsid w:val="00D2164D"/>
    <w:rsid w:val="00D2183C"/>
    <w:rsid w:val="00D21A2E"/>
    <w:rsid w:val="00D21A65"/>
    <w:rsid w:val="00D21D34"/>
    <w:rsid w:val="00D21E34"/>
    <w:rsid w:val="00D21E48"/>
    <w:rsid w:val="00D2245F"/>
    <w:rsid w:val="00D227F8"/>
    <w:rsid w:val="00D22DCF"/>
    <w:rsid w:val="00D230D8"/>
    <w:rsid w:val="00D2349B"/>
    <w:rsid w:val="00D2367B"/>
    <w:rsid w:val="00D2391E"/>
    <w:rsid w:val="00D239C7"/>
    <w:rsid w:val="00D239DA"/>
    <w:rsid w:val="00D23E88"/>
    <w:rsid w:val="00D244DC"/>
    <w:rsid w:val="00D24545"/>
    <w:rsid w:val="00D245E5"/>
    <w:rsid w:val="00D248B7"/>
    <w:rsid w:val="00D249DF"/>
    <w:rsid w:val="00D24BDA"/>
    <w:rsid w:val="00D24E5C"/>
    <w:rsid w:val="00D25006"/>
    <w:rsid w:val="00D2523A"/>
    <w:rsid w:val="00D253F3"/>
    <w:rsid w:val="00D25475"/>
    <w:rsid w:val="00D25E57"/>
    <w:rsid w:val="00D2601D"/>
    <w:rsid w:val="00D26287"/>
    <w:rsid w:val="00D267E4"/>
    <w:rsid w:val="00D269B2"/>
    <w:rsid w:val="00D269E0"/>
    <w:rsid w:val="00D27144"/>
    <w:rsid w:val="00D27FAA"/>
    <w:rsid w:val="00D30075"/>
    <w:rsid w:val="00D306B6"/>
    <w:rsid w:val="00D30B71"/>
    <w:rsid w:val="00D30D72"/>
    <w:rsid w:val="00D3108F"/>
    <w:rsid w:val="00D312F7"/>
    <w:rsid w:val="00D313E8"/>
    <w:rsid w:val="00D31796"/>
    <w:rsid w:val="00D31823"/>
    <w:rsid w:val="00D31A6A"/>
    <w:rsid w:val="00D31CF9"/>
    <w:rsid w:val="00D31F85"/>
    <w:rsid w:val="00D32341"/>
    <w:rsid w:val="00D323DC"/>
    <w:rsid w:val="00D32609"/>
    <w:rsid w:val="00D326CF"/>
    <w:rsid w:val="00D328FE"/>
    <w:rsid w:val="00D3364D"/>
    <w:rsid w:val="00D33A8C"/>
    <w:rsid w:val="00D33B99"/>
    <w:rsid w:val="00D3412E"/>
    <w:rsid w:val="00D3487B"/>
    <w:rsid w:val="00D34981"/>
    <w:rsid w:val="00D34A1A"/>
    <w:rsid w:val="00D35533"/>
    <w:rsid w:val="00D358E5"/>
    <w:rsid w:val="00D35BAF"/>
    <w:rsid w:val="00D35DC1"/>
    <w:rsid w:val="00D35E7E"/>
    <w:rsid w:val="00D35FE3"/>
    <w:rsid w:val="00D3601B"/>
    <w:rsid w:val="00D360D4"/>
    <w:rsid w:val="00D361D8"/>
    <w:rsid w:val="00D361DD"/>
    <w:rsid w:val="00D36700"/>
    <w:rsid w:val="00D36EFD"/>
    <w:rsid w:val="00D37013"/>
    <w:rsid w:val="00D37211"/>
    <w:rsid w:val="00D3745D"/>
    <w:rsid w:val="00D379B4"/>
    <w:rsid w:val="00D37B2F"/>
    <w:rsid w:val="00D37D6B"/>
    <w:rsid w:val="00D37DED"/>
    <w:rsid w:val="00D37E22"/>
    <w:rsid w:val="00D37E86"/>
    <w:rsid w:val="00D37F25"/>
    <w:rsid w:val="00D401B4"/>
    <w:rsid w:val="00D40316"/>
    <w:rsid w:val="00D4039D"/>
    <w:rsid w:val="00D406F1"/>
    <w:rsid w:val="00D40787"/>
    <w:rsid w:val="00D40BA8"/>
    <w:rsid w:val="00D40D08"/>
    <w:rsid w:val="00D40DFF"/>
    <w:rsid w:val="00D413BF"/>
    <w:rsid w:val="00D4195B"/>
    <w:rsid w:val="00D419BD"/>
    <w:rsid w:val="00D41B09"/>
    <w:rsid w:val="00D41F36"/>
    <w:rsid w:val="00D4239D"/>
    <w:rsid w:val="00D426B1"/>
    <w:rsid w:val="00D42826"/>
    <w:rsid w:val="00D42845"/>
    <w:rsid w:val="00D42C93"/>
    <w:rsid w:val="00D42F32"/>
    <w:rsid w:val="00D42FB3"/>
    <w:rsid w:val="00D43BD4"/>
    <w:rsid w:val="00D43C22"/>
    <w:rsid w:val="00D43F5C"/>
    <w:rsid w:val="00D441BA"/>
    <w:rsid w:val="00D444AF"/>
    <w:rsid w:val="00D446C7"/>
    <w:rsid w:val="00D448F3"/>
    <w:rsid w:val="00D44AD6"/>
    <w:rsid w:val="00D44C29"/>
    <w:rsid w:val="00D455F6"/>
    <w:rsid w:val="00D4578A"/>
    <w:rsid w:val="00D45AE1"/>
    <w:rsid w:val="00D4624A"/>
    <w:rsid w:val="00D46338"/>
    <w:rsid w:val="00D467CD"/>
    <w:rsid w:val="00D469ED"/>
    <w:rsid w:val="00D46D64"/>
    <w:rsid w:val="00D46DC8"/>
    <w:rsid w:val="00D47036"/>
    <w:rsid w:val="00D471CF"/>
    <w:rsid w:val="00D47786"/>
    <w:rsid w:val="00D47B58"/>
    <w:rsid w:val="00D50264"/>
    <w:rsid w:val="00D507F6"/>
    <w:rsid w:val="00D508DF"/>
    <w:rsid w:val="00D5127A"/>
    <w:rsid w:val="00D512DA"/>
    <w:rsid w:val="00D513B3"/>
    <w:rsid w:val="00D51439"/>
    <w:rsid w:val="00D51727"/>
    <w:rsid w:val="00D5188E"/>
    <w:rsid w:val="00D51BD1"/>
    <w:rsid w:val="00D51D30"/>
    <w:rsid w:val="00D51F1B"/>
    <w:rsid w:val="00D520E6"/>
    <w:rsid w:val="00D522AC"/>
    <w:rsid w:val="00D52465"/>
    <w:rsid w:val="00D52737"/>
    <w:rsid w:val="00D527A0"/>
    <w:rsid w:val="00D52919"/>
    <w:rsid w:val="00D52CBC"/>
    <w:rsid w:val="00D53779"/>
    <w:rsid w:val="00D53CC4"/>
    <w:rsid w:val="00D5404C"/>
    <w:rsid w:val="00D546F5"/>
    <w:rsid w:val="00D54736"/>
    <w:rsid w:val="00D54B65"/>
    <w:rsid w:val="00D550D3"/>
    <w:rsid w:val="00D5513D"/>
    <w:rsid w:val="00D55B01"/>
    <w:rsid w:val="00D55B68"/>
    <w:rsid w:val="00D55C60"/>
    <w:rsid w:val="00D55CF8"/>
    <w:rsid w:val="00D55E40"/>
    <w:rsid w:val="00D560A0"/>
    <w:rsid w:val="00D561EE"/>
    <w:rsid w:val="00D569B2"/>
    <w:rsid w:val="00D5754A"/>
    <w:rsid w:val="00D578D9"/>
    <w:rsid w:val="00D57B18"/>
    <w:rsid w:val="00D57D61"/>
    <w:rsid w:val="00D57F68"/>
    <w:rsid w:val="00D6045E"/>
    <w:rsid w:val="00D604FE"/>
    <w:rsid w:val="00D60660"/>
    <w:rsid w:val="00D609B3"/>
    <w:rsid w:val="00D60ACA"/>
    <w:rsid w:val="00D615E5"/>
    <w:rsid w:val="00D61717"/>
    <w:rsid w:val="00D617AF"/>
    <w:rsid w:val="00D61963"/>
    <w:rsid w:val="00D619A3"/>
    <w:rsid w:val="00D61C77"/>
    <w:rsid w:val="00D61D43"/>
    <w:rsid w:val="00D61F25"/>
    <w:rsid w:val="00D62223"/>
    <w:rsid w:val="00D62225"/>
    <w:rsid w:val="00D623F9"/>
    <w:rsid w:val="00D627F6"/>
    <w:rsid w:val="00D6296D"/>
    <w:rsid w:val="00D62EAE"/>
    <w:rsid w:val="00D62F3C"/>
    <w:rsid w:val="00D6306A"/>
    <w:rsid w:val="00D63A8D"/>
    <w:rsid w:val="00D63BD1"/>
    <w:rsid w:val="00D641E2"/>
    <w:rsid w:val="00D64245"/>
    <w:rsid w:val="00D643A5"/>
    <w:rsid w:val="00D646DE"/>
    <w:rsid w:val="00D64B79"/>
    <w:rsid w:val="00D64E74"/>
    <w:rsid w:val="00D65260"/>
    <w:rsid w:val="00D65EC1"/>
    <w:rsid w:val="00D66220"/>
    <w:rsid w:val="00D6666B"/>
    <w:rsid w:val="00D668B8"/>
    <w:rsid w:val="00D66AB3"/>
    <w:rsid w:val="00D66BD7"/>
    <w:rsid w:val="00D66CE6"/>
    <w:rsid w:val="00D67094"/>
    <w:rsid w:val="00D6732D"/>
    <w:rsid w:val="00D67379"/>
    <w:rsid w:val="00D67C32"/>
    <w:rsid w:val="00D70373"/>
    <w:rsid w:val="00D703FE"/>
    <w:rsid w:val="00D70822"/>
    <w:rsid w:val="00D70A80"/>
    <w:rsid w:val="00D70E34"/>
    <w:rsid w:val="00D710DF"/>
    <w:rsid w:val="00D71106"/>
    <w:rsid w:val="00D71389"/>
    <w:rsid w:val="00D7165F"/>
    <w:rsid w:val="00D716EA"/>
    <w:rsid w:val="00D71981"/>
    <w:rsid w:val="00D71F38"/>
    <w:rsid w:val="00D7200B"/>
    <w:rsid w:val="00D725C3"/>
    <w:rsid w:val="00D72933"/>
    <w:rsid w:val="00D72B33"/>
    <w:rsid w:val="00D7317C"/>
    <w:rsid w:val="00D73A8F"/>
    <w:rsid w:val="00D73B49"/>
    <w:rsid w:val="00D743A9"/>
    <w:rsid w:val="00D74601"/>
    <w:rsid w:val="00D74F5A"/>
    <w:rsid w:val="00D74F63"/>
    <w:rsid w:val="00D750EB"/>
    <w:rsid w:val="00D7515C"/>
    <w:rsid w:val="00D751A6"/>
    <w:rsid w:val="00D7537B"/>
    <w:rsid w:val="00D757BE"/>
    <w:rsid w:val="00D759A9"/>
    <w:rsid w:val="00D759E1"/>
    <w:rsid w:val="00D75A5A"/>
    <w:rsid w:val="00D75B87"/>
    <w:rsid w:val="00D75D82"/>
    <w:rsid w:val="00D760B7"/>
    <w:rsid w:val="00D760D8"/>
    <w:rsid w:val="00D76473"/>
    <w:rsid w:val="00D76A05"/>
    <w:rsid w:val="00D76B4C"/>
    <w:rsid w:val="00D76C86"/>
    <w:rsid w:val="00D77320"/>
    <w:rsid w:val="00D77393"/>
    <w:rsid w:val="00D774B2"/>
    <w:rsid w:val="00D7753D"/>
    <w:rsid w:val="00D77567"/>
    <w:rsid w:val="00D7758D"/>
    <w:rsid w:val="00D77654"/>
    <w:rsid w:val="00D77BBA"/>
    <w:rsid w:val="00D77DFC"/>
    <w:rsid w:val="00D80064"/>
    <w:rsid w:val="00D8010A"/>
    <w:rsid w:val="00D80492"/>
    <w:rsid w:val="00D80D04"/>
    <w:rsid w:val="00D80D55"/>
    <w:rsid w:val="00D80D9D"/>
    <w:rsid w:val="00D80ECA"/>
    <w:rsid w:val="00D8158A"/>
    <w:rsid w:val="00D81805"/>
    <w:rsid w:val="00D8188A"/>
    <w:rsid w:val="00D8190F"/>
    <w:rsid w:val="00D81914"/>
    <w:rsid w:val="00D8199A"/>
    <w:rsid w:val="00D81D5C"/>
    <w:rsid w:val="00D81EA3"/>
    <w:rsid w:val="00D81EFD"/>
    <w:rsid w:val="00D81FAD"/>
    <w:rsid w:val="00D820FF"/>
    <w:rsid w:val="00D826ED"/>
    <w:rsid w:val="00D82B6A"/>
    <w:rsid w:val="00D82C21"/>
    <w:rsid w:val="00D831EC"/>
    <w:rsid w:val="00D83515"/>
    <w:rsid w:val="00D837CF"/>
    <w:rsid w:val="00D8400A"/>
    <w:rsid w:val="00D849C4"/>
    <w:rsid w:val="00D84F30"/>
    <w:rsid w:val="00D84F46"/>
    <w:rsid w:val="00D84F53"/>
    <w:rsid w:val="00D851B8"/>
    <w:rsid w:val="00D85447"/>
    <w:rsid w:val="00D8574F"/>
    <w:rsid w:val="00D85852"/>
    <w:rsid w:val="00D858A9"/>
    <w:rsid w:val="00D858CF"/>
    <w:rsid w:val="00D85ADB"/>
    <w:rsid w:val="00D85D30"/>
    <w:rsid w:val="00D86EAE"/>
    <w:rsid w:val="00D871B0"/>
    <w:rsid w:val="00D8749A"/>
    <w:rsid w:val="00D877DC"/>
    <w:rsid w:val="00D878CF"/>
    <w:rsid w:val="00D87D75"/>
    <w:rsid w:val="00D90803"/>
    <w:rsid w:val="00D9082E"/>
    <w:rsid w:val="00D90C11"/>
    <w:rsid w:val="00D91023"/>
    <w:rsid w:val="00D910F2"/>
    <w:rsid w:val="00D91640"/>
    <w:rsid w:val="00D9177D"/>
    <w:rsid w:val="00D917E2"/>
    <w:rsid w:val="00D91905"/>
    <w:rsid w:val="00D91C16"/>
    <w:rsid w:val="00D91E66"/>
    <w:rsid w:val="00D91FD6"/>
    <w:rsid w:val="00D922E0"/>
    <w:rsid w:val="00D925ED"/>
    <w:rsid w:val="00D92666"/>
    <w:rsid w:val="00D9269D"/>
    <w:rsid w:val="00D9288C"/>
    <w:rsid w:val="00D928F3"/>
    <w:rsid w:val="00D929F3"/>
    <w:rsid w:val="00D92C1C"/>
    <w:rsid w:val="00D93508"/>
    <w:rsid w:val="00D9353D"/>
    <w:rsid w:val="00D936C9"/>
    <w:rsid w:val="00D936D6"/>
    <w:rsid w:val="00D936D7"/>
    <w:rsid w:val="00D9380D"/>
    <w:rsid w:val="00D93B9D"/>
    <w:rsid w:val="00D93CC9"/>
    <w:rsid w:val="00D93DB9"/>
    <w:rsid w:val="00D9422D"/>
    <w:rsid w:val="00D943D4"/>
    <w:rsid w:val="00D94459"/>
    <w:rsid w:val="00D944CB"/>
    <w:rsid w:val="00D94967"/>
    <w:rsid w:val="00D94AF5"/>
    <w:rsid w:val="00D94DEE"/>
    <w:rsid w:val="00D9526B"/>
    <w:rsid w:val="00D9599A"/>
    <w:rsid w:val="00D95D07"/>
    <w:rsid w:val="00D95D8F"/>
    <w:rsid w:val="00D95D9D"/>
    <w:rsid w:val="00D96209"/>
    <w:rsid w:val="00D97033"/>
    <w:rsid w:val="00D9705B"/>
    <w:rsid w:val="00D97244"/>
    <w:rsid w:val="00D97658"/>
    <w:rsid w:val="00D97679"/>
    <w:rsid w:val="00D97C71"/>
    <w:rsid w:val="00DA052A"/>
    <w:rsid w:val="00DA0A20"/>
    <w:rsid w:val="00DA111F"/>
    <w:rsid w:val="00DA1415"/>
    <w:rsid w:val="00DA144D"/>
    <w:rsid w:val="00DA19C5"/>
    <w:rsid w:val="00DA1CB8"/>
    <w:rsid w:val="00DA23EB"/>
    <w:rsid w:val="00DA267D"/>
    <w:rsid w:val="00DA26DF"/>
    <w:rsid w:val="00DA29D9"/>
    <w:rsid w:val="00DA2AA3"/>
    <w:rsid w:val="00DA2C56"/>
    <w:rsid w:val="00DA2D0C"/>
    <w:rsid w:val="00DA2FC4"/>
    <w:rsid w:val="00DA2FEE"/>
    <w:rsid w:val="00DA31A4"/>
    <w:rsid w:val="00DA3322"/>
    <w:rsid w:val="00DA34F4"/>
    <w:rsid w:val="00DA3893"/>
    <w:rsid w:val="00DA3C11"/>
    <w:rsid w:val="00DA414E"/>
    <w:rsid w:val="00DA42E5"/>
    <w:rsid w:val="00DA49DD"/>
    <w:rsid w:val="00DA49E8"/>
    <w:rsid w:val="00DA4BBA"/>
    <w:rsid w:val="00DA4E69"/>
    <w:rsid w:val="00DA4F72"/>
    <w:rsid w:val="00DA516A"/>
    <w:rsid w:val="00DA55EA"/>
    <w:rsid w:val="00DA5675"/>
    <w:rsid w:val="00DA58BE"/>
    <w:rsid w:val="00DA5E0E"/>
    <w:rsid w:val="00DA631F"/>
    <w:rsid w:val="00DA65B4"/>
    <w:rsid w:val="00DA6727"/>
    <w:rsid w:val="00DA6794"/>
    <w:rsid w:val="00DA6A76"/>
    <w:rsid w:val="00DA6EC8"/>
    <w:rsid w:val="00DA7353"/>
    <w:rsid w:val="00DA7C97"/>
    <w:rsid w:val="00DA7E22"/>
    <w:rsid w:val="00DA7EC9"/>
    <w:rsid w:val="00DB015E"/>
    <w:rsid w:val="00DB0521"/>
    <w:rsid w:val="00DB0559"/>
    <w:rsid w:val="00DB071F"/>
    <w:rsid w:val="00DB0731"/>
    <w:rsid w:val="00DB0C0F"/>
    <w:rsid w:val="00DB0C24"/>
    <w:rsid w:val="00DB0C47"/>
    <w:rsid w:val="00DB0E16"/>
    <w:rsid w:val="00DB0E30"/>
    <w:rsid w:val="00DB1518"/>
    <w:rsid w:val="00DB1C9E"/>
    <w:rsid w:val="00DB2229"/>
    <w:rsid w:val="00DB24CE"/>
    <w:rsid w:val="00DB3008"/>
    <w:rsid w:val="00DB32C6"/>
    <w:rsid w:val="00DB33F7"/>
    <w:rsid w:val="00DB3439"/>
    <w:rsid w:val="00DB3618"/>
    <w:rsid w:val="00DB36A2"/>
    <w:rsid w:val="00DB3777"/>
    <w:rsid w:val="00DB37EA"/>
    <w:rsid w:val="00DB3816"/>
    <w:rsid w:val="00DB3956"/>
    <w:rsid w:val="00DB3D2C"/>
    <w:rsid w:val="00DB41F5"/>
    <w:rsid w:val="00DB48EE"/>
    <w:rsid w:val="00DB4C9B"/>
    <w:rsid w:val="00DB4F30"/>
    <w:rsid w:val="00DB51F3"/>
    <w:rsid w:val="00DB52C7"/>
    <w:rsid w:val="00DB537B"/>
    <w:rsid w:val="00DB5450"/>
    <w:rsid w:val="00DB5663"/>
    <w:rsid w:val="00DB56EE"/>
    <w:rsid w:val="00DB5977"/>
    <w:rsid w:val="00DB5A89"/>
    <w:rsid w:val="00DB5C37"/>
    <w:rsid w:val="00DB6310"/>
    <w:rsid w:val="00DB64D0"/>
    <w:rsid w:val="00DB65B3"/>
    <w:rsid w:val="00DB6823"/>
    <w:rsid w:val="00DB6923"/>
    <w:rsid w:val="00DB6AC9"/>
    <w:rsid w:val="00DB74E7"/>
    <w:rsid w:val="00DB7929"/>
    <w:rsid w:val="00DB7A4C"/>
    <w:rsid w:val="00DB7A8D"/>
    <w:rsid w:val="00DB7EAD"/>
    <w:rsid w:val="00DC0108"/>
    <w:rsid w:val="00DC070E"/>
    <w:rsid w:val="00DC0F6E"/>
    <w:rsid w:val="00DC0F91"/>
    <w:rsid w:val="00DC1053"/>
    <w:rsid w:val="00DC1338"/>
    <w:rsid w:val="00DC15F1"/>
    <w:rsid w:val="00DC1685"/>
    <w:rsid w:val="00DC16BA"/>
    <w:rsid w:val="00DC1A19"/>
    <w:rsid w:val="00DC1D3A"/>
    <w:rsid w:val="00DC220C"/>
    <w:rsid w:val="00DC250D"/>
    <w:rsid w:val="00DC26F9"/>
    <w:rsid w:val="00DC2B1E"/>
    <w:rsid w:val="00DC2E01"/>
    <w:rsid w:val="00DC2E6D"/>
    <w:rsid w:val="00DC2F70"/>
    <w:rsid w:val="00DC3019"/>
    <w:rsid w:val="00DC33F0"/>
    <w:rsid w:val="00DC381D"/>
    <w:rsid w:val="00DC3849"/>
    <w:rsid w:val="00DC38AF"/>
    <w:rsid w:val="00DC38D5"/>
    <w:rsid w:val="00DC3D3F"/>
    <w:rsid w:val="00DC44AB"/>
    <w:rsid w:val="00DC5058"/>
    <w:rsid w:val="00DC50D6"/>
    <w:rsid w:val="00DC544D"/>
    <w:rsid w:val="00DC5604"/>
    <w:rsid w:val="00DC575C"/>
    <w:rsid w:val="00DC58E4"/>
    <w:rsid w:val="00DC5A47"/>
    <w:rsid w:val="00DC5B5B"/>
    <w:rsid w:val="00DC5BB2"/>
    <w:rsid w:val="00DC5FFD"/>
    <w:rsid w:val="00DC6213"/>
    <w:rsid w:val="00DC6356"/>
    <w:rsid w:val="00DC66A2"/>
    <w:rsid w:val="00DC68B6"/>
    <w:rsid w:val="00DC6E9F"/>
    <w:rsid w:val="00DC75BE"/>
    <w:rsid w:val="00DC7A9A"/>
    <w:rsid w:val="00DC7C51"/>
    <w:rsid w:val="00DC7CEE"/>
    <w:rsid w:val="00DC7DDC"/>
    <w:rsid w:val="00DD002C"/>
    <w:rsid w:val="00DD0473"/>
    <w:rsid w:val="00DD0B1F"/>
    <w:rsid w:val="00DD0B44"/>
    <w:rsid w:val="00DD0B64"/>
    <w:rsid w:val="00DD0D32"/>
    <w:rsid w:val="00DD0EA0"/>
    <w:rsid w:val="00DD0F41"/>
    <w:rsid w:val="00DD1569"/>
    <w:rsid w:val="00DD1725"/>
    <w:rsid w:val="00DD18FF"/>
    <w:rsid w:val="00DD19E2"/>
    <w:rsid w:val="00DD1A3F"/>
    <w:rsid w:val="00DD1CD6"/>
    <w:rsid w:val="00DD1FCF"/>
    <w:rsid w:val="00DD20C9"/>
    <w:rsid w:val="00DD21F9"/>
    <w:rsid w:val="00DD248E"/>
    <w:rsid w:val="00DD281C"/>
    <w:rsid w:val="00DD2D15"/>
    <w:rsid w:val="00DD2D79"/>
    <w:rsid w:val="00DD2E25"/>
    <w:rsid w:val="00DD3028"/>
    <w:rsid w:val="00DD307D"/>
    <w:rsid w:val="00DD37B3"/>
    <w:rsid w:val="00DD3981"/>
    <w:rsid w:val="00DD3B9D"/>
    <w:rsid w:val="00DD3C74"/>
    <w:rsid w:val="00DD4284"/>
    <w:rsid w:val="00DD4417"/>
    <w:rsid w:val="00DD4823"/>
    <w:rsid w:val="00DD4888"/>
    <w:rsid w:val="00DD4899"/>
    <w:rsid w:val="00DD4B44"/>
    <w:rsid w:val="00DD53BD"/>
    <w:rsid w:val="00DD5892"/>
    <w:rsid w:val="00DD5AAD"/>
    <w:rsid w:val="00DD5BF5"/>
    <w:rsid w:val="00DD6034"/>
    <w:rsid w:val="00DD611F"/>
    <w:rsid w:val="00DD690E"/>
    <w:rsid w:val="00DD6F6B"/>
    <w:rsid w:val="00DD70F5"/>
    <w:rsid w:val="00DE0444"/>
    <w:rsid w:val="00DE071B"/>
    <w:rsid w:val="00DE07BA"/>
    <w:rsid w:val="00DE0AA8"/>
    <w:rsid w:val="00DE0C29"/>
    <w:rsid w:val="00DE0C78"/>
    <w:rsid w:val="00DE0E38"/>
    <w:rsid w:val="00DE0E90"/>
    <w:rsid w:val="00DE1100"/>
    <w:rsid w:val="00DE13D8"/>
    <w:rsid w:val="00DE1A3C"/>
    <w:rsid w:val="00DE2BC5"/>
    <w:rsid w:val="00DE2C94"/>
    <w:rsid w:val="00DE2D38"/>
    <w:rsid w:val="00DE2DFE"/>
    <w:rsid w:val="00DE2E51"/>
    <w:rsid w:val="00DE2EFE"/>
    <w:rsid w:val="00DE3127"/>
    <w:rsid w:val="00DE32D0"/>
    <w:rsid w:val="00DE388E"/>
    <w:rsid w:val="00DE40B4"/>
    <w:rsid w:val="00DE4944"/>
    <w:rsid w:val="00DE4B0A"/>
    <w:rsid w:val="00DE4CD6"/>
    <w:rsid w:val="00DE60AD"/>
    <w:rsid w:val="00DE6142"/>
    <w:rsid w:val="00DE656D"/>
    <w:rsid w:val="00DE6712"/>
    <w:rsid w:val="00DE6C1C"/>
    <w:rsid w:val="00DE6C3C"/>
    <w:rsid w:val="00DE6EA1"/>
    <w:rsid w:val="00DE7689"/>
    <w:rsid w:val="00DE78A6"/>
    <w:rsid w:val="00DE7A14"/>
    <w:rsid w:val="00DE7B76"/>
    <w:rsid w:val="00DF0372"/>
    <w:rsid w:val="00DF04DB"/>
    <w:rsid w:val="00DF04DD"/>
    <w:rsid w:val="00DF04F3"/>
    <w:rsid w:val="00DF098A"/>
    <w:rsid w:val="00DF0E5B"/>
    <w:rsid w:val="00DF1372"/>
    <w:rsid w:val="00DF138D"/>
    <w:rsid w:val="00DF14CC"/>
    <w:rsid w:val="00DF1F2A"/>
    <w:rsid w:val="00DF2011"/>
    <w:rsid w:val="00DF2022"/>
    <w:rsid w:val="00DF2157"/>
    <w:rsid w:val="00DF2248"/>
    <w:rsid w:val="00DF2489"/>
    <w:rsid w:val="00DF24A2"/>
    <w:rsid w:val="00DF24A7"/>
    <w:rsid w:val="00DF2C8D"/>
    <w:rsid w:val="00DF38CF"/>
    <w:rsid w:val="00DF38D2"/>
    <w:rsid w:val="00DF391E"/>
    <w:rsid w:val="00DF3D2F"/>
    <w:rsid w:val="00DF3DB2"/>
    <w:rsid w:val="00DF40E7"/>
    <w:rsid w:val="00DF42A1"/>
    <w:rsid w:val="00DF4AC3"/>
    <w:rsid w:val="00DF4FFB"/>
    <w:rsid w:val="00DF5718"/>
    <w:rsid w:val="00DF57F6"/>
    <w:rsid w:val="00DF5B71"/>
    <w:rsid w:val="00DF5BCD"/>
    <w:rsid w:val="00DF5CF3"/>
    <w:rsid w:val="00DF68CF"/>
    <w:rsid w:val="00DF6D21"/>
    <w:rsid w:val="00DF71F4"/>
    <w:rsid w:val="00DF75AA"/>
    <w:rsid w:val="00DF7A37"/>
    <w:rsid w:val="00DF866E"/>
    <w:rsid w:val="00DFAE86"/>
    <w:rsid w:val="00E0017E"/>
    <w:rsid w:val="00E00313"/>
    <w:rsid w:val="00E01434"/>
    <w:rsid w:val="00E017C6"/>
    <w:rsid w:val="00E0181C"/>
    <w:rsid w:val="00E019D8"/>
    <w:rsid w:val="00E019DE"/>
    <w:rsid w:val="00E01AED"/>
    <w:rsid w:val="00E01B25"/>
    <w:rsid w:val="00E01EB8"/>
    <w:rsid w:val="00E01F19"/>
    <w:rsid w:val="00E02186"/>
    <w:rsid w:val="00E02542"/>
    <w:rsid w:val="00E02BE4"/>
    <w:rsid w:val="00E02C24"/>
    <w:rsid w:val="00E02ED6"/>
    <w:rsid w:val="00E0302C"/>
    <w:rsid w:val="00E0358B"/>
    <w:rsid w:val="00E03601"/>
    <w:rsid w:val="00E0372D"/>
    <w:rsid w:val="00E037CB"/>
    <w:rsid w:val="00E0382F"/>
    <w:rsid w:val="00E03C0E"/>
    <w:rsid w:val="00E03C75"/>
    <w:rsid w:val="00E03DDC"/>
    <w:rsid w:val="00E03FDF"/>
    <w:rsid w:val="00E04766"/>
    <w:rsid w:val="00E049B4"/>
    <w:rsid w:val="00E04A78"/>
    <w:rsid w:val="00E04C4F"/>
    <w:rsid w:val="00E0514B"/>
    <w:rsid w:val="00E051FE"/>
    <w:rsid w:val="00E056D9"/>
    <w:rsid w:val="00E05897"/>
    <w:rsid w:val="00E058EA"/>
    <w:rsid w:val="00E05A3F"/>
    <w:rsid w:val="00E05FB1"/>
    <w:rsid w:val="00E06036"/>
    <w:rsid w:val="00E06DAD"/>
    <w:rsid w:val="00E07544"/>
    <w:rsid w:val="00E07DD4"/>
    <w:rsid w:val="00E1013E"/>
    <w:rsid w:val="00E10143"/>
    <w:rsid w:val="00E1016C"/>
    <w:rsid w:val="00E103B0"/>
    <w:rsid w:val="00E10846"/>
    <w:rsid w:val="00E1104D"/>
    <w:rsid w:val="00E1107B"/>
    <w:rsid w:val="00E1118C"/>
    <w:rsid w:val="00E112B6"/>
    <w:rsid w:val="00E11418"/>
    <w:rsid w:val="00E1153D"/>
    <w:rsid w:val="00E119FB"/>
    <w:rsid w:val="00E121AE"/>
    <w:rsid w:val="00E12219"/>
    <w:rsid w:val="00E12587"/>
    <w:rsid w:val="00E12F3D"/>
    <w:rsid w:val="00E12F93"/>
    <w:rsid w:val="00E13575"/>
    <w:rsid w:val="00E13CD8"/>
    <w:rsid w:val="00E1423B"/>
    <w:rsid w:val="00E14530"/>
    <w:rsid w:val="00E147DD"/>
    <w:rsid w:val="00E14886"/>
    <w:rsid w:val="00E14955"/>
    <w:rsid w:val="00E14A2B"/>
    <w:rsid w:val="00E14A75"/>
    <w:rsid w:val="00E14AAD"/>
    <w:rsid w:val="00E15239"/>
    <w:rsid w:val="00E153D1"/>
    <w:rsid w:val="00E15564"/>
    <w:rsid w:val="00E1595A"/>
    <w:rsid w:val="00E16078"/>
    <w:rsid w:val="00E163AA"/>
    <w:rsid w:val="00E164D0"/>
    <w:rsid w:val="00E16D1C"/>
    <w:rsid w:val="00E16D5B"/>
    <w:rsid w:val="00E16EF3"/>
    <w:rsid w:val="00E172C6"/>
    <w:rsid w:val="00E176A6"/>
    <w:rsid w:val="00E177B3"/>
    <w:rsid w:val="00E17CED"/>
    <w:rsid w:val="00E17F09"/>
    <w:rsid w:val="00E20043"/>
    <w:rsid w:val="00E2066D"/>
    <w:rsid w:val="00E20B08"/>
    <w:rsid w:val="00E20B7B"/>
    <w:rsid w:val="00E20C54"/>
    <w:rsid w:val="00E20CEC"/>
    <w:rsid w:val="00E20EB9"/>
    <w:rsid w:val="00E211A5"/>
    <w:rsid w:val="00E21724"/>
    <w:rsid w:val="00E21958"/>
    <w:rsid w:val="00E21D27"/>
    <w:rsid w:val="00E21DB9"/>
    <w:rsid w:val="00E21E3A"/>
    <w:rsid w:val="00E22538"/>
    <w:rsid w:val="00E2261F"/>
    <w:rsid w:val="00E228F3"/>
    <w:rsid w:val="00E230F9"/>
    <w:rsid w:val="00E2361D"/>
    <w:rsid w:val="00E23B4E"/>
    <w:rsid w:val="00E23C78"/>
    <w:rsid w:val="00E23E04"/>
    <w:rsid w:val="00E243BA"/>
    <w:rsid w:val="00E24765"/>
    <w:rsid w:val="00E24B67"/>
    <w:rsid w:val="00E24B8E"/>
    <w:rsid w:val="00E24BBC"/>
    <w:rsid w:val="00E24BCD"/>
    <w:rsid w:val="00E250DA"/>
    <w:rsid w:val="00E25378"/>
    <w:rsid w:val="00E25515"/>
    <w:rsid w:val="00E2569F"/>
    <w:rsid w:val="00E260B4"/>
    <w:rsid w:val="00E261AC"/>
    <w:rsid w:val="00E261F6"/>
    <w:rsid w:val="00E264A0"/>
    <w:rsid w:val="00E2655A"/>
    <w:rsid w:val="00E26E2E"/>
    <w:rsid w:val="00E26EE6"/>
    <w:rsid w:val="00E27100"/>
    <w:rsid w:val="00E2710C"/>
    <w:rsid w:val="00E2714B"/>
    <w:rsid w:val="00E27207"/>
    <w:rsid w:val="00E27273"/>
    <w:rsid w:val="00E27494"/>
    <w:rsid w:val="00E27AA7"/>
    <w:rsid w:val="00E27AC1"/>
    <w:rsid w:val="00E27F88"/>
    <w:rsid w:val="00E3002D"/>
    <w:rsid w:val="00E301B7"/>
    <w:rsid w:val="00E304B4"/>
    <w:rsid w:val="00E308F0"/>
    <w:rsid w:val="00E30B9F"/>
    <w:rsid w:val="00E30C14"/>
    <w:rsid w:val="00E3124D"/>
    <w:rsid w:val="00E314A8"/>
    <w:rsid w:val="00E31587"/>
    <w:rsid w:val="00E31832"/>
    <w:rsid w:val="00E31AFA"/>
    <w:rsid w:val="00E31DD6"/>
    <w:rsid w:val="00E31E80"/>
    <w:rsid w:val="00E322D5"/>
    <w:rsid w:val="00E3251C"/>
    <w:rsid w:val="00E32B63"/>
    <w:rsid w:val="00E32C81"/>
    <w:rsid w:val="00E32D9C"/>
    <w:rsid w:val="00E32E41"/>
    <w:rsid w:val="00E3346D"/>
    <w:rsid w:val="00E33530"/>
    <w:rsid w:val="00E33685"/>
    <w:rsid w:val="00E3370E"/>
    <w:rsid w:val="00E339CB"/>
    <w:rsid w:val="00E33AFE"/>
    <w:rsid w:val="00E33FE5"/>
    <w:rsid w:val="00E34950"/>
    <w:rsid w:val="00E34A2A"/>
    <w:rsid w:val="00E34AA0"/>
    <w:rsid w:val="00E34C48"/>
    <w:rsid w:val="00E34F2D"/>
    <w:rsid w:val="00E35535"/>
    <w:rsid w:val="00E35738"/>
    <w:rsid w:val="00E35AF0"/>
    <w:rsid w:val="00E35EDC"/>
    <w:rsid w:val="00E35F3C"/>
    <w:rsid w:val="00E35FDF"/>
    <w:rsid w:val="00E362B3"/>
    <w:rsid w:val="00E36685"/>
    <w:rsid w:val="00E36839"/>
    <w:rsid w:val="00E368E5"/>
    <w:rsid w:val="00E36EEA"/>
    <w:rsid w:val="00E372CE"/>
    <w:rsid w:val="00E374EA"/>
    <w:rsid w:val="00E37509"/>
    <w:rsid w:val="00E376B4"/>
    <w:rsid w:val="00E3772C"/>
    <w:rsid w:val="00E37BE9"/>
    <w:rsid w:val="00E37D69"/>
    <w:rsid w:val="00E37EBF"/>
    <w:rsid w:val="00E37EE7"/>
    <w:rsid w:val="00E37EF4"/>
    <w:rsid w:val="00E400BF"/>
    <w:rsid w:val="00E40348"/>
    <w:rsid w:val="00E404D1"/>
    <w:rsid w:val="00E405D0"/>
    <w:rsid w:val="00E406C1"/>
    <w:rsid w:val="00E407E8"/>
    <w:rsid w:val="00E408E4"/>
    <w:rsid w:val="00E4091C"/>
    <w:rsid w:val="00E40A95"/>
    <w:rsid w:val="00E41829"/>
    <w:rsid w:val="00E41853"/>
    <w:rsid w:val="00E41A21"/>
    <w:rsid w:val="00E41B55"/>
    <w:rsid w:val="00E422E3"/>
    <w:rsid w:val="00E428BB"/>
    <w:rsid w:val="00E42AEB"/>
    <w:rsid w:val="00E42BE9"/>
    <w:rsid w:val="00E43114"/>
    <w:rsid w:val="00E432BA"/>
    <w:rsid w:val="00E435FC"/>
    <w:rsid w:val="00E43668"/>
    <w:rsid w:val="00E43688"/>
    <w:rsid w:val="00E43A4B"/>
    <w:rsid w:val="00E43DF6"/>
    <w:rsid w:val="00E43E2F"/>
    <w:rsid w:val="00E440AA"/>
    <w:rsid w:val="00E44330"/>
    <w:rsid w:val="00E44934"/>
    <w:rsid w:val="00E44C29"/>
    <w:rsid w:val="00E44C73"/>
    <w:rsid w:val="00E44C96"/>
    <w:rsid w:val="00E44C9C"/>
    <w:rsid w:val="00E44E8A"/>
    <w:rsid w:val="00E44EBE"/>
    <w:rsid w:val="00E45105"/>
    <w:rsid w:val="00E45317"/>
    <w:rsid w:val="00E454B4"/>
    <w:rsid w:val="00E45616"/>
    <w:rsid w:val="00E456C6"/>
    <w:rsid w:val="00E456D9"/>
    <w:rsid w:val="00E45B96"/>
    <w:rsid w:val="00E45F33"/>
    <w:rsid w:val="00E463E0"/>
    <w:rsid w:val="00E46ADB"/>
    <w:rsid w:val="00E46B3F"/>
    <w:rsid w:val="00E46DE9"/>
    <w:rsid w:val="00E47526"/>
    <w:rsid w:val="00E479D9"/>
    <w:rsid w:val="00E479F4"/>
    <w:rsid w:val="00E47AAA"/>
    <w:rsid w:val="00E47B5C"/>
    <w:rsid w:val="00E5017A"/>
    <w:rsid w:val="00E5090C"/>
    <w:rsid w:val="00E50C00"/>
    <w:rsid w:val="00E50C72"/>
    <w:rsid w:val="00E50E66"/>
    <w:rsid w:val="00E516A6"/>
    <w:rsid w:val="00E51E08"/>
    <w:rsid w:val="00E5270D"/>
    <w:rsid w:val="00E52720"/>
    <w:rsid w:val="00E5289B"/>
    <w:rsid w:val="00E52A1D"/>
    <w:rsid w:val="00E531CE"/>
    <w:rsid w:val="00E5342F"/>
    <w:rsid w:val="00E535D3"/>
    <w:rsid w:val="00E535FA"/>
    <w:rsid w:val="00E53627"/>
    <w:rsid w:val="00E5477A"/>
    <w:rsid w:val="00E5490D"/>
    <w:rsid w:val="00E54A45"/>
    <w:rsid w:val="00E54ABC"/>
    <w:rsid w:val="00E54D72"/>
    <w:rsid w:val="00E54FCD"/>
    <w:rsid w:val="00E54FFC"/>
    <w:rsid w:val="00E55585"/>
    <w:rsid w:val="00E557CA"/>
    <w:rsid w:val="00E55843"/>
    <w:rsid w:val="00E55B3C"/>
    <w:rsid w:val="00E55DCA"/>
    <w:rsid w:val="00E55EDB"/>
    <w:rsid w:val="00E55FF0"/>
    <w:rsid w:val="00E56282"/>
    <w:rsid w:val="00E56319"/>
    <w:rsid w:val="00E563A2"/>
    <w:rsid w:val="00E563C6"/>
    <w:rsid w:val="00E56484"/>
    <w:rsid w:val="00E56A11"/>
    <w:rsid w:val="00E56BA7"/>
    <w:rsid w:val="00E56D83"/>
    <w:rsid w:val="00E56EE3"/>
    <w:rsid w:val="00E56FB9"/>
    <w:rsid w:val="00E56FD7"/>
    <w:rsid w:val="00E57502"/>
    <w:rsid w:val="00E5771D"/>
    <w:rsid w:val="00E57DBA"/>
    <w:rsid w:val="00E60187"/>
    <w:rsid w:val="00E605A4"/>
    <w:rsid w:val="00E60925"/>
    <w:rsid w:val="00E60CC4"/>
    <w:rsid w:val="00E60D67"/>
    <w:rsid w:val="00E60E88"/>
    <w:rsid w:val="00E60FB8"/>
    <w:rsid w:val="00E610C0"/>
    <w:rsid w:val="00E61441"/>
    <w:rsid w:val="00E614C3"/>
    <w:rsid w:val="00E61CCD"/>
    <w:rsid w:val="00E61E57"/>
    <w:rsid w:val="00E61FBD"/>
    <w:rsid w:val="00E62006"/>
    <w:rsid w:val="00E62169"/>
    <w:rsid w:val="00E62616"/>
    <w:rsid w:val="00E628FC"/>
    <w:rsid w:val="00E630B8"/>
    <w:rsid w:val="00E63209"/>
    <w:rsid w:val="00E63466"/>
    <w:rsid w:val="00E6385D"/>
    <w:rsid w:val="00E63890"/>
    <w:rsid w:val="00E63925"/>
    <w:rsid w:val="00E63FCD"/>
    <w:rsid w:val="00E63FF4"/>
    <w:rsid w:val="00E6413E"/>
    <w:rsid w:val="00E6463A"/>
    <w:rsid w:val="00E649FE"/>
    <w:rsid w:val="00E64F8A"/>
    <w:rsid w:val="00E652F1"/>
    <w:rsid w:val="00E6531F"/>
    <w:rsid w:val="00E6564F"/>
    <w:rsid w:val="00E65969"/>
    <w:rsid w:val="00E659F4"/>
    <w:rsid w:val="00E65C61"/>
    <w:rsid w:val="00E66583"/>
    <w:rsid w:val="00E66784"/>
    <w:rsid w:val="00E667EE"/>
    <w:rsid w:val="00E6688D"/>
    <w:rsid w:val="00E66CB6"/>
    <w:rsid w:val="00E671B2"/>
    <w:rsid w:val="00E6720E"/>
    <w:rsid w:val="00E67750"/>
    <w:rsid w:val="00E677E7"/>
    <w:rsid w:val="00E67A5F"/>
    <w:rsid w:val="00E67BC1"/>
    <w:rsid w:val="00E67FE8"/>
    <w:rsid w:val="00E70043"/>
    <w:rsid w:val="00E700D1"/>
    <w:rsid w:val="00E70454"/>
    <w:rsid w:val="00E7076F"/>
    <w:rsid w:val="00E70B2B"/>
    <w:rsid w:val="00E7101C"/>
    <w:rsid w:val="00E71094"/>
    <w:rsid w:val="00E71190"/>
    <w:rsid w:val="00E7153D"/>
    <w:rsid w:val="00E71ED4"/>
    <w:rsid w:val="00E71F8C"/>
    <w:rsid w:val="00E729C8"/>
    <w:rsid w:val="00E72DDA"/>
    <w:rsid w:val="00E72F62"/>
    <w:rsid w:val="00E73792"/>
    <w:rsid w:val="00E73D6A"/>
    <w:rsid w:val="00E73F33"/>
    <w:rsid w:val="00E73F34"/>
    <w:rsid w:val="00E73F54"/>
    <w:rsid w:val="00E741EA"/>
    <w:rsid w:val="00E74863"/>
    <w:rsid w:val="00E74B1E"/>
    <w:rsid w:val="00E750CA"/>
    <w:rsid w:val="00E7523E"/>
    <w:rsid w:val="00E7543F"/>
    <w:rsid w:val="00E754DD"/>
    <w:rsid w:val="00E756B8"/>
    <w:rsid w:val="00E759E5"/>
    <w:rsid w:val="00E75BA0"/>
    <w:rsid w:val="00E75CA7"/>
    <w:rsid w:val="00E7630A"/>
    <w:rsid w:val="00E763F4"/>
    <w:rsid w:val="00E76523"/>
    <w:rsid w:val="00E76A46"/>
    <w:rsid w:val="00E76B2E"/>
    <w:rsid w:val="00E76B5C"/>
    <w:rsid w:val="00E76C0D"/>
    <w:rsid w:val="00E77270"/>
    <w:rsid w:val="00E7732A"/>
    <w:rsid w:val="00E7745C"/>
    <w:rsid w:val="00E77522"/>
    <w:rsid w:val="00E77AF3"/>
    <w:rsid w:val="00E77C39"/>
    <w:rsid w:val="00E77C8D"/>
    <w:rsid w:val="00E80670"/>
    <w:rsid w:val="00E8120C"/>
    <w:rsid w:val="00E8122C"/>
    <w:rsid w:val="00E81D6D"/>
    <w:rsid w:val="00E81EE9"/>
    <w:rsid w:val="00E81EF9"/>
    <w:rsid w:val="00E82193"/>
    <w:rsid w:val="00E82350"/>
    <w:rsid w:val="00E82714"/>
    <w:rsid w:val="00E82B4C"/>
    <w:rsid w:val="00E82E1C"/>
    <w:rsid w:val="00E83200"/>
    <w:rsid w:val="00E83358"/>
    <w:rsid w:val="00E833B1"/>
    <w:rsid w:val="00E83521"/>
    <w:rsid w:val="00E836AF"/>
    <w:rsid w:val="00E83750"/>
    <w:rsid w:val="00E83974"/>
    <w:rsid w:val="00E840AE"/>
    <w:rsid w:val="00E840E3"/>
    <w:rsid w:val="00E84BC9"/>
    <w:rsid w:val="00E84BD0"/>
    <w:rsid w:val="00E8504F"/>
    <w:rsid w:val="00E85601"/>
    <w:rsid w:val="00E85687"/>
    <w:rsid w:val="00E8583A"/>
    <w:rsid w:val="00E85AB0"/>
    <w:rsid w:val="00E85EF4"/>
    <w:rsid w:val="00E863D8"/>
    <w:rsid w:val="00E86913"/>
    <w:rsid w:val="00E86E91"/>
    <w:rsid w:val="00E86E9C"/>
    <w:rsid w:val="00E86F64"/>
    <w:rsid w:val="00E86F82"/>
    <w:rsid w:val="00E87531"/>
    <w:rsid w:val="00E875CB"/>
    <w:rsid w:val="00E87A69"/>
    <w:rsid w:val="00E87A73"/>
    <w:rsid w:val="00E87F4B"/>
    <w:rsid w:val="00E9074F"/>
    <w:rsid w:val="00E90935"/>
    <w:rsid w:val="00E90B9F"/>
    <w:rsid w:val="00E90D4D"/>
    <w:rsid w:val="00E91A9C"/>
    <w:rsid w:val="00E91C7F"/>
    <w:rsid w:val="00E91E7E"/>
    <w:rsid w:val="00E920C9"/>
    <w:rsid w:val="00E926F6"/>
    <w:rsid w:val="00E92889"/>
    <w:rsid w:val="00E92CAA"/>
    <w:rsid w:val="00E92F32"/>
    <w:rsid w:val="00E9306B"/>
    <w:rsid w:val="00E93207"/>
    <w:rsid w:val="00E93524"/>
    <w:rsid w:val="00E935D6"/>
    <w:rsid w:val="00E93657"/>
    <w:rsid w:val="00E936E3"/>
    <w:rsid w:val="00E93B53"/>
    <w:rsid w:val="00E93CFF"/>
    <w:rsid w:val="00E94117"/>
    <w:rsid w:val="00E9451B"/>
    <w:rsid w:val="00E94566"/>
    <w:rsid w:val="00E94860"/>
    <w:rsid w:val="00E94975"/>
    <w:rsid w:val="00E94A1C"/>
    <w:rsid w:val="00E94C34"/>
    <w:rsid w:val="00E9537F"/>
    <w:rsid w:val="00E9596B"/>
    <w:rsid w:val="00E95AF7"/>
    <w:rsid w:val="00E95B4E"/>
    <w:rsid w:val="00E95E4E"/>
    <w:rsid w:val="00E95F35"/>
    <w:rsid w:val="00E96137"/>
    <w:rsid w:val="00E961D8"/>
    <w:rsid w:val="00E966DF"/>
    <w:rsid w:val="00E968FB"/>
    <w:rsid w:val="00E9711F"/>
    <w:rsid w:val="00E97172"/>
    <w:rsid w:val="00E97711"/>
    <w:rsid w:val="00E97875"/>
    <w:rsid w:val="00E97FB3"/>
    <w:rsid w:val="00EA083C"/>
    <w:rsid w:val="00EA1421"/>
    <w:rsid w:val="00EA1649"/>
    <w:rsid w:val="00EA178A"/>
    <w:rsid w:val="00EA19C9"/>
    <w:rsid w:val="00EA1A6E"/>
    <w:rsid w:val="00EA1AB2"/>
    <w:rsid w:val="00EA1C44"/>
    <w:rsid w:val="00EA1DF2"/>
    <w:rsid w:val="00EA21E4"/>
    <w:rsid w:val="00EA2A0B"/>
    <w:rsid w:val="00EA2BC6"/>
    <w:rsid w:val="00EA2EE2"/>
    <w:rsid w:val="00EA3870"/>
    <w:rsid w:val="00EA3943"/>
    <w:rsid w:val="00EA3B87"/>
    <w:rsid w:val="00EA4076"/>
    <w:rsid w:val="00EA4286"/>
    <w:rsid w:val="00EA43BC"/>
    <w:rsid w:val="00EA4E6A"/>
    <w:rsid w:val="00EA4ED1"/>
    <w:rsid w:val="00EA544A"/>
    <w:rsid w:val="00EA5849"/>
    <w:rsid w:val="00EA5B5B"/>
    <w:rsid w:val="00EA5EFE"/>
    <w:rsid w:val="00EA5F3F"/>
    <w:rsid w:val="00EA6240"/>
    <w:rsid w:val="00EA63A7"/>
    <w:rsid w:val="00EA63BF"/>
    <w:rsid w:val="00EA659F"/>
    <w:rsid w:val="00EA6885"/>
    <w:rsid w:val="00EA6D67"/>
    <w:rsid w:val="00EA6F18"/>
    <w:rsid w:val="00EA7072"/>
    <w:rsid w:val="00EA70FC"/>
    <w:rsid w:val="00EA7173"/>
    <w:rsid w:val="00EA74A7"/>
    <w:rsid w:val="00EA788E"/>
    <w:rsid w:val="00EA795D"/>
    <w:rsid w:val="00EA79B7"/>
    <w:rsid w:val="00EA7B1A"/>
    <w:rsid w:val="00EA7E1F"/>
    <w:rsid w:val="00EA7E3F"/>
    <w:rsid w:val="00EB0341"/>
    <w:rsid w:val="00EB049D"/>
    <w:rsid w:val="00EB08D7"/>
    <w:rsid w:val="00EB08EE"/>
    <w:rsid w:val="00EB0C84"/>
    <w:rsid w:val="00EB11CE"/>
    <w:rsid w:val="00EB14D0"/>
    <w:rsid w:val="00EB1A94"/>
    <w:rsid w:val="00EB1D54"/>
    <w:rsid w:val="00EB1E10"/>
    <w:rsid w:val="00EB222B"/>
    <w:rsid w:val="00EB2282"/>
    <w:rsid w:val="00EB22F3"/>
    <w:rsid w:val="00EB236F"/>
    <w:rsid w:val="00EB26E0"/>
    <w:rsid w:val="00EB2975"/>
    <w:rsid w:val="00EB2A27"/>
    <w:rsid w:val="00EB2B71"/>
    <w:rsid w:val="00EB2EF6"/>
    <w:rsid w:val="00EB3E93"/>
    <w:rsid w:val="00EB3F6E"/>
    <w:rsid w:val="00EB41AA"/>
    <w:rsid w:val="00EB4491"/>
    <w:rsid w:val="00EB4713"/>
    <w:rsid w:val="00EB4EFC"/>
    <w:rsid w:val="00EB5007"/>
    <w:rsid w:val="00EB5020"/>
    <w:rsid w:val="00EB50B1"/>
    <w:rsid w:val="00EB5271"/>
    <w:rsid w:val="00EB55E7"/>
    <w:rsid w:val="00EB5CA3"/>
    <w:rsid w:val="00EB61DD"/>
    <w:rsid w:val="00EB62B3"/>
    <w:rsid w:val="00EB671F"/>
    <w:rsid w:val="00EB6731"/>
    <w:rsid w:val="00EB682C"/>
    <w:rsid w:val="00EB6901"/>
    <w:rsid w:val="00EB6A24"/>
    <w:rsid w:val="00EB7547"/>
    <w:rsid w:val="00EB7684"/>
    <w:rsid w:val="00EB79BE"/>
    <w:rsid w:val="00EB7C2F"/>
    <w:rsid w:val="00EC0046"/>
    <w:rsid w:val="00EC008D"/>
    <w:rsid w:val="00EC0104"/>
    <w:rsid w:val="00EC027E"/>
    <w:rsid w:val="00EC07C7"/>
    <w:rsid w:val="00EC09AB"/>
    <w:rsid w:val="00EC0B9F"/>
    <w:rsid w:val="00EC0DD7"/>
    <w:rsid w:val="00EC12C6"/>
    <w:rsid w:val="00EC1ABE"/>
    <w:rsid w:val="00EC1DC5"/>
    <w:rsid w:val="00EC2011"/>
    <w:rsid w:val="00EC21EC"/>
    <w:rsid w:val="00EC2242"/>
    <w:rsid w:val="00EC22AB"/>
    <w:rsid w:val="00EC25CF"/>
    <w:rsid w:val="00EC2B23"/>
    <w:rsid w:val="00EC2B69"/>
    <w:rsid w:val="00EC2B6B"/>
    <w:rsid w:val="00EC307B"/>
    <w:rsid w:val="00EC32E9"/>
    <w:rsid w:val="00EC3BA1"/>
    <w:rsid w:val="00EC4087"/>
    <w:rsid w:val="00EC4095"/>
    <w:rsid w:val="00EC427C"/>
    <w:rsid w:val="00EC44E3"/>
    <w:rsid w:val="00EC48D1"/>
    <w:rsid w:val="00EC4A17"/>
    <w:rsid w:val="00EC4AA6"/>
    <w:rsid w:val="00EC4B76"/>
    <w:rsid w:val="00EC5363"/>
    <w:rsid w:val="00EC5470"/>
    <w:rsid w:val="00EC5689"/>
    <w:rsid w:val="00EC5710"/>
    <w:rsid w:val="00EC57F8"/>
    <w:rsid w:val="00EC5BCB"/>
    <w:rsid w:val="00EC5E09"/>
    <w:rsid w:val="00EC6084"/>
    <w:rsid w:val="00EC60F0"/>
    <w:rsid w:val="00EC62A7"/>
    <w:rsid w:val="00EC6E51"/>
    <w:rsid w:val="00EC70C3"/>
    <w:rsid w:val="00EC728F"/>
    <w:rsid w:val="00EC7293"/>
    <w:rsid w:val="00EC73FB"/>
    <w:rsid w:val="00EC744D"/>
    <w:rsid w:val="00EC76DD"/>
    <w:rsid w:val="00EC78CF"/>
    <w:rsid w:val="00EC7D11"/>
    <w:rsid w:val="00EC7D6B"/>
    <w:rsid w:val="00EC7D8B"/>
    <w:rsid w:val="00ED0098"/>
    <w:rsid w:val="00ED017D"/>
    <w:rsid w:val="00ED04F7"/>
    <w:rsid w:val="00ED0720"/>
    <w:rsid w:val="00ED0D92"/>
    <w:rsid w:val="00ED0E32"/>
    <w:rsid w:val="00ED0EDF"/>
    <w:rsid w:val="00ED10BE"/>
    <w:rsid w:val="00ED13C8"/>
    <w:rsid w:val="00ED1554"/>
    <w:rsid w:val="00ED1A2E"/>
    <w:rsid w:val="00ED1AB4"/>
    <w:rsid w:val="00ED1BE2"/>
    <w:rsid w:val="00ED1D3A"/>
    <w:rsid w:val="00ED256B"/>
    <w:rsid w:val="00ED2692"/>
    <w:rsid w:val="00ED2929"/>
    <w:rsid w:val="00ED2A0C"/>
    <w:rsid w:val="00ED2DA7"/>
    <w:rsid w:val="00ED327C"/>
    <w:rsid w:val="00ED3732"/>
    <w:rsid w:val="00ED39D0"/>
    <w:rsid w:val="00ED3A82"/>
    <w:rsid w:val="00ED3E1A"/>
    <w:rsid w:val="00ED3E99"/>
    <w:rsid w:val="00ED3EBC"/>
    <w:rsid w:val="00ED421D"/>
    <w:rsid w:val="00ED44D2"/>
    <w:rsid w:val="00ED4577"/>
    <w:rsid w:val="00ED497F"/>
    <w:rsid w:val="00ED4ED3"/>
    <w:rsid w:val="00ED4FEC"/>
    <w:rsid w:val="00ED51E0"/>
    <w:rsid w:val="00ED52B3"/>
    <w:rsid w:val="00ED5350"/>
    <w:rsid w:val="00ED542F"/>
    <w:rsid w:val="00ED5B0B"/>
    <w:rsid w:val="00ED5D2E"/>
    <w:rsid w:val="00ED60B8"/>
    <w:rsid w:val="00ED6164"/>
    <w:rsid w:val="00ED677F"/>
    <w:rsid w:val="00ED6CB8"/>
    <w:rsid w:val="00ED6FCA"/>
    <w:rsid w:val="00ED7108"/>
    <w:rsid w:val="00ED75A3"/>
    <w:rsid w:val="00ED75BE"/>
    <w:rsid w:val="00ED76B6"/>
    <w:rsid w:val="00ED7DD9"/>
    <w:rsid w:val="00ED7FCE"/>
    <w:rsid w:val="00EE0151"/>
    <w:rsid w:val="00EE033F"/>
    <w:rsid w:val="00EE0440"/>
    <w:rsid w:val="00EE04E0"/>
    <w:rsid w:val="00EE08E8"/>
    <w:rsid w:val="00EE0BEC"/>
    <w:rsid w:val="00EE0CFD"/>
    <w:rsid w:val="00EE0F3C"/>
    <w:rsid w:val="00EE1272"/>
    <w:rsid w:val="00EE15C0"/>
    <w:rsid w:val="00EE1C04"/>
    <w:rsid w:val="00EE1E1E"/>
    <w:rsid w:val="00EE1ECB"/>
    <w:rsid w:val="00EE1F83"/>
    <w:rsid w:val="00EE200E"/>
    <w:rsid w:val="00EE247F"/>
    <w:rsid w:val="00EE254A"/>
    <w:rsid w:val="00EE2806"/>
    <w:rsid w:val="00EE2D76"/>
    <w:rsid w:val="00EE33CD"/>
    <w:rsid w:val="00EE3542"/>
    <w:rsid w:val="00EE369E"/>
    <w:rsid w:val="00EE3CC7"/>
    <w:rsid w:val="00EE3ECC"/>
    <w:rsid w:val="00EE42DE"/>
    <w:rsid w:val="00EE4541"/>
    <w:rsid w:val="00EE48B0"/>
    <w:rsid w:val="00EE4A91"/>
    <w:rsid w:val="00EE4BA2"/>
    <w:rsid w:val="00EE4E19"/>
    <w:rsid w:val="00EE4E6A"/>
    <w:rsid w:val="00EE4EF7"/>
    <w:rsid w:val="00EE56D1"/>
    <w:rsid w:val="00EE5765"/>
    <w:rsid w:val="00EE584A"/>
    <w:rsid w:val="00EE58FF"/>
    <w:rsid w:val="00EE5D2D"/>
    <w:rsid w:val="00EE6196"/>
    <w:rsid w:val="00EE632A"/>
    <w:rsid w:val="00EE6401"/>
    <w:rsid w:val="00EE65FC"/>
    <w:rsid w:val="00EE77A2"/>
    <w:rsid w:val="00EE7A2F"/>
    <w:rsid w:val="00EE7A8A"/>
    <w:rsid w:val="00EE7E9A"/>
    <w:rsid w:val="00EF052B"/>
    <w:rsid w:val="00EF0610"/>
    <w:rsid w:val="00EF0803"/>
    <w:rsid w:val="00EF112E"/>
    <w:rsid w:val="00EF119F"/>
    <w:rsid w:val="00EF1D62"/>
    <w:rsid w:val="00EF20AE"/>
    <w:rsid w:val="00EF20D8"/>
    <w:rsid w:val="00EF225B"/>
    <w:rsid w:val="00EF22D7"/>
    <w:rsid w:val="00EF2A39"/>
    <w:rsid w:val="00EF2EDD"/>
    <w:rsid w:val="00EF31CF"/>
    <w:rsid w:val="00EF326A"/>
    <w:rsid w:val="00EF39C0"/>
    <w:rsid w:val="00EF3A5C"/>
    <w:rsid w:val="00EF3AEB"/>
    <w:rsid w:val="00EF3B76"/>
    <w:rsid w:val="00EF3EF8"/>
    <w:rsid w:val="00EF3FDD"/>
    <w:rsid w:val="00EF41D0"/>
    <w:rsid w:val="00EF41F5"/>
    <w:rsid w:val="00EF4310"/>
    <w:rsid w:val="00EF457C"/>
    <w:rsid w:val="00EF478C"/>
    <w:rsid w:val="00EF495D"/>
    <w:rsid w:val="00EF4C0F"/>
    <w:rsid w:val="00EF5230"/>
    <w:rsid w:val="00EF5557"/>
    <w:rsid w:val="00EF55DC"/>
    <w:rsid w:val="00EF5E49"/>
    <w:rsid w:val="00EF620A"/>
    <w:rsid w:val="00EF63BE"/>
    <w:rsid w:val="00EF65D1"/>
    <w:rsid w:val="00EF6BCB"/>
    <w:rsid w:val="00EF6F71"/>
    <w:rsid w:val="00EF7692"/>
    <w:rsid w:val="00EF771E"/>
    <w:rsid w:val="00EF77D4"/>
    <w:rsid w:val="00EF796A"/>
    <w:rsid w:val="00EF7D6C"/>
    <w:rsid w:val="00F004B6"/>
    <w:rsid w:val="00F0072D"/>
    <w:rsid w:val="00F00841"/>
    <w:rsid w:val="00F00B32"/>
    <w:rsid w:val="00F00B48"/>
    <w:rsid w:val="00F00BA9"/>
    <w:rsid w:val="00F00DD5"/>
    <w:rsid w:val="00F00EFB"/>
    <w:rsid w:val="00F01236"/>
    <w:rsid w:val="00F0126B"/>
    <w:rsid w:val="00F012A7"/>
    <w:rsid w:val="00F0141D"/>
    <w:rsid w:val="00F01499"/>
    <w:rsid w:val="00F017AC"/>
    <w:rsid w:val="00F01EE9"/>
    <w:rsid w:val="00F01F4A"/>
    <w:rsid w:val="00F022B0"/>
    <w:rsid w:val="00F023AC"/>
    <w:rsid w:val="00F02632"/>
    <w:rsid w:val="00F0273E"/>
    <w:rsid w:val="00F02972"/>
    <w:rsid w:val="00F029F6"/>
    <w:rsid w:val="00F02C10"/>
    <w:rsid w:val="00F02C9A"/>
    <w:rsid w:val="00F033E3"/>
    <w:rsid w:val="00F03678"/>
    <w:rsid w:val="00F03DBC"/>
    <w:rsid w:val="00F040FE"/>
    <w:rsid w:val="00F04380"/>
    <w:rsid w:val="00F04401"/>
    <w:rsid w:val="00F04B3C"/>
    <w:rsid w:val="00F04DE7"/>
    <w:rsid w:val="00F054AD"/>
    <w:rsid w:val="00F056B7"/>
    <w:rsid w:val="00F05A67"/>
    <w:rsid w:val="00F05EB1"/>
    <w:rsid w:val="00F0617C"/>
    <w:rsid w:val="00F063A3"/>
    <w:rsid w:val="00F06650"/>
    <w:rsid w:val="00F067A4"/>
    <w:rsid w:val="00F06869"/>
    <w:rsid w:val="00F06A9F"/>
    <w:rsid w:val="00F06B22"/>
    <w:rsid w:val="00F06F31"/>
    <w:rsid w:val="00F0726D"/>
    <w:rsid w:val="00F0755E"/>
    <w:rsid w:val="00F0786D"/>
    <w:rsid w:val="00F079E2"/>
    <w:rsid w:val="00F101EE"/>
    <w:rsid w:val="00F10682"/>
    <w:rsid w:val="00F1088E"/>
    <w:rsid w:val="00F10BF0"/>
    <w:rsid w:val="00F10FA8"/>
    <w:rsid w:val="00F11046"/>
    <w:rsid w:val="00F11083"/>
    <w:rsid w:val="00F111B6"/>
    <w:rsid w:val="00F111F7"/>
    <w:rsid w:val="00F123BD"/>
    <w:rsid w:val="00F125C5"/>
    <w:rsid w:val="00F12B95"/>
    <w:rsid w:val="00F12DCE"/>
    <w:rsid w:val="00F12FAD"/>
    <w:rsid w:val="00F13337"/>
    <w:rsid w:val="00F13857"/>
    <w:rsid w:val="00F138BC"/>
    <w:rsid w:val="00F13B57"/>
    <w:rsid w:val="00F13E32"/>
    <w:rsid w:val="00F141EC"/>
    <w:rsid w:val="00F142CB"/>
    <w:rsid w:val="00F142F8"/>
    <w:rsid w:val="00F144FE"/>
    <w:rsid w:val="00F14988"/>
    <w:rsid w:val="00F157B2"/>
    <w:rsid w:val="00F15D9E"/>
    <w:rsid w:val="00F16010"/>
    <w:rsid w:val="00F16840"/>
    <w:rsid w:val="00F16A17"/>
    <w:rsid w:val="00F17294"/>
    <w:rsid w:val="00F17314"/>
    <w:rsid w:val="00F176A6"/>
    <w:rsid w:val="00F17A58"/>
    <w:rsid w:val="00F17EE7"/>
    <w:rsid w:val="00F2004B"/>
    <w:rsid w:val="00F2017F"/>
    <w:rsid w:val="00F201C4"/>
    <w:rsid w:val="00F201F2"/>
    <w:rsid w:val="00F20587"/>
    <w:rsid w:val="00F20E96"/>
    <w:rsid w:val="00F2103E"/>
    <w:rsid w:val="00F2115A"/>
    <w:rsid w:val="00F2115E"/>
    <w:rsid w:val="00F21242"/>
    <w:rsid w:val="00F218F1"/>
    <w:rsid w:val="00F21C31"/>
    <w:rsid w:val="00F21C61"/>
    <w:rsid w:val="00F21F00"/>
    <w:rsid w:val="00F21F58"/>
    <w:rsid w:val="00F21FA4"/>
    <w:rsid w:val="00F21FC4"/>
    <w:rsid w:val="00F22432"/>
    <w:rsid w:val="00F2299C"/>
    <w:rsid w:val="00F22B85"/>
    <w:rsid w:val="00F22C33"/>
    <w:rsid w:val="00F231CD"/>
    <w:rsid w:val="00F232DA"/>
    <w:rsid w:val="00F23733"/>
    <w:rsid w:val="00F23C26"/>
    <w:rsid w:val="00F23E69"/>
    <w:rsid w:val="00F24648"/>
    <w:rsid w:val="00F248FE"/>
    <w:rsid w:val="00F24D09"/>
    <w:rsid w:val="00F24F6E"/>
    <w:rsid w:val="00F25173"/>
    <w:rsid w:val="00F2559E"/>
    <w:rsid w:val="00F256CB"/>
    <w:rsid w:val="00F25EEE"/>
    <w:rsid w:val="00F260C9"/>
    <w:rsid w:val="00F26205"/>
    <w:rsid w:val="00F263BA"/>
    <w:rsid w:val="00F266D2"/>
    <w:rsid w:val="00F269B0"/>
    <w:rsid w:val="00F272AC"/>
    <w:rsid w:val="00F272B2"/>
    <w:rsid w:val="00F2733E"/>
    <w:rsid w:val="00F27933"/>
    <w:rsid w:val="00F27C24"/>
    <w:rsid w:val="00F27DB5"/>
    <w:rsid w:val="00F27DE8"/>
    <w:rsid w:val="00F27E26"/>
    <w:rsid w:val="00F3027F"/>
    <w:rsid w:val="00F3040E"/>
    <w:rsid w:val="00F30773"/>
    <w:rsid w:val="00F30B11"/>
    <w:rsid w:val="00F30FE6"/>
    <w:rsid w:val="00F31418"/>
    <w:rsid w:val="00F31642"/>
    <w:rsid w:val="00F31827"/>
    <w:rsid w:val="00F31A48"/>
    <w:rsid w:val="00F31BBE"/>
    <w:rsid w:val="00F31DAA"/>
    <w:rsid w:val="00F31F3E"/>
    <w:rsid w:val="00F32274"/>
    <w:rsid w:val="00F32704"/>
    <w:rsid w:val="00F32955"/>
    <w:rsid w:val="00F32C25"/>
    <w:rsid w:val="00F32DEE"/>
    <w:rsid w:val="00F32FDD"/>
    <w:rsid w:val="00F334B6"/>
    <w:rsid w:val="00F3356F"/>
    <w:rsid w:val="00F33591"/>
    <w:rsid w:val="00F3363E"/>
    <w:rsid w:val="00F338CB"/>
    <w:rsid w:val="00F3400B"/>
    <w:rsid w:val="00F344ED"/>
    <w:rsid w:val="00F34519"/>
    <w:rsid w:val="00F3499D"/>
    <w:rsid w:val="00F34ABD"/>
    <w:rsid w:val="00F34B3C"/>
    <w:rsid w:val="00F35094"/>
    <w:rsid w:val="00F35193"/>
    <w:rsid w:val="00F3537D"/>
    <w:rsid w:val="00F353CD"/>
    <w:rsid w:val="00F35476"/>
    <w:rsid w:val="00F357EC"/>
    <w:rsid w:val="00F35998"/>
    <w:rsid w:val="00F3613B"/>
    <w:rsid w:val="00F362DE"/>
    <w:rsid w:val="00F36950"/>
    <w:rsid w:val="00F37166"/>
    <w:rsid w:val="00F371FA"/>
    <w:rsid w:val="00F3722A"/>
    <w:rsid w:val="00F37386"/>
    <w:rsid w:val="00F3752D"/>
    <w:rsid w:val="00F375AE"/>
    <w:rsid w:val="00F379B9"/>
    <w:rsid w:val="00F37ADD"/>
    <w:rsid w:val="00F37CF0"/>
    <w:rsid w:val="00F37F45"/>
    <w:rsid w:val="00F4000C"/>
    <w:rsid w:val="00F401B5"/>
    <w:rsid w:val="00F40514"/>
    <w:rsid w:val="00F40AAD"/>
    <w:rsid w:val="00F40E68"/>
    <w:rsid w:val="00F40F45"/>
    <w:rsid w:val="00F4116A"/>
    <w:rsid w:val="00F418D0"/>
    <w:rsid w:val="00F41A2D"/>
    <w:rsid w:val="00F42983"/>
    <w:rsid w:val="00F42B57"/>
    <w:rsid w:val="00F42E85"/>
    <w:rsid w:val="00F431C3"/>
    <w:rsid w:val="00F432DF"/>
    <w:rsid w:val="00F434A3"/>
    <w:rsid w:val="00F43855"/>
    <w:rsid w:val="00F448C9"/>
    <w:rsid w:val="00F44C19"/>
    <w:rsid w:val="00F44F26"/>
    <w:rsid w:val="00F451C8"/>
    <w:rsid w:val="00F453FD"/>
    <w:rsid w:val="00F455C2"/>
    <w:rsid w:val="00F457C3"/>
    <w:rsid w:val="00F459EC"/>
    <w:rsid w:val="00F45C7C"/>
    <w:rsid w:val="00F46289"/>
    <w:rsid w:val="00F46480"/>
    <w:rsid w:val="00F4654B"/>
    <w:rsid w:val="00F467B2"/>
    <w:rsid w:val="00F4699B"/>
    <w:rsid w:val="00F46B0B"/>
    <w:rsid w:val="00F46D8B"/>
    <w:rsid w:val="00F4779D"/>
    <w:rsid w:val="00F47B27"/>
    <w:rsid w:val="00F47C3E"/>
    <w:rsid w:val="00F47CAA"/>
    <w:rsid w:val="00F47FFC"/>
    <w:rsid w:val="00F50038"/>
    <w:rsid w:val="00F506CF"/>
    <w:rsid w:val="00F50706"/>
    <w:rsid w:val="00F50855"/>
    <w:rsid w:val="00F509AE"/>
    <w:rsid w:val="00F50BBC"/>
    <w:rsid w:val="00F50D38"/>
    <w:rsid w:val="00F50DD8"/>
    <w:rsid w:val="00F50ED3"/>
    <w:rsid w:val="00F5138F"/>
    <w:rsid w:val="00F51A9A"/>
    <w:rsid w:val="00F51BEF"/>
    <w:rsid w:val="00F52769"/>
    <w:rsid w:val="00F52792"/>
    <w:rsid w:val="00F52949"/>
    <w:rsid w:val="00F53353"/>
    <w:rsid w:val="00F5384A"/>
    <w:rsid w:val="00F5385D"/>
    <w:rsid w:val="00F53AEC"/>
    <w:rsid w:val="00F53B77"/>
    <w:rsid w:val="00F53DE5"/>
    <w:rsid w:val="00F54246"/>
    <w:rsid w:val="00F5444A"/>
    <w:rsid w:val="00F548ED"/>
    <w:rsid w:val="00F54C7E"/>
    <w:rsid w:val="00F54F3E"/>
    <w:rsid w:val="00F55401"/>
    <w:rsid w:val="00F55458"/>
    <w:rsid w:val="00F55519"/>
    <w:rsid w:val="00F55E23"/>
    <w:rsid w:val="00F561F3"/>
    <w:rsid w:val="00F56246"/>
    <w:rsid w:val="00F56319"/>
    <w:rsid w:val="00F56426"/>
    <w:rsid w:val="00F567E0"/>
    <w:rsid w:val="00F56DAB"/>
    <w:rsid w:val="00F56E5F"/>
    <w:rsid w:val="00F573A4"/>
    <w:rsid w:val="00F575D3"/>
    <w:rsid w:val="00F57891"/>
    <w:rsid w:val="00F57BA9"/>
    <w:rsid w:val="00F57C78"/>
    <w:rsid w:val="00F57CB8"/>
    <w:rsid w:val="00F60877"/>
    <w:rsid w:val="00F60AAE"/>
    <w:rsid w:val="00F61095"/>
    <w:rsid w:val="00F610D7"/>
    <w:rsid w:val="00F62694"/>
    <w:rsid w:val="00F62989"/>
    <w:rsid w:val="00F629D2"/>
    <w:rsid w:val="00F63209"/>
    <w:rsid w:val="00F63487"/>
    <w:rsid w:val="00F63831"/>
    <w:rsid w:val="00F6395B"/>
    <w:rsid w:val="00F63AD6"/>
    <w:rsid w:val="00F63C79"/>
    <w:rsid w:val="00F63DB5"/>
    <w:rsid w:val="00F63E3D"/>
    <w:rsid w:val="00F64019"/>
    <w:rsid w:val="00F641B8"/>
    <w:rsid w:val="00F641FA"/>
    <w:rsid w:val="00F645E3"/>
    <w:rsid w:val="00F64978"/>
    <w:rsid w:val="00F6508B"/>
    <w:rsid w:val="00F6550E"/>
    <w:rsid w:val="00F65747"/>
    <w:rsid w:val="00F657D8"/>
    <w:rsid w:val="00F65988"/>
    <w:rsid w:val="00F65AB7"/>
    <w:rsid w:val="00F65FE9"/>
    <w:rsid w:val="00F66254"/>
    <w:rsid w:val="00F6662B"/>
    <w:rsid w:val="00F66F74"/>
    <w:rsid w:val="00F67661"/>
    <w:rsid w:val="00F6795E"/>
    <w:rsid w:val="00F67A18"/>
    <w:rsid w:val="00F67CCC"/>
    <w:rsid w:val="00F67DD9"/>
    <w:rsid w:val="00F67F0A"/>
    <w:rsid w:val="00F67FBC"/>
    <w:rsid w:val="00F7008E"/>
    <w:rsid w:val="00F7009B"/>
    <w:rsid w:val="00F709D3"/>
    <w:rsid w:val="00F70C0E"/>
    <w:rsid w:val="00F71075"/>
    <w:rsid w:val="00F710BF"/>
    <w:rsid w:val="00F7137F"/>
    <w:rsid w:val="00F71792"/>
    <w:rsid w:val="00F72102"/>
    <w:rsid w:val="00F724E2"/>
    <w:rsid w:val="00F729EA"/>
    <w:rsid w:val="00F72B97"/>
    <w:rsid w:val="00F72BC1"/>
    <w:rsid w:val="00F72F09"/>
    <w:rsid w:val="00F72F19"/>
    <w:rsid w:val="00F731E3"/>
    <w:rsid w:val="00F73835"/>
    <w:rsid w:val="00F73AF9"/>
    <w:rsid w:val="00F73F50"/>
    <w:rsid w:val="00F74278"/>
    <w:rsid w:val="00F742F9"/>
    <w:rsid w:val="00F74303"/>
    <w:rsid w:val="00F74471"/>
    <w:rsid w:val="00F74E0C"/>
    <w:rsid w:val="00F75026"/>
    <w:rsid w:val="00F751F0"/>
    <w:rsid w:val="00F75B20"/>
    <w:rsid w:val="00F75D6F"/>
    <w:rsid w:val="00F7603A"/>
    <w:rsid w:val="00F761DE"/>
    <w:rsid w:val="00F766A7"/>
    <w:rsid w:val="00F769AB"/>
    <w:rsid w:val="00F76A4A"/>
    <w:rsid w:val="00F76E0A"/>
    <w:rsid w:val="00F76FDD"/>
    <w:rsid w:val="00F7707A"/>
    <w:rsid w:val="00F771F5"/>
    <w:rsid w:val="00F773B0"/>
    <w:rsid w:val="00F7764C"/>
    <w:rsid w:val="00F776F3"/>
    <w:rsid w:val="00F7791F"/>
    <w:rsid w:val="00F77A4E"/>
    <w:rsid w:val="00F77B36"/>
    <w:rsid w:val="00F77D0A"/>
    <w:rsid w:val="00F80295"/>
    <w:rsid w:val="00F804AD"/>
    <w:rsid w:val="00F80653"/>
    <w:rsid w:val="00F807F4"/>
    <w:rsid w:val="00F80A0A"/>
    <w:rsid w:val="00F80A1F"/>
    <w:rsid w:val="00F80EFE"/>
    <w:rsid w:val="00F80F42"/>
    <w:rsid w:val="00F81388"/>
    <w:rsid w:val="00F81963"/>
    <w:rsid w:val="00F819EA"/>
    <w:rsid w:val="00F81B2A"/>
    <w:rsid w:val="00F81DF5"/>
    <w:rsid w:val="00F81EA4"/>
    <w:rsid w:val="00F81EA9"/>
    <w:rsid w:val="00F81F9F"/>
    <w:rsid w:val="00F824CB"/>
    <w:rsid w:val="00F825B8"/>
    <w:rsid w:val="00F825C7"/>
    <w:rsid w:val="00F82744"/>
    <w:rsid w:val="00F828C2"/>
    <w:rsid w:val="00F829C2"/>
    <w:rsid w:val="00F82B59"/>
    <w:rsid w:val="00F82F11"/>
    <w:rsid w:val="00F83209"/>
    <w:rsid w:val="00F833DE"/>
    <w:rsid w:val="00F83D9C"/>
    <w:rsid w:val="00F83E62"/>
    <w:rsid w:val="00F842EA"/>
    <w:rsid w:val="00F848DA"/>
    <w:rsid w:val="00F849CA"/>
    <w:rsid w:val="00F8507F"/>
    <w:rsid w:val="00F8512F"/>
    <w:rsid w:val="00F852A6"/>
    <w:rsid w:val="00F85430"/>
    <w:rsid w:val="00F85828"/>
    <w:rsid w:val="00F859A6"/>
    <w:rsid w:val="00F85AA8"/>
    <w:rsid w:val="00F85AAF"/>
    <w:rsid w:val="00F85C53"/>
    <w:rsid w:val="00F8601C"/>
    <w:rsid w:val="00F86033"/>
    <w:rsid w:val="00F864B6"/>
    <w:rsid w:val="00F867CD"/>
    <w:rsid w:val="00F86820"/>
    <w:rsid w:val="00F8684C"/>
    <w:rsid w:val="00F8694F"/>
    <w:rsid w:val="00F870A4"/>
    <w:rsid w:val="00F87224"/>
    <w:rsid w:val="00F873E0"/>
    <w:rsid w:val="00F875D7"/>
    <w:rsid w:val="00F875D9"/>
    <w:rsid w:val="00F87689"/>
    <w:rsid w:val="00F87C83"/>
    <w:rsid w:val="00F87F3B"/>
    <w:rsid w:val="00F902C1"/>
    <w:rsid w:val="00F90544"/>
    <w:rsid w:val="00F9057C"/>
    <w:rsid w:val="00F9058E"/>
    <w:rsid w:val="00F90764"/>
    <w:rsid w:val="00F90A4E"/>
    <w:rsid w:val="00F90DF4"/>
    <w:rsid w:val="00F90E64"/>
    <w:rsid w:val="00F915A8"/>
    <w:rsid w:val="00F91DFA"/>
    <w:rsid w:val="00F91F3C"/>
    <w:rsid w:val="00F92185"/>
    <w:rsid w:val="00F92385"/>
    <w:rsid w:val="00F9254F"/>
    <w:rsid w:val="00F9273E"/>
    <w:rsid w:val="00F92E5A"/>
    <w:rsid w:val="00F92F6B"/>
    <w:rsid w:val="00F931BF"/>
    <w:rsid w:val="00F93A29"/>
    <w:rsid w:val="00F93B36"/>
    <w:rsid w:val="00F9421B"/>
    <w:rsid w:val="00F9480D"/>
    <w:rsid w:val="00F9484D"/>
    <w:rsid w:val="00F94C00"/>
    <w:rsid w:val="00F94FF9"/>
    <w:rsid w:val="00F95068"/>
    <w:rsid w:val="00F95AB7"/>
    <w:rsid w:val="00F95B5F"/>
    <w:rsid w:val="00F95D36"/>
    <w:rsid w:val="00F96131"/>
    <w:rsid w:val="00F9630D"/>
    <w:rsid w:val="00F96549"/>
    <w:rsid w:val="00F9665B"/>
    <w:rsid w:val="00F96BB3"/>
    <w:rsid w:val="00F976E1"/>
    <w:rsid w:val="00F977AE"/>
    <w:rsid w:val="00F9785A"/>
    <w:rsid w:val="00F9791A"/>
    <w:rsid w:val="00FA0263"/>
    <w:rsid w:val="00FA02D8"/>
    <w:rsid w:val="00FA045A"/>
    <w:rsid w:val="00FA09A8"/>
    <w:rsid w:val="00FA0BE2"/>
    <w:rsid w:val="00FA1375"/>
    <w:rsid w:val="00FA1638"/>
    <w:rsid w:val="00FA1725"/>
    <w:rsid w:val="00FA1C9F"/>
    <w:rsid w:val="00FA1E51"/>
    <w:rsid w:val="00FA1EE2"/>
    <w:rsid w:val="00FA20E8"/>
    <w:rsid w:val="00FA2127"/>
    <w:rsid w:val="00FA2258"/>
    <w:rsid w:val="00FA2300"/>
    <w:rsid w:val="00FA2355"/>
    <w:rsid w:val="00FA280B"/>
    <w:rsid w:val="00FA2933"/>
    <w:rsid w:val="00FA2D64"/>
    <w:rsid w:val="00FA2E46"/>
    <w:rsid w:val="00FA309C"/>
    <w:rsid w:val="00FA30D9"/>
    <w:rsid w:val="00FA374F"/>
    <w:rsid w:val="00FA3780"/>
    <w:rsid w:val="00FA3903"/>
    <w:rsid w:val="00FA3AEF"/>
    <w:rsid w:val="00FA3C33"/>
    <w:rsid w:val="00FA3F05"/>
    <w:rsid w:val="00FA41C4"/>
    <w:rsid w:val="00FA44DF"/>
    <w:rsid w:val="00FA45B8"/>
    <w:rsid w:val="00FA4908"/>
    <w:rsid w:val="00FA4994"/>
    <w:rsid w:val="00FA4FB3"/>
    <w:rsid w:val="00FA516F"/>
    <w:rsid w:val="00FA5217"/>
    <w:rsid w:val="00FA5264"/>
    <w:rsid w:val="00FA54B0"/>
    <w:rsid w:val="00FA5608"/>
    <w:rsid w:val="00FA5A88"/>
    <w:rsid w:val="00FA5AE8"/>
    <w:rsid w:val="00FA6140"/>
    <w:rsid w:val="00FA62FF"/>
    <w:rsid w:val="00FA630E"/>
    <w:rsid w:val="00FA676E"/>
    <w:rsid w:val="00FA6A7F"/>
    <w:rsid w:val="00FA7B6B"/>
    <w:rsid w:val="00FA7F85"/>
    <w:rsid w:val="00FB01B9"/>
    <w:rsid w:val="00FB027E"/>
    <w:rsid w:val="00FB05EA"/>
    <w:rsid w:val="00FB0BE9"/>
    <w:rsid w:val="00FB0FC4"/>
    <w:rsid w:val="00FB12E6"/>
    <w:rsid w:val="00FB13CD"/>
    <w:rsid w:val="00FB13E4"/>
    <w:rsid w:val="00FB1651"/>
    <w:rsid w:val="00FB187D"/>
    <w:rsid w:val="00FB18F2"/>
    <w:rsid w:val="00FB1B14"/>
    <w:rsid w:val="00FB1F5D"/>
    <w:rsid w:val="00FB20D3"/>
    <w:rsid w:val="00FB23E3"/>
    <w:rsid w:val="00FB27AB"/>
    <w:rsid w:val="00FB2AA2"/>
    <w:rsid w:val="00FB2AE2"/>
    <w:rsid w:val="00FB2B5E"/>
    <w:rsid w:val="00FB2C44"/>
    <w:rsid w:val="00FB2E45"/>
    <w:rsid w:val="00FB2E4E"/>
    <w:rsid w:val="00FB305B"/>
    <w:rsid w:val="00FB3162"/>
    <w:rsid w:val="00FB367B"/>
    <w:rsid w:val="00FB3764"/>
    <w:rsid w:val="00FB3953"/>
    <w:rsid w:val="00FB3DBD"/>
    <w:rsid w:val="00FB41B1"/>
    <w:rsid w:val="00FB42FE"/>
    <w:rsid w:val="00FB4862"/>
    <w:rsid w:val="00FB4BA5"/>
    <w:rsid w:val="00FB4DB2"/>
    <w:rsid w:val="00FB4EBF"/>
    <w:rsid w:val="00FB543F"/>
    <w:rsid w:val="00FB54BD"/>
    <w:rsid w:val="00FB5878"/>
    <w:rsid w:val="00FB5ACC"/>
    <w:rsid w:val="00FB5B55"/>
    <w:rsid w:val="00FB5B97"/>
    <w:rsid w:val="00FB5F6E"/>
    <w:rsid w:val="00FB5FEA"/>
    <w:rsid w:val="00FB6A48"/>
    <w:rsid w:val="00FB6A8C"/>
    <w:rsid w:val="00FB6B3D"/>
    <w:rsid w:val="00FB701B"/>
    <w:rsid w:val="00FB73DA"/>
    <w:rsid w:val="00FB7559"/>
    <w:rsid w:val="00FB7AE3"/>
    <w:rsid w:val="00FB7DCA"/>
    <w:rsid w:val="00FB7ECE"/>
    <w:rsid w:val="00FC022F"/>
    <w:rsid w:val="00FC02B4"/>
    <w:rsid w:val="00FC049C"/>
    <w:rsid w:val="00FC06CE"/>
    <w:rsid w:val="00FC0910"/>
    <w:rsid w:val="00FC0E90"/>
    <w:rsid w:val="00FC0F9C"/>
    <w:rsid w:val="00FC142F"/>
    <w:rsid w:val="00FC165E"/>
    <w:rsid w:val="00FC19AA"/>
    <w:rsid w:val="00FC1CC5"/>
    <w:rsid w:val="00FC1F2D"/>
    <w:rsid w:val="00FC1FDA"/>
    <w:rsid w:val="00FC22D0"/>
    <w:rsid w:val="00FC23A3"/>
    <w:rsid w:val="00FC256F"/>
    <w:rsid w:val="00FC30A1"/>
    <w:rsid w:val="00FC313E"/>
    <w:rsid w:val="00FC3370"/>
    <w:rsid w:val="00FC33F9"/>
    <w:rsid w:val="00FC3687"/>
    <w:rsid w:val="00FC369E"/>
    <w:rsid w:val="00FC372B"/>
    <w:rsid w:val="00FC3AD9"/>
    <w:rsid w:val="00FC3BD4"/>
    <w:rsid w:val="00FC3C0B"/>
    <w:rsid w:val="00FC3D9C"/>
    <w:rsid w:val="00FC3DE6"/>
    <w:rsid w:val="00FC41C0"/>
    <w:rsid w:val="00FC4361"/>
    <w:rsid w:val="00FC4398"/>
    <w:rsid w:val="00FC43F4"/>
    <w:rsid w:val="00FC4892"/>
    <w:rsid w:val="00FC4D43"/>
    <w:rsid w:val="00FC502C"/>
    <w:rsid w:val="00FC527B"/>
    <w:rsid w:val="00FC54ED"/>
    <w:rsid w:val="00FC55F6"/>
    <w:rsid w:val="00FC5B49"/>
    <w:rsid w:val="00FC5F19"/>
    <w:rsid w:val="00FC5FBA"/>
    <w:rsid w:val="00FC62E0"/>
    <w:rsid w:val="00FC6B18"/>
    <w:rsid w:val="00FC6BA5"/>
    <w:rsid w:val="00FC7185"/>
    <w:rsid w:val="00FC72F3"/>
    <w:rsid w:val="00FC7763"/>
    <w:rsid w:val="00FC7ADB"/>
    <w:rsid w:val="00FC7BF0"/>
    <w:rsid w:val="00FC7C80"/>
    <w:rsid w:val="00FD02D3"/>
    <w:rsid w:val="00FD0725"/>
    <w:rsid w:val="00FD0D40"/>
    <w:rsid w:val="00FD148D"/>
    <w:rsid w:val="00FD16A1"/>
    <w:rsid w:val="00FD1739"/>
    <w:rsid w:val="00FD1A08"/>
    <w:rsid w:val="00FD1C3B"/>
    <w:rsid w:val="00FD1CD4"/>
    <w:rsid w:val="00FD1D52"/>
    <w:rsid w:val="00FD1DB2"/>
    <w:rsid w:val="00FD1FEF"/>
    <w:rsid w:val="00FD2446"/>
    <w:rsid w:val="00FD2600"/>
    <w:rsid w:val="00FD2B89"/>
    <w:rsid w:val="00FD2D0E"/>
    <w:rsid w:val="00FD301D"/>
    <w:rsid w:val="00FD3030"/>
    <w:rsid w:val="00FD34DB"/>
    <w:rsid w:val="00FD4219"/>
    <w:rsid w:val="00FD426E"/>
    <w:rsid w:val="00FD4657"/>
    <w:rsid w:val="00FD46C3"/>
    <w:rsid w:val="00FD476B"/>
    <w:rsid w:val="00FD4BF7"/>
    <w:rsid w:val="00FD51DA"/>
    <w:rsid w:val="00FD5580"/>
    <w:rsid w:val="00FD55BE"/>
    <w:rsid w:val="00FD598B"/>
    <w:rsid w:val="00FD5A1E"/>
    <w:rsid w:val="00FD6398"/>
    <w:rsid w:val="00FD6527"/>
    <w:rsid w:val="00FD655F"/>
    <w:rsid w:val="00FD6BCD"/>
    <w:rsid w:val="00FD72B7"/>
    <w:rsid w:val="00FD73D8"/>
    <w:rsid w:val="00FD76DF"/>
    <w:rsid w:val="00FD78CF"/>
    <w:rsid w:val="00FD7C7F"/>
    <w:rsid w:val="00FD7D52"/>
    <w:rsid w:val="00FE0076"/>
    <w:rsid w:val="00FE02ED"/>
    <w:rsid w:val="00FE0317"/>
    <w:rsid w:val="00FE0CE3"/>
    <w:rsid w:val="00FE0CEB"/>
    <w:rsid w:val="00FE1433"/>
    <w:rsid w:val="00FE16F2"/>
    <w:rsid w:val="00FE1AF5"/>
    <w:rsid w:val="00FE1D91"/>
    <w:rsid w:val="00FE1E10"/>
    <w:rsid w:val="00FE1F69"/>
    <w:rsid w:val="00FE209C"/>
    <w:rsid w:val="00FE2B72"/>
    <w:rsid w:val="00FE343C"/>
    <w:rsid w:val="00FE34D6"/>
    <w:rsid w:val="00FE38BB"/>
    <w:rsid w:val="00FE3A05"/>
    <w:rsid w:val="00FE3CCF"/>
    <w:rsid w:val="00FE41A7"/>
    <w:rsid w:val="00FE42E9"/>
    <w:rsid w:val="00FE4778"/>
    <w:rsid w:val="00FE47DF"/>
    <w:rsid w:val="00FE4844"/>
    <w:rsid w:val="00FE49B3"/>
    <w:rsid w:val="00FE4A10"/>
    <w:rsid w:val="00FE4AD9"/>
    <w:rsid w:val="00FE4B21"/>
    <w:rsid w:val="00FE520C"/>
    <w:rsid w:val="00FE544A"/>
    <w:rsid w:val="00FE6063"/>
    <w:rsid w:val="00FE6248"/>
    <w:rsid w:val="00FE6A4A"/>
    <w:rsid w:val="00FE6F60"/>
    <w:rsid w:val="00FE6F9D"/>
    <w:rsid w:val="00FE7092"/>
    <w:rsid w:val="00FE71A8"/>
    <w:rsid w:val="00FE7357"/>
    <w:rsid w:val="00FE78FA"/>
    <w:rsid w:val="00FE79F5"/>
    <w:rsid w:val="00FE7A08"/>
    <w:rsid w:val="00FF0A8E"/>
    <w:rsid w:val="00FF0C34"/>
    <w:rsid w:val="00FF12ED"/>
    <w:rsid w:val="00FF16AC"/>
    <w:rsid w:val="00FF1714"/>
    <w:rsid w:val="00FF1742"/>
    <w:rsid w:val="00FF1774"/>
    <w:rsid w:val="00FF1B0A"/>
    <w:rsid w:val="00FF1C46"/>
    <w:rsid w:val="00FF1CC2"/>
    <w:rsid w:val="00FF201E"/>
    <w:rsid w:val="00FF2B19"/>
    <w:rsid w:val="00FF2E04"/>
    <w:rsid w:val="00FF382D"/>
    <w:rsid w:val="00FF3B41"/>
    <w:rsid w:val="00FF4752"/>
    <w:rsid w:val="00FF47FC"/>
    <w:rsid w:val="00FF4D97"/>
    <w:rsid w:val="00FF500D"/>
    <w:rsid w:val="00FF521C"/>
    <w:rsid w:val="00FF5296"/>
    <w:rsid w:val="00FF5537"/>
    <w:rsid w:val="00FF55E4"/>
    <w:rsid w:val="00FF56A1"/>
    <w:rsid w:val="00FF5F19"/>
    <w:rsid w:val="00FF636A"/>
    <w:rsid w:val="00FF6478"/>
    <w:rsid w:val="00FF66CC"/>
    <w:rsid w:val="00FF67AE"/>
    <w:rsid w:val="00FF698A"/>
    <w:rsid w:val="00FF6C92"/>
    <w:rsid w:val="00FF6E33"/>
    <w:rsid w:val="00FF7362"/>
    <w:rsid w:val="00FF7994"/>
    <w:rsid w:val="00FF7B92"/>
    <w:rsid w:val="00FF7DBC"/>
    <w:rsid w:val="010ACDF2"/>
    <w:rsid w:val="013499E1"/>
    <w:rsid w:val="013C1EE1"/>
    <w:rsid w:val="014912DD"/>
    <w:rsid w:val="016BC748"/>
    <w:rsid w:val="01870A61"/>
    <w:rsid w:val="018E139D"/>
    <w:rsid w:val="0190B8C2"/>
    <w:rsid w:val="01912C55"/>
    <w:rsid w:val="0194BD02"/>
    <w:rsid w:val="01A889E5"/>
    <w:rsid w:val="01E8818B"/>
    <w:rsid w:val="01EEDF28"/>
    <w:rsid w:val="01F4ECB0"/>
    <w:rsid w:val="01FE3F88"/>
    <w:rsid w:val="02064447"/>
    <w:rsid w:val="020BFDCA"/>
    <w:rsid w:val="021E3C53"/>
    <w:rsid w:val="0229B035"/>
    <w:rsid w:val="02373F54"/>
    <w:rsid w:val="0239222A"/>
    <w:rsid w:val="02612246"/>
    <w:rsid w:val="02650867"/>
    <w:rsid w:val="02790289"/>
    <w:rsid w:val="027A8383"/>
    <w:rsid w:val="027AA218"/>
    <w:rsid w:val="028B38FE"/>
    <w:rsid w:val="028DA2EC"/>
    <w:rsid w:val="0290C73A"/>
    <w:rsid w:val="02A5AE3E"/>
    <w:rsid w:val="02CA0B38"/>
    <w:rsid w:val="02CB6251"/>
    <w:rsid w:val="02CC73CC"/>
    <w:rsid w:val="02ECBDC6"/>
    <w:rsid w:val="02F6682D"/>
    <w:rsid w:val="032843C8"/>
    <w:rsid w:val="0335500E"/>
    <w:rsid w:val="0337871E"/>
    <w:rsid w:val="0348F21F"/>
    <w:rsid w:val="0351C171"/>
    <w:rsid w:val="036406AE"/>
    <w:rsid w:val="0365BB98"/>
    <w:rsid w:val="0390B009"/>
    <w:rsid w:val="03966FFF"/>
    <w:rsid w:val="03971816"/>
    <w:rsid w:val="03A76DBE"/>
    <w:rsid w:val="03AC7FE3"/>
    <w:rsid w:val="03B15E36"/>
    <w:rsid w:val="03D40009"/>
    <w:rsid w:val="03DB57E8"/>
    <w:rsid w:val="03FC465A"/>
    <w:rsid w:val="03FE568A"/>
    <w:rsid w:val="0402F0AA"/>
    <w:rsid w:val="0403339B"/>
    <w:rsid w:val="04043946"/>
    <w:rsid w:val="040573D3"/>
    <w:rsid w:val="040A06D8"/>
    <w:rsid w:val="040B6911"/>
    <w:rsid w:val="040D2901"/>
    <w:rsid w:val="041D1F1B"/>
    <w:rsid w:val="0420ED25"/>
    <w:rsid w:val="0442AC36"/>
    <w:rsid w:val="0444EC92"/>
    <w:rsid w:val="045D2709"/>
    <w:rsid w:val="046216B1"/>
    <w:rsid w:val="046F2A69"/>
    <w:rsid w:val="04722750"/>
    <w:rsid w:val="04979E6D"/>
    <w:rsid w:val="0498B4D5"/>
    <w:rsid w:val="04AE8574"/>
    <w:rsid w:val="04B80F27"/>
    <w:rsid w:val="04C3DCC2"/>
    <w:rsid w:val="04C9FEC2"/>
    <w:rsid w:val="04E0B6FB"/>
    <w:rsid w:val="04E27004"/>
    <w:rsid w:val="051BCC5D"/>
    <w:rsid w:val="051D8D60"/>
    <w:rsid w:val="051F7D17"/>
    <w:rsid w:val="0548B0AF"/>
    <w:rsid w:val="0555C371"/>
    <w:rsid w:val="05CF82B8"/>
    <w:rsid w:val="05D2F37E"/>
    <w:rsid w:val="05D3A7E2"/>
    <w:rsid w:val="05DA2B66"/>
    <w:rsid w:val="05E108D0"/>
    <w:rsid w:val="05F6D9E6"/>
    <w:rsid w:val="0601C8DA"/>
    <w:rsid w:val="0616F58C"/>
    <w:rsid w:val="0622C2C2"/>
    <w:rsid w:val="06432294"/>
    <w:rsid w:val="0647D87D"/>
    <w:rsid w:val="064D0FF8"/>
    <w:rsid w:val="068C4C00"/>
    <w:rsid w:val="069D5CFF"/>
    <w:rsid w:val="06A36CA2"/>
    <w:rsid w:val="06D4FD76"/>
    <w:rsid w:val="06E179ED"/>
    <w:rsid w:val="06E8C942"/>
    <w:rsid w:val="06ECE4D0"/>
    <w:rsid w:val="06F4AEFF"/>
    <w:rsid w:val="06FF5259"/>
    <w:rsid w:val="070F203C"/>
    <w:rsid w:val="07280921"/>
    <w:rsid w:val="072D5FC7"/>
    <w:rsid w:val="07477FF9"/>
    <w:rsid w:val="0754990F"/>
    <w:rsid w:val="076AD7D2"/>
    <w:rsid w:val="0791929D"/>
    <w:rsid w:val="07982DDD"/>
    <w:rsid w:val="07ABC21E"/>
    <w:rsid w:val="07C4F857"/>
    <w:rsid w:val="07D6ED19"/>
    <w:rsid w:val="07E46C60"/>
    <w:rsid w:val="07FC14A6"/>
    <w:rsid w:val="08051FD4"/>
    <w:rsid w:val="080559CB"/>
    <w:rsid w:val="0808670D"/>
    <w:rsid w:val="0816A97D"/>
    <w:rsid w:val="08195ED2"/>
    <w:rsid w:val="0825236E"/>
    <w:rsid w:val="084B4F80"/>
    <w:rsid w:val="084F9022"/>
    <w:rsid w:val="08575DDA"/>
    <w:rsid w:val="0864F2AA"/>
    <w:rsid w:val="086971F0"/>
    <w:rsid w:val="087C4C5D"/>
    <w:rsid w:val="088198BE"/>
    <w:rsid w:val="0894E847"/>
    <w:rsid w:val="089672E6"/>
    <w:rsid w:val="089ACEFC"/>
    <w:rsid w:val="08A3EBEA"/>
    <w:rsid w:val="08A6D078"/>
    <w:rsid w:val="08E57284"/>
    <w:rsid w:val="08ED7C5B"/>
    <w:rsid w:val="08EF2029"/>
    <w:rsid w:val="08EF2672"/>
    <w:rsid w:val="08F912F9"/>
    <w:rsid w:val="094DD65C"/>
    <w:rsid w:val="0956E6F9"/>
    <w:rsid w:val="0958A49B"/>
    <w:rsid w:val="09677B58"/>
    <w:rsid w:val="096C5716"/>
    <w:rsid w:val="0970398E"/>
    <w:rsid w:val="0986DD7F"/>
    <w:rsid w:val="098B821A"/>
    <w:rsid w:val="098ED5FD"/>
    <w:rsid w:val="0995DF37"/>
    <w:rsid w:val="0996E413"/>
    <w:rsid w:val="099AC29E"/>
    <w:rsid w:val="09A7074E"/>
    <w:rsid w:val="09BE6CCA"/>
    <w:rsid w:val="09CCC089"/>
    <w:rsid w:val="09E96E19"/>
    <w:rsid w:val="09FB188B"/>
    <w:rsid w:val="0A0172DF"/>
    <w:rsid w:val="0A27A999"/>
    <w:rsid w:val="0A326274"/>
    <w:rsid w:val="0A3F34F7"/>
    <w:rsid w:val="0A488312"/>
    <w:rsid w:val="0A56C398"/>
    <w:rsid w:val="0A744563"/>
    <w:rsid w:val="0A7AEDD9"/>
    <w:rsid w:val="0A7C3667"/>
    <w:rsid w:val="0A966895"/>
    <w:rsid w:val="0ABED891"/>
    <w:rsid w:val="0AC9BE59"/>
    <w:rsid w:val="0AD0AD72"/>
    <w:rsid w:val="0AD43907"/>
    <w:rsid w:val="0AD72D77"/>
    <w:rsid w:val="0ADE8CC9"/>
    <w:rsid w:val="0AE2827C"/>
    <w:rsid w:val="0AEECBCD"/>
    <w:rsid w:val="0B0258DE"/>
    <w:rsid w:val="0B1F3CE0"/>
    <w:rsid w:val="0B20DCF5"/>
    <w:rsid w:val="0B256E87"/>
    <w:rsid w:val="0B317EAC"/>
    <w:rsid w:val="0B468A79"/>
    <w:rsid w:val="0B74295B"/>
    <w:rsid w:val="0B787607"/>
    <w:rsid w:val="0B78F6E8"/>
    <w:rsid w:val="0B8CD1F1"/>
    <w:rsid w:val="0B9A0472"/>
    <w:rsid w:val="0B9D8638"/>
    <w:rsid w:val="0BA79FE7"/>
    <w:rsid w:val="0BB2A973"/>
    <w:rsid w:val="0BB3BA58"/>
    <w:rsid w:val="0BC2C41C"/>
    <w:rsid w:val="0BDF0F09"/>
    <w:rsid w:val="0BFB1077"/>
    <w:rsid w:val="0C087E12"/>
    <w:rsid w:val="0C33C7C0"/>
    <w:rsid w:val="0C3EA6FC"/>
    <w:rsid w:val="0C52AC91"/>
    <w:rsid w:val="0C8B4756"/>
    <w:rsid w:val="0CA24EFC"/>
    <w:rsid w:val="0CACF3ED"/>
    <w:rsid w:val="0CC24487"/>
    <w:rsid w:val="0CC2DB2A"/>
    <w:rsid w:val="0CC8C80E"/>
    <w:rsid w:val="0CEF185E"/>
    <w:rsid w:val="0CF9D4F4"/>
    <w:rsid w:val="0D0C0332"/>
    <w:rsid w:val="0D1F6CD2"/>
    <w:rsid w:val="0D3DB950"/>
    <w:rsid w:val="0D463FC7"/>
    <w:rsid w:val="0D4D5619"/>
    <w:rsid w:val="0D52B84B"/>
    <w:rsid w:val="0D81D629"/>
    <w:rsid w:val="0DB1D7C3"/>
    <w:rsid w:val="0DBCA9DE"/>
    <w:rsid w:val="0DBD4195"/>
    <w:rsid w:val="0DC245E6"/>
    <w:rsid w:val="0DC52902"/>
    <w:rsid w:val="0DCA2571"/>
    <w:rsid w:val="0E251B08"/>
    <w:rsid w:val="0E31CCC8"/>
    <w:rsid w:val="0E3B1142"/>
    <w:rsid w:val="0E41C1E9"/>
    <w:rsid w:val="0E478213"/>
    <w:rsid w:val="0E494059"/>
    <w:rsid w:val="0E6194E6"/>
    <w:rsid w:val="0EAAC612"/>
    <w:rsid w:val="0EB046FB"/>
    <w:rsid w:val="0EB23FBE"/>
    <w:rsid w:val="0EC347DD"/>
    <w:rsid w:val="0EC6754C"/>
    <w:rsid w:val="0EE2AF18"/>
    <w:rsid w:val="0EFB95DB"/>
    <w:rsid w:val="0F0F171A"/>
    <w:rsid w:val="0F194D02"/>
    <w:rsid w:val="0F32F9AE"/>
    <w:rsid w:val="0F350DCA"/>
    <w:rsid w:val="0F3EEB70"/>
    <w:rsid w:val="0F4B8373"/>
    <w:rsid w:val="0F52E0CA"/>
    <w:rsid w:val="0F56B5C4"/>
    <w:rsid w:val="0F7DAE6B"/>
    <w:rsid w:val="0FB31616"/>
    <w:rsid w:val="0FD106C0"/>
    <w:rsid w:val="0FD8FB82"/>
    <w:rsid w:val="0FE53310"/>
    <w:rsid w:val="0FFEB120"/>
    <w:rsid w:val="10123CAC"/>
    <w:rsid w:val="104BEFC0"/>
    <w:rsid w:val="10692F2A"/>
    <w:rsid w:val="10713376"/>
    <w:rsid w:val="10729C99"/>
    <w:rsid w:val="108E0B6E"/>
    <w:rsid w:val="1093BADD"/>
    <w:rsid w:val="10A3A7B7"/>
    <w:rsid w:val="10B0D7E8"/>
    <w:rsid w:val="10B38B3B"/>
    <w:rsid w:val="10D1C251"/>
    <w:rsid w:val="10D2532A"/>
    <w:rsid w:val="10EBA7D9"/>
    <w:rsid w:val="10F17650"/>
    <w:rsid w:val="10F827EB"/>
    <w:rsid w:val="10FBD663"/>
    <w:rsid w:val="11051787"/>
    <w:rsid w:val="1110CF2E"/>
    <w:rsid w:val="113C2E94"/>
    <w:rsid w:val="1157BFC1"/>
    <w:rsid w:val="117E37E8"/>
    <w:rsid w:val="118311EB"/>
    <w:rsid w:val="118DB529"/>
    <w:rsid w:val="1193B0CE"/>
    <w:rsid w:val="1197DB4C"/>
    <w:rsid w:val="11AC1789"/>
    <w:rsid w:val="11D27474"/>
    <w:rsid w:val="11E46D25"/>
    <w:rsid w:val="11F13DE8"/>
    <w:rsid w:val="11F37397"/>
    <w:rsid w:val="11FB55A6"/>
    <w:rsid w:val="12158EAB"/>
    <w:rsid w:val="1217C142"/>
    <w:rsid w:val="12273927"/>
    <w:rsid w:val="122B5346"/>
    <w:rsid w:val="12369302"/>
    <w:rsid w:val="1249CDCE"/>
    <w:rsid w:val="124DD3C8"/>
    <w:rsid w:val="125906F2"/>
    <w:rsid w:val="12651B69"/>
    <w:rsid w:val="126E64D2"/>
    <w:rsid w:val="128DC8D0"/>
    <w:rsid w:val="129EC935"/>
    <w:rsid w:val="12A107FA"/>
    <w:rsid w:val="12A7585B"/>
    <w:rsid w:val="12C5A316"/>
    <w:rsid w:val="12C7A25B"/>
    <w:rsid w:val="12E07EE5"/>
    <w:rsid w:val="12F3D47D"/>
    <w:rsid w:val="130A132C"/>
    <w:rsid w:val="130FB2A3"/>
    <w:rsid w:val="1310428D"/>
    <w:rsid w:val="131C97B6"/>
    <w:rsid w:val="131D9B7D"/>
    <w:rsid w:val="1328E248"/>
    <w:rsid w:val="13295318"/>
    <w:rsid w:val="133921B2"/>
    <w:rsid w:val="1340F86C"/>
    <w:rsid w:val="1348D7ED"/>
    <w:rsid w:val="136359DC"/>
    <w:rsid w:val="1382FEBB"/>
    <w:rsid w:val="138FDDEC"/>
    <w:rsid w:val="13944156"/>
    <w:rsid w:val="139E1A56"/>
    <w:rsid w:val="13AEE5E2"/>
    <w:rsid w:val="13C933E7"/>
    <w:rsid w:val="13D8B2DA"/>
    <w:rsid w:val="13DEF42A"/>
    <w:rsid w:val="13E6036C"/>
    <w:rsid w:val="13E8DA84"/>
    <w:rsid w:val="140AE683"/>
    <w:rsid w:val="141DA284"/>
    <w:rsid w:val="143518C1"/>
    <w:rsid w:val="144AA099"/>
    <w:rsid w:val="1451CF05"/>
    <w:rsid w:val="145F082D"/>
    <w:rsid w:val="1464CFAE"/>
    <w:rsid w:val="146B7A92"/>
    <w:rsid w:val="147C58AE"/>
    <w:rsid w:val="1486A71E"/>
    <w:rsid w:val="14971145"/>
    <w:rsid w:val="14A3A44F"/>
    <w:rsid w:val="14B428B5"/>
    <w:rsid w:val="14B7EB27"/>
    <w:rsid w:val="14DA44D2"/>
    <w:rsid w:val="14DB81D1"/>
    <w:rsid w:val="151DF189"/>
    <w:rsid w:val="152B86CF"/>
    <w:rsid w:val="152CB390"/>
    <w:rsid w:val="1537584A"/>
    <w:rsid w:val="153B1CD4"/>
    <w:rsid w:val="15425425"/>
    <w:rsid w:val="15426B79"/>
    <w:rsid w:val="154C7643"/>
    <w:rsid w:val="1555018A"/>
    <w:rsid w:val="1556C9C6"/>
    <w:rsid w:val="157A6412"/>
    <w:rsid w:val="158430FD"/>
    <w:rsid w:val="1584FB2C"/>
    <w:rsid w:val="15887375"/>
    <w:rsid w:val="15A80F31"/>
    <w:rsid w:val="15A9F05C"/>
    <w:rsid w:val="15B971E8"/>
    <w:rsid w:val="15C1DB07"/>
    <w:rsid w:val="15E28784"/>
    <w:rsid w:val="15E6EECC"/>
    <w:rsid w:val="1608A945"/>
    <w:rsid w:val="160F3A6A"/>
    <w:rsid w:val="16107802"/>
    <w:rsid w:val="162045B7"/>
    <w:rsid w:val="162FE59D"/>
    <w:rsid w:val="1638E1E7"/>
    <w:rsid w:val="16406B0D"/>
    <w:rsid w:val="1641FE49"/>
    <w:rsid w:val="16520970"/>
    <w:rsid w:val="1658CAB9"/>
    <w:rsid w:val="16616F9E"/>
    <w:rsid w:val="1664B2C1"/>
    <w:rsid w:val="166653FE"/>
    <w:rsid w:val="166FC9BA"/>
    <w:rsid w:val="1699AF4E"/>
    <w:rsid w:val="169FCEE0"/>
    <w:rsid w:val="16BC5BDF"/>
    <w:rsid w:val="16EF4754"/>
    <w:rsid w:val="16F4A77E"/>
    <w:rsid w:val="17123F58"/>
    <w:rsid w:val="1728EDA0"/>
    <w:rsid w:val="172A47BB"/>
    <w:rsid w:val="17303547"/>
    <w:rsid w:val="17323C9A"/>
    <w:rsid w:val="173A90C9"/>
    <w:rsid w:val="174B9357"/>
    <w:rsid w:val="17601789"/>
    <w:rsid w:val="1760D7BC"/>
    <w:rsid w:val="17865695"/>
    <w:rsid w:val="17A6DCAC"/>
    <w:rsid w:val="17AFD045"/>
    <w:rsid w:val="17B623D0"/>
    <w:rsid w:val="17C71F1E"/>
    <w:rsid w:val="17CA593B"/>
    <w:rsid w:val="17CBF079"/>
    <w:rsid w:val="17D3458D"/>
    <w:rsid w:val="17E023D3"/>
    <w:rsid w:val="17E1B8AF"/>
    <w:rsid w:val="17E7BBC1"/>
    <w:rsid w:val="17EE695B"/>
    <w:rsid w:val="17F1CF0A"/>
    <w:rsid w:val="18001B9E"/>
    <w:rsid w:val="180DFA1D"/>
    <w:rsid w:val="181F908E"/>
    <w:rsid w:val="1849B7FD"/>
    <w:rsid w:val="18591444"/>
    <w:rsid w:val="185C2B32"/>
    <w:rsid w:val="18657614"/>
    <w:rsid w:val="18695152"/>
    <w:rsid w:val="186D1177"/>
    <w:rsid w:val="186DA2B9"/>
    <w:rsid w:val="188CD08F"/>
    <w:rsid w:val="188F0E82"/>
    <w:rsid w:val="1897F79B"/>
    <w:rsid w:val="18A9BC5C"/>
    <w:rsid w:val="18B307DD"/>
    <w:rsid w:val="18BB26D8"/>
    <w:rsid w:val="18D03771"/>
    <w:rsid w:val="18D0569C"/>
    <w:rsid w:val="18FACBDC"/>
    <w:rsid w:val="1908C59C"/>
    <w:rsid w:val="1921153E"/>
    <w:rsid w:val="193369A9"/>
    <w:rsid w:val="193E19F3"/>
    <w:rsid w:val="195DAD59"/>
    <w:rsid w:val="1974DB41"/>
    <w:rsid w:val="197BFE6B"/>
    <w:rsid w:val="197EAC64"/>
    <w:rsid w:val="19901FB7"/>
    <w:rsid w:val="199975FC"/>
    <w:rsid w:val="19AF6841"/>
    <w:rsid w:val="19D3C814"/>
    <w:rsid w:val="1A162191"/>
    <w:rsid w:val="1A317DEB"/>
    <w:rsid w:val="1A530C50"/>
    <w:rsid w:val="1A732707"/>
    <w:rsid w:val="1A83CFF4"/>
    <w:rsid w:val="1A8E421F"/>
    <w:rsid w:val="1AA60EDC"/>
    <w:rsid w:val="1AC19BD5"/>
    <w:rsid w:val="1AC7C74F"/>
    <w:rsid w:val="1ACBD0C4"/>
    <w:rsid w:val="1ACD4065"/>
    <w:rsid w:val="1ACE00F9"/>
    <w:rsid w:val="1AE6C64B"/>
    <w:rsid w:val="1AF98E2B"/>
    <w:rsid w:val="1B049D13"/>
    <w:rsid w:val="1B2C4BCB"/>
    <w:rsid w:val="1B4DA481"/>
    <w:rsid w:val="1B510459"/>
    <w:rsid w:val="1B83196F"/>
    <w:rsid w:val="1B8C2C50"/>
    <w:rsid w:val="1B949474"/>
    <w:rsid w:val="1B9D5B8F"/>
    <w:rsid w:val="1BAC5FD2"/>
    <w:rsid w:val="1BC2DA55"/>
    <w:rsid w:val="1BEA8AD9"/>
    <w:rsid w:val="1BF1BD12"/>
    <w:rsid w:val="1C030D81"/>
    <w:rsid w:val="1C6ACAEB"/>
    <w:rsid w:val="1C749F61"/>
    <w:rsid w:val="1C85291C"/>
    <w:rsid w:val="1C97BF3C"/>
    <w:rsid w:val="1CF185DB"/>
    <w:rsid w:val="1D26B5AB"/>
    <w:rsid w:val="1D37CA12"/>
    <w:rsid w:val="1D45506C"/>
    <w:rsid w:val="1D4A994E"/>
    <w:rsid w:val="1D731CFB"/>
    <w:rsid w:val="1D8CC733"/>
    <w:rsid w:val="1D978D2F"/>
    <w:rsid w:val="1DC455D5"/>
    <w:rsid w:val="1DEAB299"/>
    <w:rsid w:val="1E0992B0"/>
    <w:rsid w:val="1E34165C"/>
    <w:rsid w:val="1E4BDA86"/>
    <w:rsid w:val="1E5A6625"/>
    <w:rsid w:val="1E5B71D0"/>
    <w:rsid w:val="1E619CA9"/>
    <w:rsid w:val="1E6DE7D1"/>
    <w:rsid w:val="1E76E8FB"/>
    <w:rsid w:val="1E8FA5EE"/>
    <w:rsid w:val="1E99C075"/>
    <w:rsid w:val="1E9CFD66"/>
    <w:rsid w:val="1EA36798"/>
    <w:rsid w:val="1EB3FFC4"/>
    <w:rsid w:val="1EB73E0B"/>
    <w:rsid w:val="1EC06A1C"/>
    <w:rsid w:val="1ECAD04B"/>
    <w:rsid w:val="1ED4C551"/>
    <w:rsid w:val="1F00E36D"/>
    <w:rsid w:val="1F0F9FF9"/>
    <w:rsid w:val="1F19E8FC"/>
    <w:rsid w:val="1F3DDAEC"/>
    <w:rsid w:val="1F4A5F07"/>
    <w:rsid w:val="1F60E247"/>
    <w:rsid w:val="1F696AB2"/>
    <w:rsid w:val="1F9DFFF0"/>
    <w:rsid w:val="1FCC3B9A"/>
    <w:rsid w:val="1FD596A3"/>
    <w:rsid w:val="1FD743A6"/>
    <w:rsid w:val="1FDA0021"/>
    <w:rsid w:val="1FDBC5E1"/>
    <w:rsid w:val="1FDE4868"/>
    <w:rsid w:val="1FE6BDE1"/>
    <w:rsid w:val="1FF1E50E"/>
    <w:rsid w:val="2044B914"/>
    <w:rsid w:val="20539231"/>
    <w:rsid w:val="206F045C"/>
    <w:rsid w:val="2074793B"/>
    <w:rsid w:val="207882EB"/>
    <w:rsid w:val="208B8AA9"/>
    <w:rsid w:val="20AD0A7F"/>
    <w:rsid w:val="20B21AF6"/>
    <w:rsid w:val="20C9B30E"/>
    <w:rsid w:val="20DF4B65"/>
    <w:rsid w:val="20DFDC36"/>
    <w:rsid w:val="2111E6FE"/>
    <w:rsid w:val="2112FF50"/>
    <w:rsid w:val="2118A387"/>
    <w:rsid w:val="212F63A8"/>
    <w:rsid w:val="214E845B"/>
    <w:rsid w:val="215951C2"/>
    <w:rsid w:val="216749C3"/>
    <w:rsid w:val="2190323E"/>
    <w:rsid w:val="21A38373"/>
    <w:rsid w:val="21A3E096"/>
    <w:rsid w:val="21A6C4EE"/>
    <w:rsid w:val="21D9E5A5"/>
    <w:rsid w:val="21FB525A"/>
    <w:rsid w:val="2210254E"/>
    <w:rsid w:val="2228182C"/>
    <w:rsid w:val="22616FEA"/>
    <w:rsid w:val="2265FCEA"/>
    <w:rsid w:val="2271E937"/>
    <w:rsid w:val="2272B481"/>
    <w:rsid w:val="22799D2A"/>
    <w:rsid w:val="227B973A"/>
    <w:rsid w:val="227F980C"/>
    <w:rsid w:val="22A7C336"/>
    <w:rsid w:val="22ADE3C0"/>
    <w:rsid w:val="22C9730A"/>
    <w:rsid w:val="22D805E8"/>
    <w:rsid w:val="22DD6370"/>
    <w:rsid w:val="2303ADCE"/>
    <w:rsid w:val="23063724"/>
    <w:rsid w:val="2317704A"/>
    <w:rsid w:val="231D5DA5"/>
    <w:rsid w:val="2358ED40"/>
    <w:rsid w:val="235ED5AA"/>
    <w:rsid w:val="236D006B"/>
    <w:rsid w:val="23705CE9"/>
    <w:rsid w:val="237E8BFD"/>
    <w:rsid w:val="23A0BB05"/>
    <w:rsid w:val="23A48859"/>
    <w:rsid w:val="23C4DDFF"/>
    <w:rsid w:val="23C951D3"/>
    <w:rsid w:val="23CDA422"/>
    <w:rsid w:val="240DE49A"/>
    <w:rsid w:val="24193855"/>
    <w:rsid w:val="241C468E"/>
    <w:rsid w:val="242DD4F7"/>
    <w:rsid w:val="243A8C44"/>
    <w:rsid w:val="244BBE84"/>
    <w:rsid w:val="2455CFDA"/>
    <w:rsid w:val="2456F0E3"/>
    <w:rsid w:val="2465A879"/>
    <w:rsid w:val="24753363"/>
    <w:rsid w:val="248B17F4"/>
    <w:rsid w:val="249851D4"/>
    <w:rsid w:val="249B4053"/>
    <w:rsid w:val="24A99876"/>
    <w:rsid w:val="24B6526D"/>
    <w:rsid w:val="24B8E098"/>
    <w:rsid w:val="24BA9CD5"/>
    <w:rsid w:val="24D161B8"/>
    <w:rsid w:val="24D6F13B"/>
    <w:rsid w:val="24F4B596"/>
    <w:rsid w:val="250DF0DC"/>
    <w:rsid w:val="25236820"/>
    <w:rsid w:val="252F8CD8"/>
    <w:rsid w:val="25398936"/>
    <w:rsid w:val="254E6418"/>
    <w:rsid w:val="255A2C5F"/>
    <w:rsid w:val="255F49DE"/>
    <w:rsid w:val="25606E12"/>
    <w:rsid w:val="2568A06C"/>
    <w:rsid w:val="257A672D"/>
    <w:rsid w:val="25817675"/>
    <w:rsid w:val="25874094"/>
    <w:rsid w:val="258916BC"/>
    <w:rsid w:val="25937906"/>
    <w:rsid w:val="25968C30"/>
    <w:rsid w:val="259D5C2B"/>
    <w:rsid w:val="25B2424D"/>
    <w:rsid w:val="25B27E8D"/>
    <w:rsid w:val="25B69052"/>
    <w:rsid w:val="25DF3564"/>
    <w:rsid w:val="25FAE3AB"/>
    <w:rsid w:val="25FEB15D"/>
    <w:rsid w:val="2622B306"/>
    <w:rsid w:val="262E3A90"/>
    <w:rsid w:val="26397027"/>
    <w:rsid w:val="264E62B9"/>
    <w:rsid w:val="267951C1"/>
    <w:rsid w:val="26872EBF"/>
    <w:rsid w:val="268DC440"/>
    <w:rsid w:val="26947705"/>
    <w:rsid w:val="2694E3FC"/>
    <w:rsid w:val="269551B0"/>
    <w:rsid w:val="26A077FD"/>
    <w:rsid w:val="26A3D19A"/>
    <w:rsid w:val="26B35DD0"/>
    <w:rsid w:val="26B6EFF3"/>
    <w:rsid w:val="26BB0A4E"/>
    <w:rsid w:val="26DAFEAC"/>
    <w:rsid w:val="26DC2E44"/>
    <w:rsid w:val="26E9619E"/>
    <w:rsid w:val="27160CD2"/>
    <w:rsid w:val="2729284E"/>
    <w:rsid w:val="273C7551"/>
    <w:rsid w:val="273E3A70"/>
    <w:rsid w:val="27445CF2"/>
    <w:rsid w:val="2752B23B"/>
    <w:rsid w:val="2757C942"/>
    <w:rsid w:val="2759C743"/>
    <w:rsid w:val="277BB874"/>
    <w:rsid w:val="2783D6BC"/>
    <w:rsid w:val="278D9F6E"/>
    <w:rsid w:val="27C2AC3A"/>
    <w:rsid w:val="27D85583"/>
    <w:rsid w:val="27DE5AD2"/>
    <w:rsid w:val="27F62028"/>
    <w:rsid w:val="27FA66CA"/>
    <w:rsid w:val="2800A16E"/>
    <w:rsid w:val="28028050"/>
    <w:rsid w:val="280B17B2"/>
    <w:rsid w:val="280E1672"/>
    <w:rsid w:val="281A8B0F"/>
    <w:rsid w:val="2830E9C5"/>
    <w:rsid w:val="2860269D"/>
    <w:rsid w:val="28663A57"/>
    <w:rsid w:val="28757260"/>
    <w:rsid w:val="28874611"/>
    <w:rsid w:val="288B2DDA"/>
    <w:rsid w:val="28A392D7"/>
    <w:rsid w:val="28B936B8"/>
    <w:rsid w:val="28DA9F05"/>
    <w:rsid w:val="28E84F12"/>
    <w:rsid w:val="28F2A11B"/>
    <w:rsid w:val="292A608A"/>
    <w:rsid w:val="295E882D"/>
    <w:rsid w:val="2977DF71"/>
    <w:rsid w:val="29843DE6"/>
    <w:rsid w:val="2997A2E1"/>
    <w:rsid w:val="299F474B"/>
    <w:rsid w:val="29A39A86"/>
    <w:rsid w:val="29C7A0CD"/>
    <w:rsid w:val="29CF057F"/>
    <w:rsid w:val="29D8B288"/>
    <w:rsid w:val="29DE4429"/>
    <w:rsid w:val="29DFE45E"/>
    <w:rsid w:val="29E8FAED"/>
    <w:rsid w:val="2A06DD84"/>
    <w:rsid w:val="2A106322"/>
    <w:rsid w:val="2A22095E"/>
    <w:rsid w:val="2A4F91DD"/>
    <w:rsid w:val="2A5B666E"/>
    <w:rsid w:val="2A6E8DE4"/>
    <w:rsid w:val="2A746972"/>
    <w:rsid w:val="2A7E05D6"/>
    <w:rsid w:val="2A93B769"/>
    <w:rsid w:val="2AA7FA8D"/>
    <w:rsid w:val="2AAC6625"/>
    <w:rsid w:val="2AAE5D83"/>
    <w:rsid w:val="2AAE921B"/>
    <w:rsid w:val="2AB4A9EA"/>
    <w:rsid w:val="2ABE8911"/>
    <w:rsid w:val="2ABFBC0D"/>
    <w:rsid w:val="2AC820D9"/>
    <w:rsid w:val="2AF12631"/>
    <w:rsid w:val="2B123EAA"/>
    <w:rsid w:val="2B32F204"/>
    <w:rsid w:val="2B5653CA"/>
    <w:rsid w:val="2B6F0E3A"/>
    <w:rsid w:val="2B71CFAC"/>
    <w:rsid w:val="2B7638B8"/>
    <w:rsid w:val="2B85B331"/>
    <w:rsid w:val="2BA17A54"/>
    <w:rsid w:val="2BBDDD13"/>
    <w:rsid w:val="2BC394BC"/>
    <w:rsid w:val="2BC9BD11"/>
    <w:rsid w:val="2BD84AC7"/>
    <w:rsid w:val="2BF1C518"/>
    <w:rsid w:val="2BFA4E4E"/>
    <w:rsid w:val="2C0A5D59"/>
    <w:rsid w:val="2C3403D7"/>
    <w:rsid w:val="2C58AEEF"/>
    <w:rsid w:val="2C5951C6"/>
    <w:rsid w:val="2C59F701"/>
    <w:rsid w:val="2C6B89A6"/>
    <w:rsid w:val="2C6EFC42"/>
    <w:rsid w:val="2C8055FE"/>
    <w:rsid w:val="2C983923"/>
    <w:rsid w:val="2C9C8612"/>
    <w:rsid w:val="2CA63472"/>
    <w:rsid w:val="2CA77D94"/>
    <w:rsid w:val="2CA8FBEB"/>
    <w:rsid w:val="2CAA0411"/>
    <w:rsid w:val="2CAA410D"/>
    <w:rsid w:val="2CB4ACA9"/>
    <w:rsid w:val="2CD91ACC"/>
    <w:rsid w:val="2CE59CD7"/>
    <w:rsid w:val="2CF7390C"/>
    <w:rsid w:val="2CFC00DE"/>
    <w:rsid w:val="2D0230C2"/>
    <w:rsid w:val="2D0FF306"/>
    <w:rsid w:val="2D102B49"/>
    <w:rsid w:val="2D1100F0"/>
    <w:rsid w:val="2D11D69D"/>
    <w:rsid w:val="2D1FA862"/>
    <w:rsid w:val="2D271254"/>
    <w:rsid w:val="2D2E8683"/>
    <w:rsid w:val="2D3F42EE"/>
    <w:rsid w:val="2D5A7A99"/>
    <w:rsid w:val="2D5DD801"/>
    <w:rsid w:val="2D6793C9"/>
    <w:rsid w:val="2D6DB137"/>
    <w:rsid w:val="2D8DC8E6"/>
    <w:rsid w:val="2DA0F827"/>
    <w:rsid w:val="2DACE0BF"/>
    <w:rsid w:val="2DAD780C"/>
    <w:rsid w:val="2DBFF68A"/>
    <w:rsid w:val="2DCA769A"/>
    <w:rsid w:val="2DDDDF77"/>
    <w:rsid w:val="2DF17926"/>
    <w:rsid w:val="2DFD2227"/>
    <w:rsid w:val="2E0C69FD"/>
    <w:rsid w:val="2E0E6790"/>
    <w:rsid w:val="2E3CA78B"/>
    <w:rsid w:val="2E43CAD7"/>
    <w:rsid w:val="2E510DF3"/>
    <w:rsid w:val="2E66070B"/>
    <w:rsid w:val="2E784AD6"/>
    <w:rsid w:val="2E874695"/>
    <w:rsid w:val="2E89BE85"/>
    <w:rsid w:val="2E9BF543"/>
    <w:rsid w:val="2EB0DC3A"/>
    <w:rsid w:val="2ECB019C"/>
    <w:rsid w:val="2ED13508"/>
    <w:rsid w:val="2EDE8C59"/>
    <w:rsid w:val="2EF3072B"/>
    <w:rsid w:val="2EF61703"/>
    <w:rsid w:val="2F050758"/>
    <w:rsid w:val="2F104FE9"/>
    <w:rsid w:val="2F3972FF"/>
    <w:rsid w:val="2F55CBC3"/>
    <w:rsid w:val="2F749436"/>
    <w:rsid w:val="2FA92CE8"/>
    <w:rsid w:val="2FAF9362"/>
    <w:rsid w:val="2FD9D31D"/>
    <w:rsid w:val="2FE13FAA"/>
    <w:rsid w:val="2FED0A6E"/>
    <w:rsid w:val="3008DED5"/>
    <w:rsid w:val="301152D6"/>
    <w:rsid w:val="301A47E5"/>
    <w:rsid w:val="3028B423"/>
    <w:rsid w:val="302ED5F3"/>
    <w:rsid w:val="3031FC4F"/>
    <w:rsid w:val="3052B455"/>
    <w:rsid w:val="3055D291"/>
    <w:rsid w:val="30616976"/>
    <w:rsid w:val="306672E4"/>
    <w:rsid w:val="306F594B"/>
    <w:rsid w:val="307D69E6"/>
    <w:rsid w:val="308F6653"/>
    <w:rsid w:val="30AED9D5"/>
    <w:rsid w:val="30C57DBF"/>
    <w:rsid w:val="30F5B3B2"/>
    <w:rsid w:val="30F6A146"/>
    <w:rsid w:val="30F6C769"/>
    <w:rsid w:val="30F8D0B7"/>
    <w:rsid w:val="310CB917"/>
    <w:rsid w:val="3127ED00"/>
    <w:rsid w:val="313268D6"/>
    <w:rsid w:val="31338547"/>
    <w:rsid w:val="315839DB"/>
    <w:rsid w:val="317D633B"/>
    <w:rsid w:val="31810BCE"/>
    <w:rsid w:val="31A67CA8"/>
    <w:rsid w:val="31C364BE"/>
    <w:rsid w:val="31D56238"/>
    <w:rsid w:val="31D64D6C"/>
    <w:rsid w:val="31D965B6"/>
    <w:rsid w:val="31ECD431"/>
    <w:rsid w:val="320B2B8D"/>
    <w:rsid w:val="320C9699"/>
    <w:rsid w:val="32231274"/>
    <w:rsid w:val="3223E67F"/>
    <w:rsid w:val="32410713"/>
    <w:rsid w:val="3251CE67"/>
    <w:rsid w:val="3253765F"/>
    <w:rsid w:val="325EBE2C"/>
    <w:rsid w:val="326ADC02"/>
    <w:rsid w:val="32739BD1"/>
    <w:rsid w:val="3282E6C1"/>
    <w:rsid w:val="32842F61"/>
    <w:rsid w:val="328C1D68"/>
    <w:rsid w:val="3295BBC9"/>
    <w:rsid w:val="32A35B2B"/>
    <w:rsid w:val="32AAFD86"/>
    <w:rsid w:val="32AB9776"/>
    <w:rsid w:val="32BE2CE3"/>
    <w:rsid w:val="32C95826"/>
    <w:rsid w:val="32CE68AB"/>
    <w:rsid w:val="32CEAC14"/>
    <w:rsid w:val="32DB0536"/>
    <w:rsid w:val="32F9DE3A"/>
    <w:rsid w:val="32FAFC6D"/>
    <w:rsid w:val="33064FCF"/>
    <w:rsid w:val="330D0B2E"/>
    <w:rsid w:val="3318C899"/>
    <w:rsid w:val="33236B15"/>
    <w:rsid w:val="332408EC"/>
    <w:rsid w:val="33469AD8"/>
    <w:rsid w:val="334DA762"/>
    <w:rsid w:val="33508143"/>
    <w:rsid w:val="33542690"/>
    <w:rsid w:val="33583B94"/>
    <w:rsid w:val="335ACA15"/>
    <w:rsid w:val="336ECE06"/>
    <w:rsid w:val="33826B68"/>
    <w:rsid w:val="33958D96"/>
    <w:rsid w:val="33963035"/>
    <w:rsid w:val="33A9E161"/>
    <w:rsid w:val="33B358EF"/>
    <w:rsid w:val="33C224F2"/>
    <w:rsid w:val="33CAD0C5"/>
    <w:rsid w:val="33DAB726"/>
    <w:rsid w:val="33DCB5CA"/>
    <w:rsid w:val="33DD61D4"/>
    <w:rsid w:val="3404BD2F"/>
    <w:rsid w:val="341EEF1E"/>
    <w:rsid w:val="344FEB65"/>
    <w:rsid w:val="346D1D4D"/>
    <w:rsid w:val="347976EE"/>
    <w:rsid w:val="34D704A0"/>
    <w:rsid w:val="350C92DF"/>
    <w:rsid w:val="3534275E"/>
    <w:rsid w:val="35358C06"/>
    <w:rsid w:val="35426D5C"/>
    <w:rsid w:val="3549F7BB"/>
    <w:rsid w:val="355B8987"/>
    <w:rsid w:val="356BCCF5"/>
    <w:rsid w:val="356DFD7D"/>
    <w:rsid w:val="35703E2E"/>
    <w:rsid w:val="3570F1E0"/>
    <w:rsid w:val="35A7788C"/>
    <w:rsid w:val="35B3CE90"/>
    <w:rsid w:val="35BC90C6"/>
    <w:rsid w:val="35CFE0E9"/>
    <w:rsid w:val="35D4895E"/>
    <w:rsid w:val="35E78B8C"/>
    <w:rsid w:val="35F78A84"/>
    <w:rsid w:val="35F957AC"/>
    <w:rsid w:val="35FE2DD2"/>
    <w:rsid w:val="36113CE9"/>
    <w:rsid w:val="364C3C5D"/>
    <w:rsid w:val="3687D7AB"/>
    <w:rsid w:val="36899188"/>
    <w:rsid w:val="36A19A35"/>
    <w:rsid w:val="36ABECC5"/>
    <w:rsid w:val="36B39B7E"/>
    <w:rsid w:val="36D8C9C8"/>
    <w:rsid w:val="36DA7E8E"/>
    <w:rsid w:val="36E1E44B"/>
    <w:rsid w:val="36E67736"/>
    <w:rsid w:val="36ECB90A"/>
    <w:rsid w:val="36F4D4FF"/>
    <w:rsid w:val="36FD4586"/>
    <w:rsid w:val="370991D7"/>
    <w:rsid w:val="370FD86A"/>
    <w:rsid w:val="371B420F"/>
    <w:rsid w:val="3727B64F"/>
    <w:rsid w:val="3729B6E9"/>
    <w:rsid w:val="3730C0A3"/>
    <w:rsid w:val="374A7236"/>
    <w:rsid w:val="374B6267"/>
    <w:rsid w:val="3764E958"/>
    <w:rsid w:val="37770254"/>
    <w:rsid w:val="3795320E"/>
    <w:rsid w:val="3797CBDD"/>
    <w:rsid w:val="37A04601"/>
    <w:rsid w:val="37A22918"/>
    <w:rsid w:val="37A723DA"/>
    <w:rsid w:val="37AC01C4"/>
    <w:rsid w:val="37AEE2AE"/>
    <w:rsid w:val="37B18826"/>
    <w:rsid w:val="37C41A5A"/>
    <w:rsid w:val="37C93B29"/>
    <w:rsid w:val="37DB2BCB"/>
    <w:rsid w:val="37E95DA5"/>
    <w:rsid w:val="3808180E"/>
    <w:rsid w:val="3810AB50"/>
    <w:rsid w:val="38112D0D"/>
    <w:rsid w:val="381292E1"/>
    <w:rsid w:val="3815F397"/>
    <w:rsid w:val="383264FA"/>
    <w:rsid w:val="384FB0BE"/>
    <w:rsid w:val="386890CB"/>
    <w:rsid w:val="38714871"/>
    <w:rsid w:val="3875C430"/>
    <w:rsid w:val="38F51CE0"/>
    <w:rsid w:val="38FE5048"/>
    <w:rsid w:val="39164000"/>
    <w:rsid w:val="39271A0E"/>
    <w:rsid w:val="39290AF6"/>
    <w:rsid w:val="392B7E9E"/>
    <w:rsid w:val="3934D0F5"/>
    <w:rsid w:val="39681C47"/>
    <w:rsid w:val="397996FB"/>
    <w:rsid w:val="397A9024"/>
    <w:rsid w:val="3987A9D1"/>
    <w:rsid w:val="3992407C"/>
    <w:rsid w:val="399A4F78"/>
    <w:rsid w:val="39AFA76F"/>
    <w:rsid w:val="39DA000F"/>
    <w:rsid w:val="39F82098"/>
    <w:rsid w:val="3A0C03D1"/>
    <w:rsid w:val="3A276D94"/>
    <w:rsid w:val="3A38C931"/>
    <w:rsid w:val="3A5354FB"/>
    <w:rsid w:val="3A60938A"/>
    <w:rsid w:val="3A60E232"/>
    <w:rsid w:val="3A654E41"/>
    <w:rsid w:val="3A6AF126"/>
    <w:rsid w:val="3A80498A"/>
    <w:rsid w:val="3AA40104"/>
    <w:rsid w:val="3AABE2FF"/>
    <w:rsid w:val="3AB9A2AF"/>
    <w:rsid w:val="3AC3EBAF"/>
    <w:rsid w:val="3AC53507"/>
    <w:rsid w:val="3ACE59BB"/>
    <w:rsid w:val="3AD8D42B"/>
    <w:rsid w:val="3AF1AF49"/>
    <w:rsid w:val="3AF44E24"/>
    <w:rsid w:val="3AFB0BFD"/>
    <w:rsid w:val="3B2DCDA6"/>
    <w:rsid w:val="3B2FB67E"/>
    <w:rsid w:val="3B342486"/>
    <w:rsid w:val="3B3A4F0A"/>
    <w:rsid w:val="3B485EA9"/>
    <w:rsid w:val="3B73BE90"/>
    <w:rsid w:val="3B7480CE"/>
    <w:rsid w:val="3B85BB03"/>
    <w:rsid w:val="3B87C59E"/>
    <w:rsid w:val="3BA92A61"/>
    <w:rsid w:val="3BAFE7FA"/>
    <w:rsid w:val="3BB39795"/>
    <w:rsid w:val="3BBDF58C"/>
    <w:rsid w:val="3BE6E92B"/>
    <w:rsid w:val="3BFB57DC"/>
    <w:rsid w:val="3BFC85A6"/>
    <w:rsid w:val="3BFF5332"/>
    <w:rsid w:val="3C1513DC"/>
    <w:rsid w:val="3C39CD68"/>
    <w:rsid w:val="3C474449"/>
    <w:rsid w:val="3C563895"/>
    <w:rsid w:val="3C63CEF0"/>
    <w:rsid w:val="3C6CE43F"/>
    <w:rsid w:val="3C79DB34"/>
    <w:rsid w:val="3C860749"/>
    <w:rsid w:val="3C8A062B"/>
    <w:rsid w:val="3C9AC27D"/>
    <w:rsid w:val="3CA48C1A"/>
    <w:rsid w:val="3CD399F1"/>
    <w:rsid w:val="3CE608BE"/>
    <w:rsid w:val="3CF44AD4"/>
    <w:rsid w:val="3D19BF9B"/>
    <w:rsid w:val="3D1C97A4"/>
    <w:rsid w:val="3D1F6533"/>
    <w:rsid w:val="3D373B07"/>
    <w:rsid w:val="3D48C6B2"/>
    <w:rsid w:val="3D5C85FE"/>
    <w:rsid w:val="3D649D98"/>
    <w:rsid w:val="3D80CCF4"/>
    <w:rsid w:val="3D88BD90"/>
    <w:rsid w:val="3D94104A"/>
    <w:rsid w:val="3DAE6747"/>
    <w:rsid w:val="3DB4961D"/>
    <w:rsid w:val="3DB8D686"/>
    <w:rsid w:val="3DB9A68E"/>
    <w:rsid w:val="3DBEA840"/>
    <w:rsid w:val="3DC5B744"/>
    <w:rsid w:val="3DC75C13"/>
    <w:rsid w:val="3DCCB660"/>
    <w:rsid w:val="3DCE47F0"/>
    <w:rsid w:val="3DCF20B2"/>
    <w:rsid w:val="3E10EAFF"/>
    <w:rsid w:val="3E32C4A7"/>
    <w:rsid w:val="3E3DFD1E"/>
    <w:rsid w:val="3E4DC082"/>
    <w:rsid w:val="3E4EFE70"/>
    <w:rsid w:val="3E6406B9"/>
    <w:rsid w:val="3E66F50D"/>
    <w:rsid w:val="3E723BCF"/>
    <w:rsid w:val="3E78B2B1"/>
    <w:rsid w:val="3E7ABEFF"/>
    <w:rsid w:val="3EAC9757"/>
    <w:rsid w:val="3ED95F5A"/>
    <w:rsid w:val="3EDCEF7E"/>
    <w:rsid w:val="3F0AB589"/>
    <w:rsid w:val="3F20514A"/>
    <w:rsid w:val="3F399AF4"/>
    <w:rsid w:val="3F3A4168"/>
    <w:rsid w:val="3F4FC63A"/>
    <w:rsid w:val="3F5C6707"/>
    <w:rsid w:val="3F629296"/>
    <w:rsid w:val="3F62A900"/>
    <w:rsid w:val="3F795752"/>
    <w:rsid w:val="3F7BBFEE"/>
    <w:rsid w:val="3F7CDF2F"/>
    <w:rsid w:val="3F7D65FD"/>
    <w:rsid w:val="3F977613"/>
    <w:rsid w:val="3FD2B312"/>
    <w:rsid w:val="3FE3865A"/>
    <w:rsid w:val="402D9382"/>
    <w:rsid w:val="404A183E"/>
    <w:rsid w:val="40669AF1"/>
    <w:rsid w:val="4077121D"/>
    <w:rsid w:val="407B639E"/>
    <w:rsid w:val="407DECFF"/>
    <w:rsid w:val="4090AFE3"/>
    <w:rsid w:val="40A56F73"/>
    <w:rsid w:val="40AEA0C0"/>
    <w:rsid w:val="40CB2D71"/>
    <w:rsid w:val="40D08523"/>
    <w:rsid w:val="40D30BE5"/>
    <w:rsid w:val="40D4CB98"/>
    <w:rsid w:val="40F267A7"/>
    <w:rsid w:val="40F83F88"/>
    <w:rsid w:val="41053C9F"/>
    <w:rsid w:val="410BB185"/>
    <w:rsid w:val="412C9825"/>
    <w:rsid w:val="413C9C19"/>
    <w:rsid w:val="4144865A"/>
    <w:rsid w:val="41572E54"/>
    <w:rsid w:val="41952975"/>
    <w:rsid w:val="41AA5973"/>
    <w:rsid w:val="41AE05C7"/>
    <w:rsid w:val="41C91B44"/>
    <w:rsid w:val="41D23439"/>
    <w:rsid w:val="41DFAF2B"/>
    <w:rsid w:val="41EDA06E"/>
    <w:rsid w:val="41EF30EE"/>
    <w:rsid w:val="41F6EB76"/>
    <w:rsid w:val="4211F996"/>
    <w:rsid w:val="4215C00A"/>
    <w:rsid w:val="4232DFF7"/>
    <w:rsid w:val="42350A24"/>
    <w:rsid w:val="42365FA9"/>
    <w:rsid w:val="423FA7AA"/>
    <w:rsid w:val="424903A7"/>
    <w:rsid w:val="425F010F"/>
    <w:rsid w:val="428A8E8D"/>
    <w:rsid w:val="428C6871"/>
    <w:rsid w:val="42ABB8E0"/>
    <w:rsid w:val="42AEE977"/>
    <w:rsid w:val="42D64D01"/>
    <w:rsid w:val="42EEDB6E"/>
    <w:rsid w:val="430DDC0C"/>
    <w:rsid w:val="4318065C"/>
    <w:rsid w:val="43224A2B"/>
    <w:rsid w:val="43240CFC"/>
    <w:rsid w:val="433902A0"/>
    <w:rsid w:val="4358AD61"/>
    <w:rsid w:val="435A4C89"/>
    <w:rsid w:val="435ED66C"/>
    <w:rsid w:val="43699685"/>
    <w:rsid w:val="4372331C"/>
    <w:rsid w:val="43824236"/>
    <w:rsid w:val="438E9CD0"/>
    <w:rsid w:val="4393B35B"/>
    <w:rsid w:val="43B74016"/>
    <w:rsid w:val="43BC0CAE"/>
    <w:rsid w:val="43CFA219"/>
    <w:rsid w:val="43E76B6B"/>
    <w:rsid w:val="43EBDA08"/>
    <w:rsid w:val="43F2F0C2"/>
    <w:rsid w:val="44259315"/>
    <w:rsid w:val="442BCEB0"/>
    <w:rsid w:val="442CF052"/>
    <w:rsid w:val="445EB1CA"/>
    <w:rsid w:val="4462A1D6"/>
    <w:rsid w:val="446881E9"/>
    <w:rsid w:val="447CF09A"/>
    <w:rsid w:val="44904105"/>
    <w:rsid w:val="44932E4C"/>
    <w:rsid w:val="44A594B4"/>
    <w:rsid w:val="44AE0C0E"/>
    <w:rsid w:val="44B81F99"/>
    <w:rsid w:val="44C51B80"/>
    <w:rsid w:val="44CEC5F8"/>
    <w:rsid w:val="44F0FF65"/>
    <w:rsid w:val="451D4A84"/>
    <w:rsid w:val="4520376B"/>
    <w:rsid w:val="45549B26"/>
    <w:rsid w:val="45560478"/>
    <w:rsid w:val="455964E1"/>
    <w:rsid w:val="4563BEF9"/>
    <w:rsid w:val="45717962"/>
    <w:rsid w:val="45C6C31B"/>
    <w:rsid w:val="45DACF3A"/>
    <w:rsid w:val="45DEB953"/>
    <w:rsid w:val="4614AA62"/>
    <w:rsid w:val="463C447D"/>
    <w:rsid w:val="464E80C0"/>
    <w:rsid w:val="465C1588"/>
    <w:rsid w:val="46714E97"/>
    <w:rsid w:val="4695ACC4"/>
    <w:rsid w:val="46CA38B8"/>
    <w:rsid w:val="46F94489"/>
    <w:rsid w:val="47006BF4"/>
    <w:rsid w:val="47020BD1"/>
    <w:rsid w:val="4717C25E"/>
    <w:rsid w:val="471FEC3C"/>
    <w:rsid w:val="475764AD"/>
    <w:rsid w:val="476731CF"/>
    <w:rsid w:val="47753332"/>
    <w:rsid w:val="477A10C8"/>
    <w:rsid w:val="47855C2D"/>
    <w:rsid w:val="47AA2DE5"/>
    <w:rsid w:val="47B1C643"/>
    <w:rsid w:val="47BED42E"/>
    <w:rsid w:val="47F4D453"/>
    <w:rsid w:val="4801322F"/>
    <w:rsid w:val="4805AD58"/>
    <w:rsid w:val="4822FBD7"/>
    <w:rsid w:val="48259548"/>
    <w:rsid w:val="483499DB"/>
    <w:rsid w:val="484A90FC"/>
    <w:rsid w:val="485E32F3"/>
    <w:rsid w:val="4867B662"/>
    <w:rsid w:val="4876EF4F"/>
    <w:rsid w:val="4886F705"/>
    <w:rsid w:val="4887FBC3"/>
    <w:rsid w:val="489C69C4"/>
    <w:rsid w:val="489DDDBF"/>
    <w:rsid w:val="48AA424C"/>
    <w:rsid w:val="48AAFA6D"/>
    <w:rsid w:val="48AF0F76"/>
    <w:rsid w:val="48B83342"/>
    <w:rsid w:val="48D5FC5E"/>
    <w:rsid w:val="48E066B0"/>
    <w:rsid w:val="48EA99EB"/>
    <w:rsid w:val="49023263"/>
    <w:rsid w:val="4905EBF4"/>
    <w:rsid w:val="490C8DCD"/>
    <w:rsid w:val="490DA88C"/>
    <w:rsid w:val="491A57EC"/>
    <w:rsid w:val="49300516"/>
    <w:rsid w:val="4934A7A8"/>
    <w:rsid w:val="496AEE7C"/>
    <w:rsid w:val="496F6028"/>
    <w:rsid w:val="49854F97"/>
    <w:rsid w:val="49904BA6"/>
    <w:rsid w:val="49950307"/>
    <w:rsid w:val="49959DFF"/>
    <w:rsid w:val="49975C5E"/>
    <w:rsid w:val="499B7D9F"/>
    <w:rsid w:val="49AED513"/>
    <w:rsid w:val="49CA9612"/>
    <w:rsid w:val="49E46F8A"/>
    <w:rsid w:val="49F91596"/>
    <w:rsid w:val="4A0C6D4B"/>
    <w:rsid w:val="4A32F0F5"/>
    <w:rsid w:val="4A398A28"/>
    <w:rsid w:val="4A479BF7"/>
    <w:rsid w:val="4A4B9FAB"/>
    <w:rsid w:val="4A52CC31"/>
    <w:rsid w:val="4A67E944"/>
    <w:rsid w:val="4A83B10A"/>
    <w:rsid w:val="4A8BD979"/>
    <w:rsid w:val="4A8E45F3"/>
    <w:rsid w:val="4AA587E4"/>
    <w:rsid w:val="4AB9BD03"/>
    <w:rsid w:val="4AC5B95F"/>
    <w:rsid w:val="4ACC7AA2"/>
    <w:rsid w:val="4ACF82B2"/>
    <w:rsid w:val="4B0C376B"/>
    <w:rsid w:val="4B174056"/>
    <w:rsid w:val="4B1C1772"/>
    <w:rsid w:val="4B1EE43E"/>
    <w:rsid w:val="4B297CF0"/>
    <w:rsid w:val="4B346813"/>
    <w:rsid w:val="4B3BC1A7"/>
    <w:rsid w:val="4B4B0CF8"/>
    <w:rsid w:val="4B5E73A2"/>
    <w:rsid w:val="4B5E9C4F"/>
    <w:rsid w:val="4B6125AC"/>
    <w:rsid w:val="4B72D4C4"/>
    <w:rsid w:val="4B9C9D89"/>
    <w:rsid w:val="4BA59D89"/>
    <w:rsid w:val="4BA78545"/>
    <w:rsid w:val="4BB7A374"/>
    <w:rsid w:val="4BBABFF6"/>
    <w:rsid w:val="4BC6515F"/>
    <w:rsid w:val="4BDDB380"/>
    <w:rsid w:val="4BF20F4F"/>
    <w:rsid w:val="4BF9B982"/>
    <w:rsid w:val="4BFAC221"/>
    <w:rsid w:val="4C02255C"/>
    <w:rsid w:val="4C15F6B9"/>
    <w:rsid w:val="4C212CCE"/>
    <w:rsid w:val="4C249D3E"/>
    <w:rsid w:val="4C3F0018"/>
    <w:rsid w:val="4C641ECA"/>
    <w:rsid w:val="4C76B423"/>
    <w:rsid w:val="4C8A85BD"/>
    <w:rsid w:val="4C92F921"/>
    <w:rsid w:val="4CA69C61"/>
    <w:rsid w:val="4CB91121"/>
    <w:rsid w:val="4CBB2D28"/>
    <w:rsid w:val="4CBE8647"/>
    <w:rsid w:val="4CBF1C80"/>
    <w:rsid w:val="4CDBA3EE"/>
    <w:rsid w:val="4CDC8AF7"/>
    <w:rsid w:val="4CF75668"/>
    <w:rsid w:val="4D0E23BB"/>
    <w:rsid w:val="4D222583"/>
    <w:rsid w:val="4D470C65"/>
    <w:rsid w:val="4D4F31F4"/>
    <w:rsid w:val="4D5AC0F4"/>
    <w:rsid w:val="4D6B38C4"/>
    <w:rsid w:val="4D824323"/>
    <w:rsid w:val="4D8DDFD0"/>
    <w:rsid w:val="4D963271"/>
    <w:rsid w:val="4DA70B2C"/>
    <w:rsid w:val="4DAA9933"/>
    <w:rsid w:val="4DB8F71A"/>
    <w:rsid w:val="4DD29108"/>
    <w:rsid w:val="4DE6544A"/>
    <w:rsid w:val="4DE9EFFC"/>
    <w:rsid w:val="4E12534A"/>
    <w:rsid w:val="4E47E43E"/>
    <w:rsid w:val="4E549D03"/>
    <w:rsid w:val="4EAB8973"/>
    <w:rsid w:val="4EBFECEF"/>
    <w:rsid w:val="4F0A14C1"/>
    <w:rsid w:val="4F175D91"/>
    <w:rsid w:val="4F27D1ED"/>
    <w:rsid w:val="4F3046A3"/>
    <w:rsid w:val="4F4B177B"/>
    <w:rsid w:val="4F564133"/>
    <w:rsid w:val="4F76256E"/>
    <w:rsid w:val="4F83D2EF"/>
    <w:rsid w:val="4F939EF3"/>
    <w:rsid w:val="4FADDCAB"/>
    <w:rsid w:val="4FE78D9F"/>
    <w:rsid w:val="4FE888CA"/>
    <w:rsid w:val="4FEB83BB"/>
    <w:rsid w:val="4FF2C8F4"/>
    <w:rsid w:val="50045718"/>
    <w:rsid w:val="5006E283"/>
    <w:rsid w:val="5018CD48"/>
    <w:rsid w:val="501C0896"/>
    <w:rsid w:val="501C5F84"/>
    <w:rsid w:val="5038681E"/>
    <w:rsid w:val="504431A6"/>
    <w:rsid w:val="50585952"/>
    <w:rsid w:val="5059F96E"/>
    <w:rsid w:val="5073F6F1"/>
    <w:rsid w:val="50859BAC"/>
    <w:rsid w:val="50C19F59"/>
    <w:rsid w:val="50CCFA5D"/>
    <w:rsid w:val="50D7CE67"/>
    <w:rsid w:val="50F18670"/>
    <w:rsid w:val="50F506D7"/>
    <w:rsid w:val="50FA03EF"/>
    <w:rsid w:val="50FB19B6"/>
    <w:rsid w:val="50FB3D1C"/>
    <w:rsid w:val="5101E10A"/>
    <w:rsid w:val="51054773"/>
    <w:rsid w:val="51066D50"/>
    <w:rsid w:val="510FF814"/>
    <w:rsid w:val="51121DA2"/>
    <w:rsid w:val="51250B2D"/>
    <w:rsid w:val="515E51F3"/>
    <w:rsid w:val="5160DE1A"/>
    <w:rsid w:val="51746D65"/>
    <w:rsid w:val="517B59CD"/>
    <w:rsid w:val="517F9752"/>
    <w:rsid w:val="51835043"/>
    <w:rsid w:val="5197BEA7"/>
    <w:rsid w:val="51985499"/>
    <w:rsid w:val="51AB3FD3"/>
    <w:rsid w:val="51CE5178"/>
    <w:rsid w:val="51DE604B"/>
    <w:rsid w:val="51F5253A"/>
    <w:rsid w:val="51FD0212"/>
    <w:rsid w:val="51FFA11E"/>
    <w:rsid w:val="5217002F"/>
    <w:rsid w:val="5217B29B"/>
    <w:rsid w:val="521A82F2"/>
    <w:rsid w:val="521DBDD7"/>
    <w:rsid w:val="521EB84B"/>
    <w:rsid w:val="5241BB71"/>
    <w:rsid w:val="527B624E"/>
    <w:rsid w:val="52820CCC"/>
    <w:rsid w:val="5298F64A"/>
    <w:rsid w:val="529E0BB1"/>
    <w:rsid w:val="52B3355E"/>
    <w:rsid w:val="52CDE766"/>
    <w:rsid w:val="52DC843E"/>
    <w:rsid w:val="52E46F78"/>
    <w:rsid w:val="52EBDCFA"/>
    <w:rsid w:val="52EEB6E2"/>
    <w:rsid w:val="52EEF157"/>
    <w:rsid w:val="52FBBB4A"/>
    <w:rsid w:val="52FEF945"/>
    <w:rsid w:val="530A5B45"/>
    <w:rsid w:val="5326D43B"/>
    <w:rsid w:val="53307FBE"/>
    <w:rsid w:val="53340175"/>
    <w:rsid w:val="5346A030"/>
    <w:rsid w:val="5347041D"/>
    <w:rsid w:val="535C5F62"/>
    <w:rsid w:val="536CE00B"/>
    <w:rsid w:val="536DF829"/>
    <w:rsid w:val="5387EDBC"/>
    <w:rsid w:val="5392DB42"/>
    <w:rsid w:val="53981BB9"/>
    <w:rsid w:val="53B60F7E"/>
    <w:rsid w:val="53C3AF76"/>
    <w:rsid w:val="53D9B01A"/>
    <w:rsid w:val="53DC6114"/>
    <w:rsid w:val="53F5FDF5"/>
    <w:rsid w:val="54069A9B"/>
    <w:rsid w:val="54165BC2"/>
    <w:rsid w:val="541740A6"/>
    <w:rsid w:val="5434B98E"/>
    <w:rsid w:val="54583590"/>
    <w:rsid w:val="545B816A"/>
    <w:rsid w:val="546CC81B"/>
    <w:rsid w:val="54826873"/>
    <w:rsid w:val="548634D2"/>
    <w:rsid w:val="54B71A7B"/>
    <w:rsid w:val="54E650C8"/>
    <w:rsid w:val="54F6C3F9"/>
    <w:rsid w:val="54FDE7BD"/>
    <w:rsid w:val="55115303"/>
    <w:rsid w:val="55190992"/>
    <w:rsid w:val="55268EEE"/>
    <w:rsid w:val="552838C1"/>
    <w:rsid w:val="55413CAA"/>
    <w:rsid w:val="554C5B4B"/>
    <w:rsid w:val="556A11F0"/>
    <w:rsid w:val="556E4C22"/>
    <w:rsid w:val="557DF5C9"/>
    <w:rsid w:val="557F2DB5"/>
    <w:rsid w:val="5590EA7A"/>
    <w:rsid w:val="55A1A170"/>
    <w:rsid w:val="55A99D8B"/>
    <w:rsid w:val="55B0FD4F"/>
    <w:rsid w:val="55CAD65A"/>
    <w:rsid w:val="55CDA54E"/>
    <w:rsid w:val="55F3533B"/>
    <w:rsid w:val="55F4CAA1"/>
    <w:rsid w:val="55FE3203"/>
    <w:rsid w:val="56180080"/>
    <w:rsid w:val="56545F39"/>
    <w:rsid w:val="568A72F1"/>
    <w:rsid w:val="568E31C8"/>
    <w:rsid w:val="569039C2"/>
    <w:rsid w:val="569B7218"/>
    <w:rsid w:val="56BF8A94"/>
    <w:rsid w:val="56C60915"/>
    <w:rsid w:val="57012848"/>
    <w:rsid w:val="570EDD86"/>
    <w:rsid w:val="57105A0A"/>
    <w:rsid w:val="573A386B"/>
    <w:rsid w:val="5753FEB9"/>
    <w:rsid w:val="575AF1EB"/>
    <w:rsid w:val="576CEAB0"/>
    <w:rsid w:val="5795A562"/>
    <w:rsid w:val="57B52BEC"/>
    <w:rsid w:val="57D1B2CC"/>
    <w:rsid w:val="57D81713"/>
    <w:rsid w:val="57DEF1DD"/>
    <w:rsid w:val="57E2C353"/>
    <w:rsid w:val="57E5D9AE"/>
    <w:rsid w:val="57EC000F"/>
    <w:rsid w:val="57EE499E"/>
    <w:rsid w:val="580090C0"/>
    <w:rsid w:val="58022533"/>
    <w:rsid w:val="5815BCF3"/>
    <w:rsid w:val="5823F5E5"/>
    <w:rsid w:val="5831D46C"/>
    <w:rsid w:val="584BF126"/>
    <w:rsid w:val="585C3AE4"/>
    <w:rsid w:val="586AC3F4"/>
    <w:rsid w:val="5891842B"/>
    <w:rsid w:val="5896CB5A"/>
    <w:rsid w:val="58A5F3C4"/>
    <w:rsid w:val="58B2202F"/>
    <w:rsid w:val="58DD2708"/>
    <w:rsid w:val="58EF01FB"/>
    <w:rsid w:val="58F5633A"/>
    <w:rsid w:val="590EC0C5"/>
    <w:rsid w:val="5925517A"/>
    <w:rsid w:val="59522BC6"/>
    <w:rsid w:val="5955B26C"/>
    <w:rsid w:val="5956F5E1"/>
    <w:rsid w:val="595A543C"/>
    <w:rsid w:val="595C7041"/>
    <w:rsid w:val="595DD95B"/>
    <w:rsid w:val="5973952C"/>
    <w:rsid w:val="5982B7F3"/>
    <w:rsid w:val="59832323"/>
    <w:rsid w:val="59AB90BA"/>
    <w:rsid w:val="59ABE220"/>
    <w:rsid w:val="59AE501C"/>
    <w:rsid w:val="59CD130A"/>
    <w:rsid w:val="59D9EFF8"/>
    <w:rsid w:val="59E88C59"/>
    <w:rsid w:val="59EE3DB9"/>
    <w:rsid w:val="59F0FD79"/>
    <w:rsid w:val="5A0426BC"/>
    <w:rsid w:val="5A14F420"/>
    <w:rsid w:val="5A17F12E"/>
    <w:rsid w:val="5A24A759"/>
    <w:rsid w:val="5A4624AF"/>
    <w:rsid w:val="5A48DC3D"/>
    <w:rsid w:val="5A53A13F"/>
    <w:rsid w:val="5A54CD86"/>
    <w:rsid w:val="5A6D5C52"/>
    <w:rsid w:val="5A78B598"/>
    <w:rsid w:val="5A8F3B67"/>
    <w:rsid w:val="5A9314E3"/>
    <w:rsid w:val="5A9DE41A"/>
    <w:rsid w:val="5AAAEC40"/>
    <w:rsid w:val="5AB3AF39"/>
    <w:rsid w:val="5AD2968C"/>
    <w:rsid w:val="5ADD1D37"/>
    <w:rsid w:val="5AF5FCF2"/>
    <w:rsid w:val="5B0104EC"/>
    <w:rsid w:val="5B09138A"/>
    <w:rsid w:val="5B140E8A"/>
    <w:rsid w:val="5B1FAE55"/>
    <w:rsid w:val="5B2E4F60"/>
    <w:rsid w:val="5B312747"/>
    <w:rsid w:val="5B35A9CC"/>
    <w:rsid w:val="5B37B48D"/>
    <w:rsid w:val="5B3EB34A"/>
    <w:rsid w:val="5B3FE3F5"/>
    <w:rsid w:val="5B575DD1"/>
    <w:rsid w:val="5B5913C7"/>
    <w:rsid w:val="5B59EEDD"/>
    <w:rsid w:val="5B67F0D6"/>
    <w:rsid w:val="5B6CC3A6"/>
    <w:rsid w:val="5B7ABFDF"/>
    <w:rsid w:val="5BB1A738"/>
    <w:rsid w:val="5BD200A4"/>
    <w:rsid w:val="5BE7ABDB"/>
    <w:rsid w:val="5BEE3E04"/>
    <w:rsid w:val="5C1F80DA"/>
    <w:rsid w:val="5C38CD1B"/>
    <w:rsid w:val="5C49DF4F"/>
    <w:rsid w:val="5C4DDB1F"/>
    <w:rsid w:val="5C5B9949"/>
    <w:rsid w:val="5C723296"/>
    <w:rsid w:val="5C8C441F"/>
    <w:rsid w:val="5C8CFFB6"/>
    <w:rsid w:val="5C94A991"/>
    <w:rsid w:val="5CAA8F6E"/>
    <w:rsid w:val="5CF19515"/>
    <w:rsid w:val="5D01AF3E"/>
    <w:rsid w:val="5D2838A0"/>
    <w:rsid w:val="5D29570F"/>
    <w:rsid w:val="5D29EBBD"/>
    <w:rsid w:val="5D2C9F22"/>
    <w:rsid w:val="5D2EC76F"/>
    <w:rsid w:val="5D390596"/>
    <w:rsid w:val="5D5CCB43"/>
    <w:rsid w:val="5D5DF9FF"/>
    <w:rsid w:val="5D601C88"/>
    <w:rsid w:val="5D75032A"/>
    <w:rsid w:val="5D7844CA"/>
    <w:rsid w:val="5D788B90"/>
    <w:rsid w:val="5D7C5A7D"/>
    <w:rsid w:val="5D7FD213"/>
    <w:rsid w:val="5D8F46A0"/>
    <w:rsid w:val="5DA7E8BE"/>
    <w:rsid w:val="5DC0DCA1"/>
    <w:rsid w:val="5DCE9E77"/>
    <w:rsid w:val="5DE0B0B4"/>
    <w:rsid w:val="5DE3DA3E"/>
    <w:rsid w:val="5DE48754"/>
    <w:rsid w:val="5DE916F9"/>
    <w:rsid w:val="5DFDED14"/>
    <w:rsid w:val="5E038660"/>
    <w:rsid w:val="5E19E70B"/>
    <w:rsid w:val="5E2E97B5"/>
    <w:rsid w:val="5E310CDC"/>
    <w:rsid w:val="5E3D4F37"/>
    <w:rsid w:val="5E475A08"/>
    <w:rsid w:val="5E4961C5"/>
    <w:rsid w:val="5E514D73"/>
    <w:rsid w:val="5E569B2D"/>
    <w:rsid w:val="5E5E6240"/>
    <w:rsid w:val="5E7E3F3B"/>
    <w:rsid w:val="5E809153"/>
    <w:rsid w:val="5EA9795A"/>
    <w:rsid w:val="5EB85CAB"/>
    <w:rsid w:val="5EC4D0C6"/>
    <w:rsid w:val="5ECC2D9B"/>
    <w:rsid w:val="5ED7025D"/>
    <w:rsid w:val="5EDAE884"/>
    <w:rsid w:val="5EE993EA"/>
    <w:rsid w:val="5F30DF71"/>
    <w:rsid w:val="5F43C4A0"/>
    <w:rsid w:val="5F4688AA"/>
    <w:rsid w:val="5F4A23F1"/>
    <w:rsid w:val="5F653C0A"/>
    <w:rsid w:val="5F733BF2"/>
    <w:rsid w:val="5F779561"/>
    <w:rsid w:val="5F79177D"/>
    <w:rsid w:val="5F934BD9"/>
    <w:rsid w:val="5FB77E30"/>
    <w:rsid w:val="5FC013C4"/>
    <w:rsid w:val="60129C57"/>
    <w:rsid w:val="6022A31D"/>
    <w:rsid w:val="602559EA"/>
    <w:rsid w:val="60301718"/>
    <w:rsid w:val="60361C7B"/>
    <w:rsid w:val="6057B63B"/>
    <w:rsid w:val="609F8511"/>
    <w:rsid w:val="60A24068"/>
    <w:rsid w:val="60A99725"/>
    <w:rsid w:val="60EFC682"/>
    <w:rsid w:val="60F38E26"/>
    <w:rsid w:val="60FA376E"/>
    <w:rsid w:val="611B67B2"/>
    <w:rsid w:val="613F4FC8"/>
    <w:rsid w:val="615ADE87"/>
    <w:rsid w:val="617FC353"/>
    <w:rsid w:val="61809EAE"/>
    <w:rsid w:val="6192D050"/>
    <w:rsid w:val="61BF5DEC"/>
    <w:rsid w:val="61C192CE"/>
    <w:rsid w:val="61CC91D7"/>
    <w:rsid w:val="61CDCDE0"/>
    <w:rsid w:val="61EF062E"/>
    <w:rsid w:val="61F9B2B3"/>
    <w:rsid w:val="61FB3F99"/>
    <w:rsid w:val="61FE9196"/>
    <w:rsid w:val="6218C114"/>
    <w:rsid w:val="6222A9B8"/>
    <w:rsid w:val="62319741"/>
    <w:rsid w:val="62321C02"/>
    <w:rsid w:val="623A248F"/>
    <w:rsid w:val="623D6D5A"/>
    <w:rsid w:val="624D3BBA"/>
    <w:rsid w:val="62567D53"/>
    <w:rsid w:val="625990CE"/>
    <w:rsid w:val="62729C6D"/>
    <w:rsid w:val="627A98C3"/>
    <w:rsid w:val="62927FC0"/>
    <w:rsid w:val="6296B156"/>
    <w:rsid w:val="6296F1BB"/>
    <w:rsid w:val="629F1920"/>
    <w:rsid w:val="629FA9A8"/>
    <w:rsid w:val="629FF5C9"/>
    <w:rsid w:val="62C765D5"/>
    <w:rsid w:val="62CC3232"/>
    <w:rsid w:val="62D068B2"/>
    <w:rsid w:val="62E210E0"/>
    <w:rsid w:val="6308F536"/>
    <w:rsid w:val="63187048"/>
    <w:rsid w:val="631DAC94"/>
    <w:rsid w:val="633A6D10"/>
    <w:rsid w:val="634BFF07"/>
    <w:rsid w:val="6351C58A"/>
    <w:rsid w:val="6353F4FD"/>
    <w:rsid w:val="635E6043"/>
    <w:rsid w:val="636FF0D9"/>
    <w:rsid w:val="63A4D4AE"/>
    <w:rsid w:val="63B19D59"/>
    <w:rsid w:val="63B51734"/>
    <w:rsid w:val="63E6586A"/>
    <w:rsid w:val="63EA118F"/>
    <w:rsid w:val="6403F00A"/>
    <w:rsid w:val="64060B9E"/>
    <w:rsid w:val="64117217"/>
    <w:rsid w:val="641924D5"/>
    <w:rsid w:val="64505C88"/>
    <w:rsid w:val="645F4419"/>
    <w:rsid w:val="64698EBA"/>
    <w:rsid w:val="647E7023"/>
    <w:rsid w:val="647F5EC0"/>
    <w:rsid w:val="6486922E"/>
    <w:rsid w:val="64905C6E"/>
    <w:rsid w:val="649E2A52"/>
    <w:rsid w:val="64AC6C8A"/>
    <w:rsid w:val="64E0CC5C"/>
    <w:rsid w:val="64F7DDCD"/>
    <w:rsid w:val="650B6CE1"/>
    <w:rsid w:val="656B212E"/>
    <w:rsid w:val="65829AE1"/>
    <w:rsid w:val="65920A04"/>
    <w:rsid w:val="65A4D3A2"/>
    <w:rsid w:val="65C02F4C"/>
    <w:rsid w:val="65D689C2"/>
    <w:rsid w:val="65E306DB"/>
    <w:rsid w:val="65ECEBD6"/>
    <w:rsid w:val="6607D462"/>
    <w:rsid w:val="663B6A52"/>
    <w:rsid w:val="6642E688"/>
    <w:rsid w:val="6660E52B"/>
    <w:rsid w:val="6662C097"/>
    <w:rsid w:val="666439AA"/>
    <w:rsid w:val="6664ACDB"/>
    <w:rsid w:val="666B77F8"/>
    <w:rsid w:val="666C1DA8"/>
    <w:rsid w:val="666D71E1"/>
    <w:rsid w:val="667D7834"/>
    <w:rsid w:val="66A5FE99"/>
    <w:rsid w:val="66ACF080"/>
    <w:rsid w:val="66BCEBDC"/>
    <w:rsid w:val="66DA74D5"/>
    <w:rsid w:val="66E9C32C"/>
    <w:rsid w:val="670304D8"/>
    <w:rsid w:val="673399F2"/>
    <w:rsid w:val="67484D72"/>
    <w:rsid w:val="6749D7D9"/>
    <w:rsid w:val="6749F9AF"/>
    <w:rsid w:val="675A06C0"/>
    <w:rsid w:val="677B7352"/>
    <w:rsid w:val="6785DD13"/>
    <w:rsid w:val="67A7736A"/>
    <w:rsid w:val="67BBFD3A"/>
    <w:rsid w:val="67DDED24"/>
    <w:rsid w:val="6800B562"/>
    <w:rsid w:val="6802D2FC"/>
    <w:rsid w:val="680B2223"/>
    <w:rsid w:val="68194782"/>
    <w:rsid w:val="68594A33"/>
    <w:rsid w:val="68758460"/>
    <w:rsid w:val="687877C0"/>
    <w:rsid w:val="689319FF"/>
    <w:rsid w:val="68B168A8"/>
    <w:rsid w:val="68C643A5"/>
    <w:rsid w:val="68C99CF7"/>
    <w:rsid w:val="68DDEF11"/>
    <w:rsid w:val="6900018D"/>
    <w:rsid w:val="6900D3BD"/>
    <w:rsid w:val="6933D19E"/>
    <w:rsid w:val="693D573C"/>
    <w:rsid w:val="693E559B"/>
    <w:rsid w:val="694F0662"/>
    <w:rsid w:val="6952411B"/>
    <w:rsid w:val="6965A515"/>
    <w:rsid w:val="697030C5"/>
    <w:rsid w:val="697CCC56"/>
    <w:rsid w:val="6980806E"/>
    <w:rsid w:val="69812434"/>
    <w:rsid w:val="69897DD7"/>
    <w:rsid w:val="6991E256"/>
    <w:rsid w:val="69BB4C0A"/>
    <w:rsid w:val="69C985BC"/>
    <w:rsid w:val="69D28B9B"/>
    <w:rsid w:val="69E70851"/>
    <w:rsid w:val="69E779C3"/>
    <w:rsid w:val="69F475DB"/>
    <w:rsid w:val="69F8061D"/>
    <w:rsid w:val="69FB3FF4"/>
    <w:rsid w:val="6A02177E"/>
    <w:rsid w:val="6A398200"/>
    <w:rsid w:val="6A3E187F"/>
    <w:rsid w:val="6A547A44"/>
    <w:rsid w:val="6A6AF236"/>
    <w:rsid w:val="6A9A3FAD"/>
    <w:rsid w:val="6A9C78F9"/>
    <w:rsid w:val="6AA762BC"/>
    <w:rsid w:val="6AA8441D"/>
    <w:rsid w:val="6ABA2775"/>
    <w:rsid w:val="6AE22401"/>
    <w:rsid w:val="6AEAB732"/>
    <w:rsid w:val="6AEC50AF"/>
    <w:rsid w:val="6AF62458"/>
    <w:rsid w:val="6AF87E39"/>
    <w:rsid w:val="6B0DAECB"/>
    <w:rsid w:val="6B128332"/>
    <w:rsid w:val="6B13A440"/>
    <w:rsid w:val="6B2DCE88"/>
    <w:rsid w:val="6B316207"/>
    <w:rsid w:val="6B3E3758"/>
    <w:rsid w:val="6B4817F6"/>
    <w:rsid w:val="6B50181C"/>
    <w:rsid w:val="6B57634A"/>
    <w:rsid w:val="6B722B4A"/>
    <w:rsid w:val="6B79D646"/>
    <w:rsid w:val="6B9C5B27"/>
    <w:rsid w:val="6BC6CF97"/>
    <w:rsid w:val="6BD669DA"/>
    <w:rsid w:val="6BFCC742"/>
    <w:rsid w:val="6C04A93C"/>
    <w:rsid w:val="6C254E10"/>
    <w:rsid w:val="6C446871"/>
    <w:rsid w:val="6C70F84A"/>
    <w:rsid w:val="6C854CBB"/>
    <w:rsid w:val="6C8BC85C"/>
    <w:rsid w:val="6C8E0281"/>
    <w:rsid w:val="6CB1614B"/>
    <w:rsid w:val="6CBDAE18"/>
    <w:rsid w:val="6CC3CCB3"/>
    <w:rsid w:val="6CC56287"/>
    <w:rsid w:val="6CCC2686"/>
    <w:rsid w:val="6CD595B9"/>
    <w:rsid w:val="6CDFAB13"/>
    <w:rsid w:val="6CE2B655"/>
    <w:rsid w:val="6CE3C6B7"/>
    <w:rsid w:val="6CF19644"/>
    <w:rsid w:val="6D013561"/>
    <w:rsid w:val="6D029CE1"/>
    <w:rsid w:val="6D0E19AD"/>
    <w:rsid w:val="6D264E46"/>
    <w:rsid w:val="6D7C49C2"/>
    <w:rsid w:val="6D819B9C"/>
    <w:rsid w:val="6DA07D53"/>
    <w:rsid w:val="6DA24EA7"/>
    <w:rsid w:val="6DB771A0"/>
    <w:rsid w:val="6DC05F15"/>
    <w:rsid w:val="6DD84E33"/>
    <w:rsid w:val="6DECD0EB"/>
    <w:rsid w:val="6E07911B"/>
    <w:rsid w:val="6E0B0369"/>
    <w:rsid w:val="6E0F144B"/>
    <w:rsid w:val="6E12F719"/>
    <w:rsid w:val="6E25AB40"/>
    <w:rsid w:val="6E26C63E"/>
    <w:rsid w:val="6E2C5451"/>
    <w:rsid w:val="6E2CA92D"/>
    <w:rsid w:val="6E2DB590"/>
    <w:rsid w:val="6E47EFAD"/>
    <w:rsid w:val="6E620172"/>
    <w:rsid w:val="6E6E2171"/>
    <w:rsid w:val="6E7F2A08"/>
    <w:rsid w:val="6E854EBA"/>
    <w:rsid w:val="6E871890"/>
    <w:rsid w:val="6E8B76C5"/>
    <w:rsid w:val="6E99AB32"/>
    <w:rsid w:val="6EB4B5FC"/>
    <w:rsid w:val="6EBB30E5"/>
    <w:rsid w:val="6EBEEED1"/>
    <w:rsid w:val="6ED3FB15"/>
    <w:rsid w:val="6EF345A0"/>
    <w:rsid w:val="6EF9539A"/>
    <w:rsid w:val="6F0100CF"/>
    <w:rsid w:val="6F2B7BF3"/>
    <w:rsid w:val="6F2DF1CB"/>
    <w:rsid w:val="6F47024E"/>
    <w:rsid w:val="6F5F7EE0"/>
    <w:rsid w:val="6F888F8A"/>
    <w:rsid w:val="6F8F1288"/>
    <w:rsid w:val="6F9B197C"/>
    <w:rsid w:val="6FA32960"/>
    <w:rsid w:val="6FA650C8"/>
    <w:rsid w:val="6FB7808D"/>
    <w:rsid w:val="6FD5153C"/>
    <w:rsid w:val="6FE306B1"/>
    <w:rsid w:val="6FF855A8"/>
    <w:rsid w:val="700AAE62"/>
    <w:rsid w:val="700AE57D"/>
    <w:rsid w:val="70174BD5"/>
    <w:rsid w:val="70324C74"/>
    <w:rsid w:val="7036AC52"/>
    <w:rsid w:val="703BE9AD"/>
    <w:rsid w:val="70803554"/>
    <w:rsid w:val="7084E800"/>
    <w:rsid w:val="709ACAF2"/>
    <w:rsid w:val="70AC65A0"/>
    <w:rsid w:val="70B00838"/>
    <w:rsid w:val="70BA67C7"/>
    <w:rsid w:val="70DE6E0E"/>
    <w:rsid w:val="70E0D195"/>
    <w:rsid w:val="70E8667E"/>
    <w:rsid w:val="70F2E43C"/>
    <w:rsid w:val="70FF27D5"/>
    <w:rsid w:val="71028F9E"/>
    <w:rsid w:val="711851BA"/>
    <w:rsid w:val="711F51C2"/>
    <w:rsid w:val="71224650"/>
    <w:rsid w:val="712D157A"/>
    <w:rsid w:val="714ECDF9"/>
    <w:rsid w:val="7157F0F4"/>
    <w:rsid w:val="715A577D"/>
    <w:rsid w:val="715FBB88"/>
    <w:rsid w:val="716A3B3F"/>
    <w:rsid w:val="717A2627"/>
    <w:rsid w:val="718A0302"/>
    <w:rsid w:val="71993BAF"/>
    <w:rsid w:val="71A072D5"/>
    <w:rsid w:val="71A452C5"/>
    <w:rsid w:val="71A56B53"/>
    <w:rsid w:val="71A5B4E1"/>
    <w:rsid w:val="71A6E6DF"/>
    <w:rsid w:val="71A75151"/>
    <w:rsid w:val="71A7647B"/>
    <w:rsid w:val="71A95FE9"/>
    <w:rsid w:val="71E64641"/>
    <w:rsid w:val="71FC0408"/>
    <w:rsid w:val="721EC2C1"/>
    <w:rsid w:val="72348112"/>
    <w:rsid w:val="7237AFD1"/>
    <w:rsid w:val="72557487"/>
    <w:rsid w:val="725C7CB2"/>
    <w:rsid w:val="72770A0C"/>
    <w:rsid w:val="727E2B7D"/>
    <w:rsid w:val="727F1B54"/>
    <w:rsid w:val="72954766"/>
    <w:rsid w:val="729E93BB"/>
    <w:rsid w:val="72B8FC02"/>
    <w:rsid w:val="72C368A0"/>
    <w:rsid w:val="72D32805"/>
    <w:rsid w:val="72D8345B"/>
    <w:rsid w:val="72E71700"/>
    <w:rsid w:val="72EF0599"/>
    <w:rsid w:val="72F83696"/>
    <w:rsid w:val="731FBFE0"/>
    <w:rsid w:val="732645B7"/>
    <w:rsid w:val="73288FEF"/>
    <w:rsid w:val="7328D07D"/>
    <w:rsid w:val="733A2D4A"/>
    <w:rsid w:val="734E3BBB"/>
    <w:rsid w:val="734F1E85"/>
    <w:rsid w:val="7362D222"/>
    <w:rsid w:val="7366F84A"/>
    <w:rsid w:val="736FE4AA"/>
    <w:rsid w:val="7371BAA5"/>
    <w:rsid w:val="7371FC81"/>
    <w:rsid w:val="73820FE6"/>
    <w:rsid w:val="73AB3A99"/>
    <w:rsid w:val="73C07673"/>
    <w:rsid w:val="73D26852"/>
    <w:rsid w:val="73E5C93F"/>
    <w:rsid w:val="73E83B08"/>
    <w:rsid w:val="7428D5AA"/>
    <w:rsid w:val="74333995"/>
    <w:rsid w:val="7434AA91"/>
    <w:rsid w:val="7454DA10"/>
    <w:rsid w:val="7462766E"/>
    <w:rsid w:val="746F9BDC"/>
    <w:rsid w:val="748BDDAF"/>
    <w:rsid w:val="749ED5A7"/>
    <w:rsid w:val="74A75CD9"/>
    <w:rsid w:val="74E18DBA"/>
    <w:rsid w:val="74EB64DB"/>
    <w:rsid w:val="74FD8A70"/>
    <w:rsid w:val="75104F6A"/>
    <w:rsid w:val="751D3E82"/>
    <w:rsid w:val="752834CF"/>
    <w:rsid w:val="752A99CB"/>
    <w:rsid w:val="752F480B"/>
    <w:rsid w:val="7544EDB9"/>
    <w:rsid w:val="7575E09D"/>
    <w:rsid w:val="75936531"/>
    <w:rsid w:val="75A92B9B"/>
    <w:rsid w:val="75AB2F3D"/>
    <w:rsid w:val="75BCEAAA"/>
    <w:rsid w:val="75CADAD3"/>
    <w:rsid w:val="75CD2EE3"/>
    <w:rsid w:val="75ECF942"/>
    <w:rsid w:val="76031593"/>
    <w:rsid w:val="761193B9"/>
    <w:rsid w:val="761346F3"/>
    <w:rsid w:val="761D555B"/>
    <w:rsid w:val="76309A16"/>
    <w:rsid w:val="7636703D"/>
    <w:rsid w:val="76402D7E"/>
    <w:rsid w:val="764CE8CA"/>
    <w:rsid w:val="76501418"/>
    <w:rsid w:val="767213F9"/>
    <w:rsid w:val="769F6832"/>
    <w:rsid w:val="76AD23F9"/>
    <w:rsid w:val="76B1C886"/>
    <w:rsid w:val="76C9C4F1"/>
    <w:rsid w:val="76CCC882"/>
    <w:rsid w:val="77368977"/>
    <w:rsid w:val="77372535"/>
    <w:rsid w:val="77396B2F"/>
    <w:rsid w:val="7746BBF5"/>
    <w:rsid w:val="77599336"/>
    <w:rsid w:val="775D6337"/>
    <w:rsid w:val="77610BAE"/>
    <w:rsid w:val="7773F9F5"/>
    <w:rsid w:val="777D941A"/>
    <w:rsid w:val="7799AA8E"/>
    <w:rsid w:val="779C079E"/>
    <w:rsid w:val="779C781A"/>
    <w:rsid w:val="77ADEE55"/>
    <w:rsid w:val="77C6FC78"/>
    <w:rsid w:val="77CADB52"/>
    <w:rsid w:val="77E61FB0"/>
    <w:rsid w:val="780B01F3"/>
    <w:rsid w:val="781CF0C0"/>
    <w:rsid w:val="783C2072"/>
    <w:rsid w:val="78568DDD"/>
    <w:rsid w:val="7863EFA8"/>
    <w:rsid w:val="7864C143"/>
    <w:rsid w:val="786B9FD6"/>
    <w:rsid w:val="7871B80B"/>
    <w:rsid w:val="78727456"/>
    <w:rsid w:val="78B0053B"/>
    <w:rsid w:val="78BDEE7A"/>
    <w:rsid w:val="78CFC4C7"/>
    <w:rsid w:val="78F3C037"/>
    <w:rsid w:val="78FA1836"/>
    <w:rsid w:val="78FA758A"/>
    <w:rsid w:val="790D29BE"/>
    <w:rsid w:val="7911D7D5"/>
    <w:rsid w:val="7949289D"/>
    <w:rsid w:val="796B0EA6"/>
    <w:rsid w:val="79C358CC"/>
    <w:rsid w:val="79C70A15"/>
    <w:rsid w:val="79EEFE4E"/>
    <w:rsid w:val="7A127D82"/>
    <w:rsid w:val="7A132705"/>
    <w:rsid w:val="7A19C851"/>
    <w:rsid w:val="7A1D4D75"/>
    <w:rsid w:val="7A7513BF"/>
    <w:rsid w:val="7A829288"/>
    <w:rsid w:val="7ABDA96E"/>
    <w:rsid w:val="7AC83A3C"/>
    <w:rsid w:val="7ADA6551"/>
    <w:rsid w:val="7B03BAED"/>
    <w:rsid w:val="7B1CF463"/>
    <w:rsid w:val="7B1FC965"/>
    <w:rsid w:val="7B29CF5E"/>
    <w:rsid w:val="7B30D63B"/>
    <w:rsid w:val="7B3AC2BD"/>
    <w:rsid w:val="7B5A274E"/>
    <w:rsid w:val="7B701FA2"/>
    <w:rsid w:val="7B7FED20"/>
    <w:rsid w:val="7B902378"/>
    <w:rsid w:val="7B99CED1"/>
    <w:rsid w:val="7BA6F8AF"/>
    <w:rsid w:val="7BC1F915"/>
    <w:rsid w:val="7BD933B9"/>
    <w:rsid w:val="7BDE270E"/>
    <w:rsid w:val="7BE35EC0"/>
    <w:rsid w:val="7BFA20BA"/>
    <w:rsid w:val="7C0115A7"/>
    <w:rsid w:val="7C0C3514"/>
    <w:rsid w:val="7C33C22A"/>
    <w:rsid w:val="7C64747A"/>
    <w:rsid w:val="7C668DBF"/>
    <w:rsid w:val="7C7A9250"/>
    <w:rsid w:val="7CB38275"/>
    <w:rsid w:val="7CBB2876"/>
    <w:rsid w:val="7CBBFF9F"/>
    <w:rsid w:val="7CBC961E"/>
    <w:rsid w:val="7CD825E6"/>
    <w:rsid w:val="7D06C8C8"/>
    <w:rsid w:val="7D074137"/>
    <w:rsid w:val="7D0BAD4D"/>
    <w:rsid w:val="7D1510D5"/>
    <w:rsid w:val="7D156EE9"/>
    <w:rsid w:val="7D407964"/>
    <w:rsid w:val="7D416594"/>
    <w:rsid w:val="7D4F8D60"/>
    <w:rsid w:val="7D65E802"/>
    <w:rsid w:val="7D706C92"/>
    <w:rsid w:val="7D7483A5"/>
    <w:rsid w:val="7D8DD6F4"/>
    <w:rsid w:val="7D95EE33"/>
    <w:rsid w:val="7DA51669"/>
    <w:rsid w:val="7DA9448C"/>
    <w:rsid w:val="7DAC2217"/>
    <w:rsid w:val="7DCE21A3"/>
    <w:rsid w:val="7DCE99C9"/>
    <w:rsid w:val="7DD77341"/>
    <w:rsid w:val="7DD886C2"/>
    <w:rsid w:val="7DF7EDB8"/>
    <w:rsid w:val="7E039220"/>
    <w:rsid w:val="7E0BE529"/>
    <w:rsid w:val="7E139A62"/>
    <w:rsid w:val="7E1D5C79"/>
    <w:rsid w:val="7E2100BC"/>
    <w:rsid w:val="7E42344C"/>
    <w:rsid w:val="7E58870A"/>
    <w:rsid w:val="7E58EA45"/>
    <w:rsid w:val="7E61757B"/>
    <w:rsid w:val="7E85521E"/>
    <w:rsid w:val="7EA66F0A"/>
    <w:rsid w:val="7EB053C4"/>
    <w:rsid w:val="7EBBE355"/>
    <w:rsid w:val="7EC4CC16"/>
    <w:rsid w:val="7EC5D2C1"/>
    <w:rsid w:val="7ED36410"/>
    <w:rsid w:val="7EDBB98F"/>
    <w:rsid w:val="7EEDED0D"/>
    <w:rsid w:val="7EF3490D"/>
    <w:rsid w:val="7F2EAA35"/>
    <w:rsid w:val="7F39A584"/>
    <w:rsid w:val="7F4F2ACE"/>
    <w:rsid w:val="7F905580"/>
    <w:rsid w:val="7F908B8C"/>
    <w:rsid w:val="7FAC80F1"/>
    <w:rsid w:val="7FB495C7"/>
    <w:rsid w:val="7FC47233"/>
    <w:rsid w:val="7FE33686"/>
    <w:rsid w:val="7FE7F540"/>
    <w:rsid w:val="7FFD32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09F6FB"/>
  <w15:docId w15:val="{9779D49F-0AE0-4C11-9E43-CA577804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F6E"/>
    <w:pPr>
      <w:suppressAutoHyphens/>
      <w:spacing w:line="240" w:lineRule="exact"/>
    </w:pPr>
    <w:rPr>
      <w:spacing w:val="4"/>
      <w:w w:val="103"/>
      <w:kern w:val="14"/>
      <w:lang w:val="en-GB"/>
    </w:rPr>
  </w:style>
  <w:style w:type="paragraph" w:styleId="Heading1">
    <w:name w:val="heading 1"/>
    <w:basedOn w:val="Normal"/>
    <w:next w:val="Normal"/>
    <w:link w:val="Heading1Char"/>
    <w:qFormat/>
    <w:rsid w:val="00321C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semiHidden/>
    <w:unhideWhenUsed/>
    <w:qFormat/>
    <w:rsid w:val="00E605A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605A4"/>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E605A4"/>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link w:val="H23Char"/>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link w:val="SingleTxtChar"/>
    <w:qFormat/>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rsid w:val="00546F5D"/>
    <w:rPr>
      <w:sz w:val="6"/>
    </w:rPr>
  </w:style>
  <w:style w:type="character" w:styleId="FootnoteReference">
    <w:name w:val="footnote reference"/>
    <w:aliases w:val="ftref,Carattere Char1,Carattere Char Char Carattere Carattere Char Char, Carattere Char1, Carattere Char Char Carattere Carattere Char Char,16 Point,Superscript 6 Point,fr,referencia nota al pie,Ref. de nota al pie2,BVI fnr,heading1"/>
    <w:link w:val="BVIfnrCarCar"/>
    <w:uiPriority w:val="99"/>
    <w:qFormat/>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Footnote Text Char1,Footnote Text Char2,Footnote Text Char1 Char1,Footnote Text Char Char Char1,Footnote Text Char1 Char Char,Footnote Text Char Char Char Char,Footnote Text Char Char1 Char,Footnote Text Char Char2,ft,single space,Char,f"/>
    <w:basedOn w:val="Normal"/>
    <w:link w:val="FootnoteTextChar"/>
    <w:uiPriority w:val="99"/>
    <w:qFormat/>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link w:val="FooterChar"/>
    <w:uiPriority w:val="99"/>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link w:val="PlainTextChar"/>
    <w:uiPriority w:val="99"/>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uiPriority w:val="99"/>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aliases w:val=" Char"/>
    <w:basedOn w:val="Normal"/>
    <w:link w:val="CommentTextChar"/>
    <w:uiPriority w:val="99"/>
    <w:rsid w:val="00943B33"/>
    <w:pPr>
      <w:spacing w:line="240" w:lineRule="auto"/>
    </w:pPr>
  </w:style>
  <w:style w:type="character" w:customStyle="1" w:styleId="CommentTextChar">
    <w:name w:val="Comment Text Char"/>
    <w:aliases w:val=" Char Char"/>
    <w:basedOn w:val="DefaultParagraphFont"/>
    <w:link w:val="CommentText"/>
    <w:uiPriority w:val="99"/>
    <w:rsid w:val="00943B33"/>
    <w:rPr>
      <w:spacing w:val="4"/>
      <w:w w:val="103"/>
      <w:kern w:val="14"/>
      <w:lang w:val="en-GB"/>
    </w:rPr>
  </w:style>
  <w:style w:type="paragraph" w:styleId="CommentSubject">
    <w:name w:val="annotation subject"/>
    <w:basedOn w:val="CommentText"/>
    <w:next w:val="CommentText"/>
    <w:link w:val="CommentSubjectChar"/>
    <w:rsid w:val="00943B33"/>
    <w:rPr>
      <w:b/>
      <w:bCs/>
    </w:rPr>
  </w:style>
  <w:style w:type="character" w:customStyle="1" w:styleId="CommentSubjectChar">
    <w:name w:val="Comment Subject Char"/>
    <w:basedOn w:val="CommentTextChar"/>
    <w:link w:val="CommentSubject"/>
    <w:rsid w:val="00943B33"/>
    <w:rPr>
      <w:b/>
      <w:bCs/>
      <w:spacing w:val="4"/>
      <w:w w:val="103"/>
      <w:kern w:val="14"/>
      <w:lang w:val="en-GB"/>
    </w:rPr>
  </w:style>
  <w:style w:type="character" w:customStyle="1" w:styleId="Heading7Char">
    <w:name w:val="Heading 7 Char"/>
    <w:basedOn w:val="DefaultParagraphFont"/>
    <w:link w:val="Heading7"/>
    <w:semiHidden/>
    <w:rsid w:val="00E605A4"/>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E605A4"/>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E605A4"/>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aliases w:val="WB Para,List 100s,L,3,Paragraphe de liste1"/>
    <w:basedOn w:val="Normal"/>
    <w:uiPriority w:val="34"/>
    <w:qFormat/>
    <w:rsid w:val="00E605A4"/>
    <w:pPr>
      <w:ind w:left="720"/>
      <w:contextualSpacing/>
    </w:pPr>
  </w:style>
  <w:style w:type="character" w:styleId="FollowedHyperlink">
    <w:name w:val="FollowedHyperlink"/>
    <w:basedOn w:val="DefaultParagraphFont"/>
    <w:rsid w:val="00E605A4"/>
    <w:rPr>
      <w:color w:val="0000FF"/>
      <w:u w:val="none"/>
    </w:rPr>
  </w:style>
  <w:style w:type="paragraph" w:styleId="Revision">
    <w:name w:val="Revision"/>
    <w:hidden/>
    <w:uiPriority w:val="99"/>
    <w:semiHidden/>
    <w:rsid w:val="000C6C71"/>
    <w:rPr>
      <w:spacing w:val="4"/>
      <w:w w:val="103"/>
      <w:kern w:val="14"/>
      <w:lang w:val="en-GB"/>
    </w:rPr>
  </w:style>
  <w:style w:type="character" w:styleId="Emphasis">
    <w:name w:val="Emphasis"/>
    <w:basedOn w:val="DefaultParagraphFont"/>
    <w:uiPriority w:val="20"/>
    <w:qFormat/>
    <w:rsid w:val="003B6469"/>
    <w:rPr>
      <w:i/>
      <w:iCs/>
    </w:rPr>
  </w:style>
  <w:style w:type="paragraph" w:styleId="NormalWeb">
    <w:name w:val="Normal (Web)"/>
    <w:basedOn w:val="Normal"/>
    <w:uiPriority w:val="99"/>
    <w:unhideWhenUsed/>
    <w:rsid w:val="00395270"/>
    <w:pPr>
      <w:suppressAutoHyphens w:val="0"/>
      <w:spacing w:line="240" w:lineRule="auto"/>
    </w:pPr>
    <w:rPr>
      <w:spacing w:val="0"/>
      <w:w w:val="100"/>
      <w:kern w:val="0"/>
      <w:sz w:val="24"/>
      <w:szCs w:val="24"/>
      <w:lang w:val="en-US"/>
    </w:rPr>
  </w:style>
  <w:style w:type="character" w:styleId="Strong">
    <w:name w:val="Strong"/>
    <w:basedOn w:val="DefaultParagraphFont"/>
    <w:uiPriority w:val="22"/>
    <w:qFormat/>
    <w:rsid w:val="00680341"/>
    <w:rPr>
      <w:b/>
      <w:bCs/>
    </w:rPr>
  </w:style>
  <w:style w:type="paragraph" w:customStyle="1" w:styleId="Default">
    <w:name w:val="Default"/>
    <w:basedOn w:val="Normal"/>
    <w:rsid w:val="00C76EB7"/>
    <w:pPr>
      <w:suppressAutoHyphens w:val="0"/>
      <w:autoSpaceDE w:val="0"/>
      <w:autoSpaceDN w:val="0"/>
      <w:spacing w:line="240" w:lineRule="auto"/>
    </w:pPr>
    <w:rPr>
      <w:color w:val="000000"/>
      <w:spacing w:val="0"/>
      <w:w w:val="100"/>
      <w:kern w:val="0"/>
      <w:sz w:val="24"/>
      <w:szCs w:val="24"/>
      <w:lang w:val="en-US"/>
    </w:rPr>
  </w:style>
  <w:style w:type="character" w:customStyle="1" w:styleId="PlainTextChar">
    <w:name w:val="Plain Text Char"/>
    <w:basedOn w:val="DefaultParagraphFont"/>
    <w:link w:val="PlainText"/>
    <w:uiPriority w:val="99"/>
    <w:rsid w:val="00E52A1D"/>
    <w:rPr>
      <w:rFonts w:ascii="Courier New" w:eastAsia="Times New Roman" w:hAnsi="Courier New"/>
      <w:lang w:eastAsia="en-GB"/>
    </w:rPr>
  </w:style>
  <w:style w:type="character" w:customStyle="1" w:styleId="Heading1Char">
    <w:name w:val="Heading 1 Char"/>
    <w:basedOn w:val="DefaultParagraphFont"/>
    <w:link w:val="Heading1"/>
    <w:rsid w:val="00321CFC"/>
    <w:rPr>
      <w:rFonts w:asciiTheme="majorHAnsi" w:eastAsiaTheme="majorEastAsia" w:hAnsiTheme="majorHAnsi" w:cstheme="majorBidi"/>
      <w:color w:val="365F91" w:themeColor="accent1" w:themeShade="BF"/>
      <w:spacing w:val="4"/>
      <w:w w:val="103"/>
      <w:kern w:val="14"/>
      <w:sz w:val="32"/>
      <w:szCs w:val="32"/>
      <w:lang w:val="en-GB"/>
    </w:rPr>
  </w:style>
  <w:style w:type="character" w:customStyle="1" w:styleId="FootnoteTextChar">
    <w:name w:val="Footnote Text Char"/>
    <w:aliases w:val="Footnote Text Char1 Char,Footnote Text Char2 Char,Footnote Text Char1 Char1 Char,Footnote Text Char Char Char1 Char,Footnote Text Char1 Char Char Char,Footnote Text Char Char Char Char Char,Footnote Text Char Char1 Char Char,ft Char"/>
    <w:basedOn w:val="DefaultParagraphFont"/>
    <w:link w:val="FootnoteText"/>
    <w:uiPriority w:val="99"/>
    <w:rsid w:val="00F467B2"/>
    <w:rPr>
      <w:spacing w:val="5"/>
      <w:w w:val="103"/>
      <w:kern w:val="14"/>
      <w:sz w:val="17"/>
      <w:lang w:val="en-GB"/>
    </w:rPr>
  </w:style>
  <w:style w:type="character" w:customStyle="1" w:styleId="FooterChar">
    <w:name w:val="Footer Char"/>
    <w:link w:val="Footer"/>
    <w:uiPriority w:val="99"/>
    <w:rsid w:val="00101CA3"/>
    <w:rPr>
      <w:b/>
      <w:noProof/>
      <w:sz w:val="17"/>
    </w:rPr>
  </w:style>
  <w:style w:type="paragraph" w:styleId="TOCHeading">
    <w:name w:val="TOC Heading"/>
    <w:basedOn w:val="Heading1"/>
    <w:next w:val="Normal"/>
    <w:uiPriority w:val="39"/>
    <w:unhideWhenUsed/>
    <w:qFormat/>
    <w:rsid w:val="002E6FA7"/>
    <w:pPr>
      <w:suppressAutoHyphens w:val="0"/>
      <w:spacing w:line="259" w:lineRule="auto"/>
      <w:outlineLvl w:val="9"/>
    </w:pPr>
    <w:rPr>
      <w:spacing w:val="0"/>
      <w:w w:val="100"/>
      <w:kern w:val="0"/>
      <w:lang w:val="en-US"/>
    </w:rPr>
  </w:style>
  <w:style w:type="paragraph" w:styleId="TOC1">
    <w:name w:val="toc 1"/>
    <w:basedOn w:val="Normal"/>
    <w:next w:val="Normal"/>
    <w:autoRedefine/>
    <w:uiPriority w:val="39"/>
    <w:unhideWhenUsed/>
    <w:rsid w:val="00122E90"/>
    <w:pPr>
      <w:tabs>
        <w:tab w:val="left" w:pos="660"/>
        <w:tab w:val="right" w:leader="dot" w:pos="10045"/>
      </w:tabs>
      <w:spacing w:after="100"/>
    </w:pPr>
  </w:style>
  <w:style w:type="paragraph" w:styleId="TOC2">
    <w:name w:val="toc 2"/>
    <w:basedOn w:val="Normal"/>
    <w:next w:val="Normal"/>
    <w:autoRedefine/>
    <w:uiPriority w:val="39"/>
    <w:unhideWhenUsed/>
    <w:rsid w:val="00122E90"/>
    <w:pPr>
      <w:tabs>
        <w:tab w:val="left" w:pos="660"/>
        <w:tab w:val="right" w:leader="dot" w:pos="10045"/>
      </w:tabs>
      <w:spacing w:after="100"/>
      <w:ind w:left="200"/>
    </w:pPr>
  </w:style>
  <w:style w:type="paragraph" w:styleId="TOC3">
    <w:name w:val="toc 3"/>
    <w:basedOn w:val="Normal"/>
    <w:next w:val="Normal"/>
    <w:autoRedefine/>
    <w:uiPriority w:val="39"/>
    <w:unhideWhenUsed/>
    <w:rsid w:val="00EF2A39"/>
    <w:pPr>
      <w:tabs>
        <w:tab w:val="right" w:leader="dot" w:pos="10045"/>
      </w:tabs>
      <w:spacing w:after="100"/>
      <w:ind w:left="400"/>
    </w:pPr>
  </w:style>
  <w:style w:type="character" w:styleId="UnresolvedMention">
    <w:name w:val="Unresolved Mention"/>
    <w:basedOn w:val="DefaultParagraphFont"/>
    <w:uiPriority w:val="99"/>
    <w:unhideWhenUsed/>
    <w:rsid w:val="00E2710C"/>
    <w:rPr>
      <w:color w:val="605E5C"/>
      <w:shd w:val="clear" w:color="auto" w:fill="E1DFDD"/>
    </w:rPr>
  </w:style>
  <w:style w:type="character" w:styleId="Mention">
    <w:name w:val="Mention"/>
    <w:basedOn w:val="DefaultParagraphFont"/>
    <w:uiPriority w:val="99"/>
    <w:unhideWhenUsed/>
    <w:rsid w:val="00E2710C"/>
    <w:rPr>
      <w:color w:val="2B579A"/>
      <w:shd w:val="clear" w:color="auto" w:fill="E1DFDD"/>
    </w:rPr>
  </w:style>
  <w:style w:type="character" w:customStyle="1" w:styleId="SingleTxtChar">
    <w:name w:val="__Single Txt Char"/>
    <w:link w:val="SingleTxt"/>
    <w:rsid w:val="00ED4FEC"/>
    <w:rPr>
      <w:spacing w:val="4"/>
      <w:w w:val="103"/>
      <w:kern w:val="14"/>
      <w:lang w:val="en-GB"/>
    </w:rPr>
  </w:style>
  <w:style w:type="character" w:customStyle="1" w:styleId="H23Char">
    <w:name w:val="_ H_2/3 Char"/>
    <w:link w:val="H23"/>
    <w:locked/>
    <w:rsid w:val="00DC33F0"/>
    <w:rPr>
      <w:b/>
      <w:spacing w:val="2"/>
      <w:w w:val="103"/>
      <w:kern w:val="14"/>
      <w:lang w:val="en-GB"/>
    </w:rPr>
  </w:style>
  <w:style w:type="paragraph" w:styleId="BodyText">
    <w:name w:val="Body Text"/>
    <w:basedOn w:val="Normal"/>
    <w:link w:val="BodyTextChar"/>
    <w:rsid w:val="00156F3B"/>
    <w:pPr>
      <w:suppressAutoHyphens w:val="0"/>
      <w:spacing w:after="120" w:line="240" w:lineRule="auto"/>
    </w:pPr>
    <w:rPr>
      <w:rFonts w:eastAsia="Calibri"/>
      <w:spacing w:val="0"/>
      <w:w w:val="100"/>
      <w:kern w:val="0"/>
      <w:szCs w:val="24"/>
      <w:lang w:val="en-US" w:eastAsia="zh-CN"/>
    </w:rPr>
  </w:style>
  <w:style w:type="character" w:customStyle="1" w:styleId="BodyTextChar">
    <w:name w:val="Body Text Char"/>
    <w:basedOn w:val="DefaultParagraphFont"/>
    <w:link w:val="BodyText"/>
    <w:rsid w:val="00156F3B"/>
    <w:rPr>
      <w:rFonts w:eastAsia="Calibri"/>
      <w:szCs w:val="24"/>
      <w:lang w:eastAsia="zh-CN"/>
    </w:rPr>
  </w:style>
  <w:style w:type="paragraph" w:customStyle="1" w:styleId="BVIfnrCarCar">
    <w:name w:val="BVI fnr Car Car"/>
    <w:aliases w:val="BVI fnr Car,BVI fnr Car Car Car Car,BVI fnr Car Car Car Car Char,BVI fnr Car Car Car Car Char Char Char Char Char"/>
    <w:basedOn w:val="Normal"/>
    <w:link w:val="FootnoteReference"/>
    <w:uiPriority w:val="99"/>
    <w:rsid w:val="000F345E"/>
    <w:pPr>
      <w:suppressAutoHyphens w:val="0"/>
      <w:spacing w:after="160"/>
    </w:pPr>
    <w:rPr>
      <w:color w:val="943634" w:themeColor="accent2" w:themeShade="BF"/>
      <w:spacing w:val="5"/>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4919">
      <w:bodyDiv w:val="1"/>
      <w:marLeft w:val="0"/>
      <w:marRight w:val="0"/>
      <w:marTop w:val="0"/>
      <w:marBottom w:val="0"/>
      <w:divBdr>
        <w:top w:val="none" w:sz="0" w:space="0" w:color="auto"/>
        <w:left w:val="none" w:sz="0" w:space="0" w:color="auto"/>
        <w:bottom w:val="none" w:sz="0" w:space="0" w:color="auto"/>
        <w:right w:val="none" w:sz="0" w:space="0" w:color="auto"/>
      </w:divBdr>
    </w:div>
    <w:div w:id="15205818">
      <w:bodyDiv w:val="1"/>
      <w:marLeft w:val="0"/>
      <w:marRight w:val="0"/>
      <w:marTop w:val="0"/>
      <w:marBottom w:val="0"/>
      <w:divBdr>
        <w:top w:val="none" w:sz="0" w:space="0" w:color="auto"/>
        <w:left w:val="none" w:sz="0" w:space="0" w:color="auto"/>
        <w:bottom w:val="none" w:sz="0" w:space="0" w:color="auto"/>
        <w:right w:val="none" w:sz="0" w:space="0" w:color="auto"/>
      </w:divBdr>
    </w:div>
    <w:div w:id="21444593">
      <w:bodyDiv w:val="1"/>
      <w:marLeft w:val="0"/>
      <w:marRight w:val="0"/>
      <w:marTop w:val="0"/>
      <w:marBottom w:val="0"/>
      <w:divBdr>
        <w:top w:val="none" w:sz="0" w:space="0" w:color="auto"/>
        <w:left w:val="none" w:sz="0" w:space="0" w:color="auto"/>
        <w:bottom w:val="none" w:sz="0" w:space="0" w:color="auto"/>
        <w:right w:val="none" w:sz="0" w:space="0" w:color="auto"/>
      </w:divBdr>
    </w:div>
    <w:div w:id="43994504">
      <w:bodyDiv w:val="1"/>
      <w:marLeft w:val="0"/>
      <w:marRight w:val="0"/>
      <w:marTop w:val="0"/>
      <w:marBottom w:val="0"/>
      <w:divBdr>
        <w:top w:val="none" w:sz="0" w:space="0" w:color="auto"/>
        <w:left w:val="none" w:sz="0" w:space="0" w:color="auto"/>
        <w:bottom w:val="none" w:sz="0" w:space="0" w:color="auto"/>
        <w:right w:val="none" w:sz="0" w:space="0" w:color="auto"/>
      </w:divBdr>
    </w:div>
    <w:div w:id="44261467">
      <w:bodyDiv w:val="1"/>
      <w:marLeft w:val="0"/>
      <w:marRight w:val="0"/>
      <w:marTop w:val="0"/>
      <w:marBottom w:val="0"/>
      <w:divBdr>
        <w:top w:val="none" w:sz="0" w:space="0" w:color="auto"/>
        <w:left w:val="none" w:sz="0" w:space="0" w:color="auto"/>
        <w:bottom w:val="none" w:sz="0" w:space="0" w:color="auto"/>
        <w:right w:val="none" w:sz="0" w:space="0" w:color="auto"/>
      </w:divBdr>
    </w:div>
    <w:div w:id="111944180">
      <w:bodyDiv w:val="1"/>
      <w:marLeft w:val="0"/>
      <w:marRight w:val="0"/>
      <w:marTop w:val="0"/>
      <w:marBottom w:val="0"/>
      <w:divBdr>
        <w:top w:val="none" w:sz="0" w:space="0" w:color="auto"/>
        <w:left w:val="none" w:sz="0" w:space="0" w:color="auto"/>
        <w:bottom w:val="none" w:sz="0" w:space="0" w:color="auto"/>
        <w:right w:val="none" w:sz="0" w:space="0" w:color="auto"/>
      </w:divBdr>
    </w:div>
    <w:div w:id="140849214">
      <w:bodyDiv w:val="1"/>
      <w:marLeft w:val="0"/>
      <w:marRight w:val="0"/>
      <w:marTop w:val="0"/>
      <w:marBottom w:val="0"/>
      <w:divBdr>
        <w:top w:val="none" w:sz="0" w:space="0" w:color="auto"/>
        <w:left w:val="none" w:sz="0" w:space="0" w:color="auto"/>
        <w:bottom w:val="none" w:sz="0" w:space="0" w:color="auto"/>
        <w:right w:val="none" w:sz="0" w:space="0" w:color="auto"/>
      </w:divBdr>
    </w:div>
    <w:div w:id="143469192">
      <w:bodyDiv w:val="1"/>
      <w:marLeft w:val="0"/>
      <w:marRight w:val="0"/>
      <w:marTop w:val="0"/>
      <w:marBottom w:val="0"/>
      <w:divBdr>
        <w:top w:val="none" w:sz="0" w:space="0" w:color="auto"/>
        <w:left w:val="none" w:sz="0" w:space="0" w:color="auto"/>
        <w:bottom w:val="none" w:sz="0" w:space="0" w:color="auto"/>
        <w:right w:val="none" w:sz="0" w:space="0" w:color="auto"/>
      </w:divBdr>
    </w:div>
    <w:div w:id="148907430">
      <w:bodyDiv w:val="1"/>
      <w:marLeft w:val="0"/>
      <w:marRight w:val="0"/>
      <w:marTop w:val="0"/>
      <w:marBottom w:val="0"/>
      <w:divBdr>
        <w:top w:val="none" w:sz="0" w:space="0" w:color="auto"/>
        <w:left w:val="none" w:sz="0" w:space="0" w:color="auto"/>
        <w:bottom w:val="none" w:sz="0" w:space="0" w:color="auto"/>
        <w:right w:val="none" w:sz="0" w:space="0" w:color="auto"/>
      </w:divBdr>
    </w:div>
    <w:div w:id="199709246">
      <w:bodyDiv w:val="1"/>
      <w:marLeft w:val="0"/>
      <w:marRight w:val="0"/>
      <w:marTop w:val="0"/>
      <w:marBottom w:val="0"/>
      <w:divBdr>
        <w:top w:val="none" w:sz="0" w:space="0" w:color="auto"/>
        <w:left w:val="none" w:sz="0" w:space="0" w:color="auto"/>
        <w:bottom w:val="none" w:sz="0" w:space="0" w:color="auto"/>
        <w:right w:val="none" w:sz="0" w:space="0" w:color="auto"/>
      </w:divBdr>
    </w:div>
    <w:div w:id="210314975">
      <w:bodyDiv w:val="1"/>
      <w:marLeft w:val="0"/>
      <w:marRight w:val="0"/>
      <w:marTop w:val="0"/>
      <w:marBottom w:val="0"/>
      <w:divBdr>
        <w:top w:val="none" w:sz="0" w:space="0" w:color="auto"/>
        <w:left w:val="none" w:sz="0" w:space="0" w:color="auto"/>
        <w:bottom w:val="none" w:sz="0" w:space="0" w:color="auto"/>
        <w:right w:val="none" w:sz="0" w:space="0" w:color="auto"/>
      </w:divBdr>
    </w:div>
    <w:div w:id="219829713">
      <w:bodyDiv w:val="1"/>
      <w:marLeft w:val="0"/>
      <w:marRight w:val="0"/>
      <w:marTop w:val="0"/>
      <w:marBottom w:val="0"/>
      <w:divBdr>
        <w:top w:val="none" w:sz="0" w:space="0" w:color="auto"/>
        <w:left w:val="none" w:sz="0" w:space="0" w:color="auto"/>
        <w:bottom w:val="none" w:sz="0" w:space="0" w:color="auto"/>
        <w:right w:val="none" w:sz="0" w:space="0" w:color="auto"/>
      </w:divBdr>
    </w:div>
    <w:div w:id="221062197">
      <w:bodyDiv w:val="1"/>
      <w:marLeft w:val="0"/>
      <w:marRight w:val="0"/>
      <w:marTop w:val="0"/>
      <w:marBottom w:val="0"/>
      <w:divBdr>
        <w:top w:val="none" w:sz="0" w:space="0" w:color="auto"/>
        <w:left w:val="none" w:sz="0" w:space="0" w:color="auto"/>
        <w:bottom w:val="none" w:sz="0" w:space="0" w:color="auto"/>
        <w:right w:val="none" w:sz="0" w:space="0" w:color="auto"/>
      </w:divBdr>
    </w:div>
    <w:div w:id="267735662">
      <w:bodyDiv w:val="1"/>
      <w:marLeft w:val="0"/>
      <w:marRight w:val="0"/>
      <w:marTop w:val="0"/>
      <w:marBottom w:val="0"/>
      <w:divBdr>
        <w:top w:val="none" w:sz="0" w:space="0" w:color="auto"/>
        <w:left w:val="none" w:sz="0" w:space="0" w:color="auto"/>
        <w:bottom w:val="none" w:sz="0" w:space="0" w:color="auto"/>
        <w:right w:val="none" w:sz="0" w:space="0" w:color="auto"/>
      </w:divBdr>
    </w:div>
    <w:div w:id="288633713">
      <w:bodyDiv w:val="1"/>
      <w:marLeft w:val="0"/>
      <w:marRight w:val="0"/>
      <w:marTop w:val="0"/>
      <w:marBottom w:val="0"/>
      <w:divBdr>
        <w:top w:val="none" w:sz="0" w:space="0" w:color="auto"/>
        <w:left w:val="none" w:sz="0" w:space="0" w:color="auto"/>
        <w:bottom w:val="none" w:sz="0" w:space="0" w:color="auto"/>
        <w:right w:val="none" w:sz="0" w:space="0" w:color="auto"/>
      </w:divBdr>
    </w:div>
    <w:div w:id="299043538">
      <w:bodyDiv w:val="1"/>
      <w:marLeft w:val="0"/>
      <w:marRight w:val="0"/>
      <w:marTop w:val="0"/>
      <w:marBottom w:val="0"/>
      <w:divBdr>
        <w:top w:val="none" w:sz="0" w:space="0" w:color="auto"/>
        <w:left w:val="none" w:sz="0" w:space="0" w:color="auto"/>
        <w:bottom w:val="none" w:sz="0" w:space="0" w:color="auto"/>
        <w:right w:val="none" w:sz="0" w:space="0" w:color="auto"/>
      </w:divBdr>
    </w:div>
    <w:div w:id="322202402">
      <w:bodyDiv w:val="1"/>
      <w:marLeft w:val="0"/>
      <w:marRight w:val="0"/>
      <w:marTop w:val="0"/>
      <w:marBottom w:val="0"/>
      <w:divBdr>
        <w:top w:val="none" w:sz="0" w:space="0" w:color="auto"/>
        <w:left w:val="none" w:sz="0" w:space="0" w:color="auto"/>
        <w:bottom w:val="none" w:sz="0" w:space="0" w:color="auto"/>
        <w:right w:val="none" w:sz="0" w:space="0" w:color="auto"/>
      </w:divBdr>
    </w:div>
    <w:div w:id="335501437">
      <w:bodyDiv w:val="1"/>
      <w:marLeft w:val="0"/>
      <w:marRight w:val="0"/>
      <w:marTop w:val="0"/>
      <w:marBottom w:val="0"/>
      <w:divBdr>
        <w:top w:val="none" w:sz="0" w:space="0" w:color="auto"/>
        <w:left w:val="none" w:sz="0" w:space="0" w:color="auto"/>
        <w:bottom w:val="none" w:sz="0" w:space="0" w:color="auto"/>
        <w:right w:val="none" w:sz="0" w:space="0" w:color="auto"/>
      </w:divBdr>
    </w:div>
    <w:div w:id="453401686">
      <w:bodyDiv w:val="1"/>
      <w:marLeft w:val="0"/>
      <w:marRight w:val="0"/>
      <w:marTop w:val="0"/>
      <w:marBottom w:val="0"/>
      <w:divBdr>
        <w:top w:val="none" w:sz="0" w:space="0" w:color="auto"/>
        <w:left w:val="none" w:sz="0" w:space="0" w:color="auto"/>
        <w:bottom w:val="none" w:sz="0" w:space="0" w:color="auto"/>
        <w:right w:val="none" w:sz="0" w:space="0" w:color="auto"/>
      </w:divBdr>
    </w:div>
    <w:div w:id="461197717">
      <w:bodyDiv w:val="1"/>
      <w:marLeft w:val="0"/>
      <w:marRight w:val="0"/>
      <w:marTop w:val="0"/>
      <w:marBottom w:val="0"/>
      <w:divBdr>
        <w:top w:val="none" w:sz="0" w:space="0" w:color="auto"/>
        <w:left w:val="none" w:sz="0" w:space="0" w:color="auto"/>
        <w:bottom w:val="none" w:sz="0" w:space="0" w:color="auto"/>
        <w:right w:val="none" w:sz="0" w:space="0" w:color="auto"/>
      </w:divBdr>
    </w:div>
    <w:div w:id="482818656">
      <w:bodyDiv w:val="1"/>
      <w:marLeft w:val="0"/>
      <w:marRight w:val="0"/>
      <w:marTop w:val="0"/>
      <w:marBottom w:val="0"/>
      <w:divBdr>
        <w:top w:val="none" w:sz="0" w:space="0" w:color="auto"/>
        <w:left w:val="none" w:sz="0" w:space="0" w:color="auto"/>
        <w:bottom w:val="none" w:sz="0" w:space="0" w:color="auto"/>
        <w:right w:val="none" w:sz="0" w:space="0" w:color="auto"/>
      </w:divBdr>
    </w:div>
    <w:div w:id="492796789">
      <w:bodyDiv w:val="1"/>
      <w:marLeft w:val="0"/>
      <w:marRight w:val="0"/>
      <w:marTop w:val="0"/>
      <w:marBottom w:val="0"/>
      <w:divBdr>
        <w:top w:val="none" w:sz="0" w:space="0" w:color="auto"/>
        <w:left w:val="none" w:sz="0" w:space="0" w:color="auto"/>
        <w:bottom w:val="none" w:sz="0" w:space="0" w:color="auto"/>
        <w:right w:val="none" w:sz="0" w:space="0" w:color="auto"/>
      </w:divBdr>
    </w:div>
    <w:div w:id="496531381">
      <w:bodyDiv w:val="1"/>
      <w:marLeft w:val="0"/>
      <w:marRight w:val="0"/>
      <w:marTop w:val="0"/>
      <w:marBottom w:val="0"/>
      <w:divBdr>
        <w:top w:val="none" w:sz="0" w:space="0" w:color="auto"/>
        <w:left w:val="none" w:sz="0" w:space="0" w:color="auto"/>
        <w:bottom w:val="none" w:sz="0" w:space="0" w:color="auto"/>
        <w:right w:val="none" w:sz="0" w:space="0" w:color="auto"/>
      </w:divBdr>
    </w:div>
    <w:div w:id="523246829">
      <w:bodyDiv w:val="1"/>
      <w:marLeft w:val="0"/>
      <w:marRight w:val="0"/>
      <w:marTop w:val="0"/>
      <w:marBottom w:val="0"/>
      <w:divBdr>
        <w:top w:val="none" w:sz="0" w:space="0" w:color="auto"/>
        <w:left w:val="none" w:sz="0" w:space="0" w:color="auto"/>
        <w:bottom w:val="none" w:sz="0" w:space="0" w:color="auto"/>
        <w:right w:val="none" w:sz="0" w:space="0" w:color="auto"/>
      </w:divBdr>
    </w:div>
    <w:div w:id="540634161">
      <w:bodyDiv w:val="1"/>
      <w:marLeft w:val="0"/>
      <w:marRight w:val="0"/>
      <w:marTop w:val="0"/>
      <w:marBottom w:val="0"/>
      <w:divBdr>
        <w:top w:val="none" w:sz="0" w:space="0" w:color="auto"/>
        <w:left w:val="none" w:sz="0" w:space="0" w:color="auto"/>
        <w:bottom w:val="none" w:sz="0" w:space="0" w:color="auto"/>
        <w:right w:val="none" w:sz="0" w:space="0" w:color="auto"/>
      </w:divBdr>
    </w:div>
    <w:div w:id="544146758">
      <w:bodyDiv w:val="1"/>
      <w:marLeft w:val="0"/>
      <w:marRight w:val="0"/>
      <w:marTop w:val="0"/>
      <w:marBottom w:val="0"/>
      <w:divBdr>
        <w:top w:val="none" w:sz="0" w:space="0" w:color="auto"/>
        <w:left w:val="none" w:sz="0" w:space="0" w:color="auto"/>
        <w:bottom w:val="none" w:sz="0" w:space="0" w:color="auto"/>
        <w:right w:val="none" w:sz="0" w:space="0" w:color="auto"/>
      </w:divBdr>
    </w:div>
    <w:div w:id="560791671">
      <w:bodyDiv w:val="1"/>
      <w:marLeft w:val="0"/>
      <w:marRight w:val="0"/>
      <w:marTop w:val="0"/>
      <w:marBottom w:val="0"/>
      <w:divBdr>
        <w:top w:val="none" w:sz="0" w:space="0" w:color="auto"/>
        <w:left w:val="none" w:sz="0" w:space="0" w:color="auto"/>
        <w:bottom w:val="none" w:sz="0" w:space="0" w:color="auto"/>
        <w:right w:val="none" w:sz="0" w:space="0" w:color="auto"/>
      </w:divBdr>
    </w:div>
    <w:div w:id="567804146">
      <w:bodyDiv w:val="1"/>
      <w:marLeft w:val="0"/>
      <w:marRight w:val="0"/>
      <w:marTop w:val="0"/>
      <w:marBottom w:val="0"/>
      <w:divBdr>
        <w:top w:val="none" w:sz="0" w:space="0" w:color="auto"/>
        <w:left w:val="none" w:sz="0" w:space="0" w:color="auto"/>
        <w:bottom w:val="none" w:sz="0" w:space="0" w:color="auto"/>
        <w:right w:val="none" w:sz="0" w:space="0" w:color="auto"/>
      </w:divBdr>
    </w:div>
    <w:div w:id="584416013">
      <w:bodyDiv w:val="1"/>
      <w:marLeft w:val="0"/>
      <w:marRight w:val="0"/>
      <w:marTop w:val="0"/>
      <w:marBottom w:val="0"/>
      <w:divBdr>
        <w:top w:val="none" w:sz="0" w:space="0" w:color="auto"/>
        <w:left w:val="none" w:sz="0" w:space="0" w:color="auto"/>
        <w:bottom w:val="none" w:sz="0" w:space="0" w:color="auto"/>
        <w:right w:val="none" w:sz="0" w:space="0" w:color="auto"/>
      </w:divBdr>
    </w:div>
    <w:div w:id="609627120">
      <w:bodyDiv w:val="1"/>
      <w:marLeft w:val="0"/>
      <w:marRight w:val="0"/>
      <w:marTop w:val="0"/>
      <w:marBottom w:val="0"/>
      <w:divBdr>
        <w:top w:val="none" w:sz="0" w:space="0" w:color="auto"/>
        <w:left w:val="none" w:sz="0" w:space="0" w:color="auto"/>
        <w:bottom w:val="none" w:sz="0" w:space="0" w:color="auto"/>
        <w:right w:val="none" w:sz="0" w:space="0" w:color="auto"/>
      </w:divBdr>
    </w:div>
    <w:div w:id="630284858">
      <w:bodyDiv w:val="1"/>
      <w:marLeft w:val="0"/>
      <w:marRight w:val="0"/>
      <w:marTop w:val="0"/>
      <w:marBottom w:val="0"/>
      <w:divBdr>
        <w:top w:val="none" w:sz="0" w:space="0" w:color="auto"/>
        <w:left w:val="none" w:sz="0" w:space="0" w:color="auto"/>
        <w:bottom w:val="none" w:sz="0" w:space="0" w:color="auto"/>
        <w:right w:val="none" w:sz="0" w:space="0" w:color="auto"/>
      </w:divBdr>
    </w:div>
    <w:div w:id="662853135">
      <w:bodyDiv w:val="1"/>
      <w:marLeft w:val="0"/>
      <w:marRight w:val="0"/>
      <w:marTop w:val="0"/>
      <w:marBottom w:val="0"/>
      <w:divBdr>
        <w:top w:val="none" w:sz="0" w:space="0" w:color="auto"/>
        <w:left w:val="none" w:sz="0" w:space="0" w:color="auto"/>
        <w:bottom w:val="none" w:sz="0" w:space="0" w:color="auto"/>
        <w:right w:val="none" w:sz="0" w:space="0" w:color="auto"/>
      </w:divBdr>
    </w:div>
    <w:div w:id="673190805">
      <w:bodyDiv w:val="1"/>
      <w:marLeft w:val="0"/>
      <w:marRight w:val="0"/>
      <w:marTop w:val="0"/>
      <w:marBottom w:val="0"/>
      <w:divBdr>
        <w:top w:val="none" w:sz="0" w:space="0" w:color="auto"/>
        <w:left w:val="none" w:sz="0" w:space="0" w:color="auto"/>
        <w:bottom w:val="none" w:sz="0" w:space="0" w:color="auto"/>
        <w:right w:val="none" w:sz="0" w:space="0" w:color="auto"/>
      </w:divBdr>
    </w:div>
    <w:div w:id="720635107">
      <w:bodyDiv w:val="1"/>
      <w:marLeft w:val="0"/>
      <w:marRight w:val="0"/>
      <w:marTop w:val="0"/>
      <w:marBottom w:val="0"/>
      <w:divBdr>
        <w:top w:val="none" w:sz="0" w:space="0" w:color="auto"/>
        <w:left w:val="none" w:sz="0" w:space="0" w:color="auto"/>
        <w:bottom w:val="none" w:sz="0" w:space="0" w:color="auto"/>
        <w:right w:val="none" w:sz="0" w:space="0" w:color="auto"/>
      </w:divBdr>
    </w:div>
    <w:div w:id="757560560">
      <w:bodyDiv w:val="1"/>
      <w:marLeft w:val="0"/>
      <w:marRight w:val="0"/>
      <w:marTop w:val="0"/>
      <w:marBottom w:val="0"/>
      <w:divBdr>
        <w:top w:val="none" w:sz="0" w:space="0" w:color="auto"/>
        <w:left w:val="none" w:sz="0" w:space="0" w:color="auto"/>
        <w:bottom w:val="none" w:sz="0" w:space="0" w:color="auto"/>
        <w:right w:val="none" w:sz="0" w:space="0" w:color="auto"/>
      </w:divBdr>
    </w:div>
    <w:div w:id="761147047">
      <w:bodyDiv w:val="1"/>
      <w:marLeft w:val="0"/>
      <w:marRight w:val="0"/>
      <w:marTop w:val="0"/>
      <w:marBottom w:val="0"/>
      <w:divBdr>
        <w:top w:val="none" w:sz="0" w:space="0" w:color="auto"/>
        <w:left w:val="none" w:sz="0" w:space="0" w:color="auto"/>
        <w:bottom w:val="none" w:sz="0" w:space="0" w:color="auto"/>
        <w:right w:val="none" w:sz="0" w:space="0" w:color="auto"/>
      </w:divBdr>
    </w:div>
    <w:div w:id="837967286">
      <w:bodyDiv w:val="1"/>
      <w:marLeft w:val="0"/>
      <w:marRight w:val="0"/>
      <w:marTop w:val="0"/>
      <w:marBottom w:val="0"/>
      <w:divBdr>
        <w:top w:val="none" w:sz="0" w:space="0" w:color="auto"/>
        <w:left w:val="none" w:sz="0" w:space="0" w:color="auto"/>
        <w:bottom w:val="none" w:sz="0" w:space="0" w:color="auto"/>
        <w:right w:val="none" w:sz="0" w:space="0" w:color="auto"/>
      </w:divBdr>
    </w:div>
    <w:div w:id="970289760">
      <w:bodyDiv w:val="1"/>
      <w:marLeft w:val="0"/>
      <w:marRight w:val="0"/>
      <w:marTop w:val="0"/>
      <w:marBottom w:val="0"/>
      <w:divBdr>
        <w:top w:val="none" w:sz="0" w:space="0" w:color="auto"/>
        <w:left w:val="none" w:sz="0" w:space="0" w:color="auto"/>
        <w:bottom w:val="none" w:sz="0" w:space="0" w:color="auto"/>
        <w:right w:val="none" w:sz="0" w:space="0" w:color="auto"/>
      </w:divBdr>
    </w:div>
    <w:div w:id="1017275177">
      <w:bodyDiv w:val="1"/>
      <w:marLeft w:val="0"/>
      <w:marRight w:val="0"/>
      <w:marTop w:val="0"/>
      <w:marBottom w:val="0"/>
      <w:divBdr>
        <w:top w:val="none" w:sz="0" w:space="0" w:color="auto"/>
        <w:left w:val="none" w:sz="0" w:space="0" w:color="auto"/>
        <w:bottom w:val="none" w:sz="0" w:space="0" w:color="auto"/>
        <w:right w:val="none" w:sz="0" w:space="0" w:color="auto"/>
      </w:divBdr>
    </w:div>
    <w:div w:id="1057899529">
      <w:bodyDiv w:val="1"/>
      <w:marLeft w:val="0"/>
      <w:marRight w:val="0"/>
      <w:marTop w:val="0"/>
      <w:marBottom w:val="0"/>
      <w:divBdr>
        <w:top w:val="none" w:sz="0" w:space="0" w:color="auto"/>
        <w:left w:val="none" w:sz="0" w:space="0" w:color="auto"/>
        <w:bottom w:val="none" w:sz="0" w:space="0" w:color="auto"/>
        <w:right w:val="none" w:sz="0" w:space="0" w:color="auto"/>
      </w:divBdr>
    </w:div>
    <w:div w:id="1096360441">
      <w:bodyDiv w:val="1"/>
      <w:marLeft w:val="0"/>
      <w:marRight w:val="0"/>
      <w:marTop w:val="0"/>
      <w:marBottom w:val="0"/>
      <w:divBdr>
        <w:top w:val="none" w:sz="0" w:space="0" w:color="auto"/>
        <w:left w:val="none" w:sz="0" w:space="0" w:color="auto"/>
        <w:bottom w:val="none" w:sz="0" w:space="0" w:color="auto"/>
        <w:right w:val="none" w:sz="0" w:space="0" w:color="auto"/>
      </w:divBdr>
    </w:div>
    <w:div w:id="1162549790">
      <w:bodyDiv w:val="1"/>
      <w:marLeft w:val="0"/>
      <w:marRight w:val="0"/>
      <w:marTop w:val="0"/>
      <w:marBottom w:val="0"/>
      <w:divBdr>
        <w:top w:val="none" w:sz="0" w:space="0" w:color="auto"/>
        <w:left w:val="none" w:sz="0" w:space="0" w:color="auto"/>
        <w:bottom w:val="none" w:sz="0" w:space="0" w:color="auto"/>
        <w:right w:val="none" w:sz="0" w:space="0" w:color="auto"/>
      </w:divBdr>
    </w:div>
    <w:div w:id="1165903608">
      <w:bodyDiv w:val="1"/>
      <w:marLeft w:val="0"/>
      <w:marRight w:val="0"/>
      <w:marTop w:val="0"/>
      <w:marBottom w:val="0"/>
      <w:divBdr>
        <w:top w:val="none" w:sz="0" w:space="0" w:color="auto"/>
        <w:left w:val="none" w:sz="0" w:space="0" w:color="auto"/>
        <w:bottom w:val="none" w:sz="0" w:space="0" w:color="auto"/>
        <w:right w:val="none" w:sz="0" w:space="0" w:color="auto"/>
      </w:divBdr>
    </w:div>
    <w:div w:id="1216551961">
      <w:bodyDiv w:val="1"/>
      <w:marLeft w:val="0"/>
      <w:marRight w:val="0"/>
      <w:marTop w:val="0"/>
      <w:marBottom w:val="0"/>
      <w:divBdr>
        <w:top w:val="none" w:sz="0" w:space="0" w:color="auto"/>
        <w:left w:val="none" w:sz="0" w:space="0" w:color="auto"/>
        <w:bottom w:val="none" w:sz="0" w:space="0" w:color="auto"/>
        <w:right w:val="none" w:sz="0" w:space="0" w:color="auto"/>
      </w:divBdr>
    </w:div>
    <w:div w:id="1224292856">
      <w:bodyDiv w:val="1"/>
      <w:marLeft w:val="0"/>
      <w:marRight w:val="0"/>
      <w:marTop w:val="0"/>
      <w:marBottom w:val="0"/>
      <w:divBdr>
        <w:top w:val="none" w:sz="0" w:space="0" w:color="auto"/>
        <w:left w:val="none" w:sz="0" w:space="0" w:color="auto"/>
        <w:bottom w:val="none" w:sz="0" w:space="0" w:color="auto"/>
        <w:right w:val="none" w:sz="0" w:space="0" w:color="auto"/>
      </w:divBdr>
    </w:div>
    <w:div w:id="1261989613">
      <w:bodyDiv w:val="1"/>
      <w:marLeft w:val="0"/>
      <w:marRight w:val="0"/>
      <w:marTop w:val="0"/>
      <w:marBottom w:val="0"/>
      <w:divBdr>
        <w:top w:val="none" w:sz="0" w:space="0" w:color="auto"/>
        <w:left w:val="none" w:sz="0" w:space="0" w:color="auto"/>
        <w:bottom w:val="none" w:sz="0" w:space="0" w:color="auto"/>
        <w:right w:val="none" w:sz="0" w:space="0" w:color="auto"/>
      </w:divBdr>
    </w:div>
    <w:div w:id="1268735996">
      <w:bodyDiv w:val="1"/>
      <w:marLeft w:val="0"/>
      <w:marRight w:val="0"/>
      <w:marTop w:val="0"/>
      <w:marBottom w:val="0"/>
      <w:divBdr>
        <w:top w:val="none" w:sz="0" w:space="0" w:color="auto"/>
        <w:left w:val="none" w:sz="0" w:space="0" w:color="auto"/>
        <w:bottom w:val="none" w:sz="0" w:space="0" w:color="auto"/>
        <w:right w:val="none" w:sz="0" w:space="0" w:color="auto"/>
      </w:divBdr>
    </w:div>
    <w:div w:id="1317297861">
      <w:bodyDiv w:val="1"/>
      <w:marLeft w:val="0"/>
      <w:marRight w:val="0"/>
      <w:marTop w:val="0"/>
      <w:marBottom w:val="0"/>
      <w:divBdr>
        <w:top w:val="none" w:sz="0" w:space="0" w:color="auto"/>
        <w:left w:val="none" w:sz="0" w:space="0" w:color="auto"/>
        <w:bottom w:val="none" w:sz="0" w:space="0" w:color="auto"/>
        <w:right w:val="none" w:sz="0" w:space="0" w:color="auto"/>
      </w:divBdr>
    </w:div>
    <w:div w:id="1327706074">
      <w:bodyDiv w:val="1"/>
      <w:marLeft w:val="0"/>
      <w:marRight w:val="0"/>
      <w:marTop w:val="0"/>
      <w:marBottom w:val="0"/>
      <w:divBdr>
        <w:top w:val="none" w:sz="0" w:space="0" w:color="auto"/>
        <w:left w:val="none" w:sz="0" w:space="0" w:color="auto"/>
        <w:bottom w:val="none" w:sz="0" w:space="0" w:color="auto"/>
        <w:right w:val="none" w:sz="0" w:space="0" w:color="auto"/>
      </w:divBdr>
    </w:div>
    <w:div w:id="1333533813">
      <w:bodyDiv w:val="1"/>
      <w:marLeft w:val="0"/>
      <w:marRight w:val="0"/>
      <w:marTop w:val="0"/>
      <w:marBottom w:val="0"/>
      <w:divBdr>
        <w:top w:val="none" w:sz="0" w:space="0" w:color="auto"/>
        <w:left w:val="none" w:sz="0" w:space="0" w:color="auto"/>
        <w:bottom w:val="none" w:sz="0" w:space="0" w:color="auto"/>
        <w:right w:val="none" w:sz="0" w:space="0" w:color="auto"/>
      </w:divBdr>
    </w:div>
    <w:div w:id="1353267204">
      <w:bodyDiv w:val="1"/>
      <w:marLeft w:val="0"/>
      <w:marRight w:val="0"/>
      <w:marTop w:val="0"/>
      <w:marBottom w:val="0"/>
      <w:divBdr>
        <w:top w:val="none" w:sz="0" w:space="0" w:color="auto"/>
        <w:left w:val="none" w:sz="0" w:space="0" w:color="auto"/>
        <w:bottom w:val="none" w:sz="0" w:space="0" w:color="auto"/>
        <w:right w:val="none" w:sz="0" w:space="0" w:color="auto"/>
      </w:divBdr>
    </w:div>
    <w:div w:id="1387337571">
      <w:bodyDiv w:val="1"/>
      <w:marLeft w:val="0"/>
      <w:marRight w:val="0"/>
      <w:marTop w:val="0"/>
      <w:marBottom w:val="0"/>
      <w:divBdr>
        <w:top w:val="none" w:sz="0" w:space="0" w:color="auto"/>
        <w:left w:val="none" w:sz="0" w:space="0" w:color="auto"/>
        <w:bottom w:val="none" w:sz="0" w:space="0" w:color="auto"/>
        <w:right w:val="none" w:sz="0" w:space="0" w:color="auto"/>
      </w:divBdr>
    </w:div>
    <w:div w:id="1450125079">
      <w:bodyDiv w:val="1"/>
      <w:marLeft w:val="0"/>
      <w:marRight w:val="0"/>
      <w:marTop w:val="0"/>
      <w:marBottom w:val="0"/>
      <w:divBdr>
        <w:top w:val="none" w:sz="0" w:space="0" w:color="auto"/>
        <w:left w:val="none" w:sz="0" w:space="0" w:color="auto"/>
        <w:bottom w:val="none" w:sz="0" w:space="0" w:color="auto"/>
        <w:right w:val="none" w:sz="0" w:space="0" w:color="auto"/>
      </w:divBdr>
    </w:div>
    <w:div w:id="1482310608">
      <w:bodyDiv w:val="1"/>
      <w:marLeft w:val="0"/>
      <w:marRight w:val="0"/>
      <w:marTop w:val="0"/>
      <w:marBottom w:val="0"/>
      <w:divBdr>
        <w:top w:val="none" w:sz="0" w:space="0" w:color="auto"/>
        <w:left w:val="none" w:sz="0" w:space="0" w:color="auto"/>
        <w:bottom w:val="none" w:sz="0" w:space="0" w:color="auto"/>
        <w:right w:val="none" w:sz="0" w:space="0" w:color="auto"/>
      </w:divBdr>
    </w:div>
    <w:div w:id="1495224620">
      <w:bodyDiv w:val="1"/>
      <w:marLeft w:val="0"/>
      <w:marRight w:val="0"/>
      <w:marTop w:val="0"/>
      <w:marBottom w:val="0"/>
      <w:divBdr>
        <w:top w:val="none" w:sz="0" w:space="0" w:color="auto"/>
        <w:left w:val="none" w:sz="0" w:space="0" w:color="auto"/>
        <w:bottom w:val="none" w:sz="0" w:space="0" w:color="auto"/>
        <w:right w:val="none" w:sz="0" w:space="0" w:color="auto"/>
      </w:divBdr>
    </w:div>
    <w:div w:id="1497527868">
      <w:bodyDiv w:val="1"/>
      <w:marLeft w:val="0"/>
      <w:marRight w:val="0"/>
      <w:marTop w:val="0"/>
      <w:marBottom w:val="0"/>
      <w:divBdr>
        <w:top w:val="none" w:sz="0" w:space="0" w:color="auto"/>
        <w:left w:val="none" w:sz="0" w:space="0" w:color="auto"/>
        <w:bottom w:val="none" w:sz="0" w:space="0" w:color="auto"/>
        <w:right w:val="none" w:sz="0" w:space="0" w:color="auto"/>
      </w:divBdr>
    </w:div>
    <w:div w:id="1527527092">
      <w:bodyDiv w:val="1"/>
      <w:marLeft w:val="0"/>
      <w:marRight w:val="0"/>
      <w:marTop w:val="0"/>
      <w:marBottom w:val="0"/>
      <w:divBdr>
        <w:top w:val="none" w:sz="0" w:space="0" w:color="auto"/>
        <w:left w:val="none" w:sz="0" w:space="0" w:color="auto"/>
        <w:bottom w:val="none" w:sz="0" w:space="0" w:color="auto"/>
        <w:right w:val="none" w:sz="0" w:space="0" w:color="auto"/>
      </w:divBdr>
    </w:div>
    <w:div w:id="1533108430">
      <w:bodyDiv w:val="1"/>
      <w:marLeft w:val="0"/>
      <w:marRight w:val="0"/>
      <w:marTop w:val="0"/>
      <w:marBottom w:val="0"/>
      <w:divBdr>
        <w:top w:val="none" w:sz="0" w:space="0" w:color="auto"/>
        <w:left w:val="none" w:sz="0" w:space="0" w:color="auto"/>
        <w:bottom w:val="none" w:sz="0" w:space="0" w:color="auto"/>
        <w:right w:val="none" w:sz="0" w:space="0" w:color="auto"/>
      </w:divBdr>
    </w:div>
    <w:div w:id="1548376633">
      <w:bodyDiv w:val="1"/>
      <w:marLeft w:val="0"/>
      <w:marRight w:val="0"/>
      <w:marTop w:val="0"/>
      <w:marBottom w:val="0"/>
      <w:divBdr>
        <w:top w:val="none" w:sz="0" w:space="0" w:color="auto"/>
        <w:left w:val="none" w:sz="0" w:space="0" w:color="auto"/>
        <w:bottom w:val="none" w:sz="0" w:space="0" w:color="auto"/>
        <w:right w:val="none" w:sz="0" w:space="0" w:color="auto"/>
      </w:divBdr>
    </w:div>
    <w:div w:id="1568806521">
      <w:bodyDiv w:val="1"/>
      <w:marLeft w:val="0"/>
      <w:marRight w:val="0"/>
      <w:marTop w:val="0"/>
      <w:marBottom w:val="0"/>
      <w:divBdr>
        <w:top w:val="none" w:sz="0" w:space="0" w:color="auto"/>
        <w:left w:val="none" w:sz="0" w:space="0" w:color="auto"/>
        <w:bottom w:val="none" w:sz="0" w:space="0" w:color="auto"/>
        <w:right w:val="none" w:sz="0" w:space="0" w:color="auto"/>
      </w:divBdr>
    </w:div>
    <w:div w:id="1724212367">
      <w:bodyDiv w:val="1"/>
      <w:marLeft w:val="0"/>
      <w:marRight w:val="0"/>
      <w:marTop w:val="0"/>
      <w:marBottom w:val="0"/>
      <w:divBdr>
        <w:top w:val="none" w:sz="0" w:space="0" w:color="auto"/>
        <w:left w:val="none" w:sz="0" w:space="0" w:color="auto"/>
        <w:bottom w:val="none" w:sz="0" w:space="0" w:color="auto"/>
        <w:right w:val="none" w:sz="0" w:space="0" w:color="auto"/>
      </w:divBdr>
    </w:div>
    <w:div w:id="1726636349">
      <w:bodyDiv w:val="1"/>
      <w:marLeft w:val="0"/>
      <w:marRight w:val="0"/>
      <w:marTop w:val="0"/>
      <w:marBottom w:val="0"/>
      <w:divBdr>
        <w:top w:val="none" w:sz="0" w:space="0" w:color="auto"/>
        <w:left w:val="none" w:sz="0" w:space="0" w:color="auto"/>
        <w:bottom w:val="none" w:sz="0" w:space="0" w:color="auto"/>
        <w:right w:val="none" w:sz="0" w:space="0" w:color="auto"/>
      </w:divBdr>
    </w:div>
    <w:div w:id="1746757244">
      <w:bodyDiv w:val="1"/>
      <w:marLeft w:val="0"/>
      <w:marRight w:val="0"/>
      <w:marTop w:val="0"/>
      <w:marBottom w:val="0"/>
      <w:divBdr>
        <w:top w:val="none" w:sz="0" w:space="0" w:color="auto"/>
        <w:left w:val="none" w:sz="0" w:space="0" w:color="auto"/>
        <w:bottom w:val="none" w:sz="0" w:space="0" w:color="auto"/>
        <w:right w:val="none" w:sz="0" w:space="0" w:color="auto"/>
      </w:divBdr>
    </w:div>
    <w:div w:id="1782533186">
      <w:bodyDiv w:val="1"/>
      <w:marLeft w:val="0"/>
      <w:marRight w:val="0"/>
      <w:marTop w:val="0"/>
      <w:marBottom w:val="0"/>
      <w:divBdr>
        <w:top w:val="none" w:sz="0" w:space="0" w:color="auto"/>
        <w:left w:val="none" w:sz="0" w:space="0" w:color="auto"/>
        <w:bottom w:val="none" w:sz="0" w:space="0" w:color="auto"/>
        <w:right w:val="none" w:sz="0" w:space="0" w:color="auto"/>
      </w:divBdr>
    </w:div>
    <w:div w:id="1811748365">
      <w:bodyDiv w:val="1"/>
      <w:marLeft w:val="0"/>
      <w:marRight w:val="0"/>
      <w:marTop w:val="0"/>
      <w:marBottom w:val="0"/>
      <w:divBdr>
        <w:top w:val="none" w:sz="0" w:space="0" w:color="auto"/>
        <w:left w:val="none" w:sz="0" w:space="0" w:color="auto"/>
        <w:bottom w:val="none" w:sz="0" w:space="0" w:color="auto"/>
        <w:right w:val="none" w:sz="0" w:space="0" w:color="auto"/>
      </w:divBdr>
    </w:div>
    <w:div w:id="1834906993">
      <w:bodyDiv w:val="1"/>
      <w:marLeft w:val="0"/>
      <w:marRight w:val="0"/>
      <w:marTop w:val="0"/>
      <w:marBottom w:val="0"/>
      <w:divBdr>
        <w:top w:val="none" w:sz="0" w:space="0" w:color="auto"/>
        <w:left w:val="none" w:sz="0" w:space="0" w:color="auto"/>
        <w:bottom w:val="none" w:sz="0" w:space="0" w:color="auto"/>
        <w:right w:val="none" w:sz="0" w:space="0" w:color="auto"/>
      </w:divBdr>
    </w:div>
    <w:div w:id="1846166203">
      <w:bodyDiv w:val="1"/>
      <w:marLeft w:val="0"/>
      <w:marRight w:val="0"/>
      <w:marTop w:val="0"/>
      <w:marBottom w:val="0"/>
      <w:divBdr>
        <w:top w:val="none" w:sz="0" w:space="0" w:color="auto"/>
        <w:left w:val="none" w:sz="0" w:space="0" w:color="auto"/>
        <w:bottom w:val="none" w:sz="0" w:space="0" w:color="auto"/>
        <w:right w:val="none" w:sz="0" w:space="0" w:color="auto"/>
      </w:divBdr>
    </w:div>
    <w:div w:id="1850215631">
      <w:bodyDiv w:val="1"/>
      <w:marLeft w:val="0"/>
      <w:marRight w:val="0"/>
      <w:marTop w:val="0"/>
      <w:marBottom w:val="0"/>
      <w:divBdr>
        <w:top w:val="none" w:sz="0" w:space="0" w:color="auto"/>
        <w:left w:val="none" w:sz="0" w:space="0" w:color="auto"/>
        <w:bottom w:val="none" w:sz="0" w:space="0" w:color="auto"/>
        <w:right w:val="none" w:sz="0" w:space="0" w:color="auto"/>
      </w:divBdr>
      <w:divsChild>
        <w:div w:id="1939219351">
          <w:marLeft w:val="0"/>
          <w:marRight w:val="0"/>
          <w:marTop w:val="0"/>
          <w:marBottom w:val="0"/>
          <w:divBdr>
            <w:top w:val="none" w:sz="0" w:space="0" w:color="auto"/>
            <w:left w:val="none" w:sz="0" w:space="0" w:color="auto"/>
            <w:bottom w:val="none" w:sz="0" w:space="0" w:color="auto"/>
            <w:right w:val="none" w:sz="0" w:space="0" w:color="auto"/>
          </w:divBdr>
        </w:div>
      </w:divsChild>
    </w:div>
    <w:div w:id="1883444744">
      <w:bodyDiv w:val="1"/>
      <w:marLeft w:val="0"/>
      <w:marRight w:val="0"/>
      <w:marTop w:val="0"/>
      <w:marBottom w:val="0"/>
      <w:divBdr>
        <w:top w:val="none" w:sz="0" w:space="0" w:color="auto"/>
        <w:left w:val="none" w:sz="0" w:space="0" w:color="auto"/>
        <w:bottom w:val="none" w:sz="0" w:space="0" w:color="auto"/>
        <w:right w:val="none" w:sz="0" w:space="0" w:color="auto"/>
      </w:divBdr>
    </w:div>
    <w:div w:id="1914849994">
      <w:bodyDiv w:val="1"/>
      <w:marLeft w:val="0"/>
      <w:marRight w:val="0"/>
      <w:marTop w:val="0"/>
      <w:marBottom w:val="0"/>
      <w:divBdr>
        <w:top w:val="none" w:sz="0" w:space="0" w:color="auto"/>
        <w:left w:val="none" w:sz="0" w:space="0" w:color="auto"/>
        <w:bottom w:val="none" w:sz="0" w:space="0" w:color="auto"/>
        <w:right w:val="none" w:sz="0" w:space="0" w:color="auto"/>
      </w:divBdr>
    </w:div>
    <w:div w:id="1936669837">
      <w:bodyDiv w:val="1"/>
      <w:marLeft w:val="0"/>
      <w:marRight w:val="0"/>
      <w:marTop w:val="0"/>
      <w:marBottom w:val="0"/>
      <w:divBdr>
        <w:top w:val="none" w:sz="0" w:space="0" w:color="auto"/>
        <w:left w:val="none" w:sz="0" w:space="0" w:color="auto"/>
        <w:bottom w:val="none" w:sz="0" w:space="0" w:color="auto"/>
        <w:right w:val="none" w:sz="0" w:space="0" w:color="auto"/>
      </w:divBdr>
    </w:div>
    <w:div w:id="1940982970">
      <w:bodyDiv w:val="1"/>
      <w:marLeft w:val="0"/>
      <w:marRight w:val="0"/>
      <w:marTop w:val="0"/>
      <w:marBottom w:val="0"/>
      <w:divBdr>
        <w:top w:val="none" w:sz="0" w:space="0" w:color="auto"/>
        <w:left w:val="none" w:sz="0" w:space="0" w:color="auto"/>
        <w:bottom w:val="none" w:sz="0" w:space="0" w:color="auto"/>
        <w:right w:val="none" w:sz="0" w:space="0" w:color="auto"/>
      </w:divBdr>
    </w:div>
    <w:div w:id="1958826425">
      <w:bodyDiv w:val="1"/>
      <w:marLeft w:val="0"/>
      <w:marRight w:val="0"/>
      <w:marTop w:val="0"/>
      <w:marBottom w:val="0"/>
      <w:divBdr>
        <w:top w:val="none" w:sz="0" w:space="0" w:color="auto"/>
        <w:left w:val="none" w:sz="0" w:space="0" w:color="auto"/>
        <w:bottom w:val="none" w:sz="0" w:space="0" w:color="auto"/>
        <w:right w:val="none" w:sz="0" w:space="0" w:color="auto"/>
      </w:divBdr>
    </w:div>
    <w:div w:id="2040278563">
      <w:bodyDiv w:val="1"/>
      <w:marLeft w:val="0"/>
      <w:marRight w:val="0"/>
      <w:marTop w:val="0"/>
      <w:marBottom w:val="0"/>
      <w:divBdr>
        <w:top w:val="none" w:sz="0" w:space="0" w:color="auto"/>
        <w:left w:val="none" w:sz="0" w:space="0" w:color="auto"/>
        <w:bottom w:val="none" w:sz="0" w:space="0" w:color="auto"/>
        <w:right w:val="none" w:sz="0" w:space="0" w:color="auto"/>
      </w:divBdr>
    </w:div>
    <w:div w:id="2054847484">
      <w:bodyDiv w:val="1"/>
      <w:marLeft w:val="0"/>
      <w:marRight w:val="0"/>
      <w:marTop w:val="0"/>
      <w:marBottom w:val="0"/>
      <w:divBdr>
        <w:top w:val="none" w:sz="0" w:space="0" w:color="auto"/>
        <w:left w:val="none" w:sz="0" w:space="0" w:color="auto"/>
        <w:bottom w:val="none" w:sz="0" w:space="0" w:color="auto"/>
        <w:right w:val="none" w:sz="0" w:space="0" w:color="auto"/>
      </w:divBdr>
    </w:div>
    <w:div w:id="2082097639">
      <w:bodyDiv w:val="1"/>
      <w:marLeft w:val="0"/>
      <w:marRight w:val="0"/>
      <w:marTop w:val="0"/>
      <w:marBottom w:val="0"/>
      <w:divBdr>
        <w:top w:val="none" w:sz="0" w:space="0" w:color="auto"/>
        <w:left w:val="none" w:sz="0" w:space="0" w:color="auto"/>
        <w:bottom w:val="none" w:sz="0" w:space="0" w:color="auto"/>
        <w:right w:val="none" w:sz="0" w:space="0" w:color="auto"/>
      </w:divBdr>
    </w:div>
    <w:div w:id="2099861336">
      <w:bodyDiv w:val="1"/>
      <w:marLeft w:val="0"/>
      <w:marRight w:val="0"/>
      <w:marTop w:val="0"/>
      <w:marBottom w:val="0"/>
      <w:divBdr>
        <w:top w:val="none" w:sz="0" w:space="0" w:color="auto"/>
        <w:left w:val="none" w:sz="0" w:space="0" w:color="auto"/>
        <w:bottom w:val="none" w:sz="0" w:space="0" w:color="auto"/>
        <w:right w:val="none" w:sz="0" w:space="0" w:color="auto"/>
      </w:divBdr>
    </w:div>
    <w:div w:id="2118984824">
      <w:bodyDiv w:val="1"/>
      <w:marLeft w:val="0"/>
      <w:marRight w:val="0"/>
      <w:marTop w:val="0"/>
      <w:marBottom w:val="0"/>
      <w:divBdr>
        <w:top w:val="none" w:sz="0" w:space="0" w:color="auto"/>
        <w:left w:val="none" w:sz="0" w:space="0" w:color="auto"/>
        <w:bottom w:val="none" w:sz="0" w:space="0" w:color="auto"/>
        <w:right w:val="none" w:sz="0" w:space="0" w:color="auto"/>
      </w:divBdr>
    </w:div>
    <w:div w:id="2128234885">
      <w:bodyDiv w:val="1"/>
      <w:marLeft w:val="0"/>
      <w:marRight w:val="0"/>
      <w:marTop w:val="0"/>
      <w:marBottom w:val="0"/>
      <w:divBdr>
        <w:top w:val="none" w:sz="0" w:space="0" w:color="auto"/>
        <w:left w:val="none" w:sz="0" w:space="0" w:color="auto"/>
        <w:bottom w:val="none" w:sz="0" w:space="0" w:color="auto"/>
        <w:right w:val="none" w:sz="0" w:space="0" w:color="auto"/>
      </w:divBdr>
    </w:div>
    <w:div w:id="214619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undocs.org/DP/2013/41"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undocs.org/DP/2015/26/Ad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3856b32-dbbd-4996-9e5d-776de7c2e4f8">
      <UserInfo>
        <DisplayName>Lina Fernandez</DisplayName>
        <AccountId>18</AccountId>
        <AccountType/>
      </UserInfo>
      <UserInfo>
        <DisplayName>Akiko Hasegawa</DisplayName>
        <AccountId>10</AccountId>
        <AccountType/>
      </UserInfo>
      <UserInfo>
        <DisplayName>Miriam Kunorubwe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3E40B-7BC2-4259-8220-1933483A2D55}">
  <ds:schemaRefs>
    <ds:schemaRef ds:uri="http://schemas.microsoft.com/office/2006/documentManagement/types"/>
    <ds:schemaRef ds:uri="http://schemas.microsoft.com/office/infopath/2007/PartnerControls"/>
    <ds:schemaRef ds:uri="33856b32-dbbd-4996-9e5d-776de7c2e4f8"/>
    <ds:schemaRef ds:uri="http://purl.org/dc/elements/1.1/"/>
    <ds:schemaRef ds:uri="http://schemas.microsoft.com/office/2006/metadata/properties"/>
    <ds:schemaRef ds:uri="http://purl.org/dc/terms/"/>
    <ds:schemaRef ds:uri="http://schemas.openxmlformats.org/package/2006/metadata/core-properties"/>
    <ds:schemaRef ds:uri="a8946dc4-2e98-472c-b2e6-ca9019b8dfda"/>
    <ds:schemaRef ds:uri="http://www.w3.org/XML/1998/namespace"/>
    <ds:schemaRef ds:uri="http://purl.org/dc/dcmitype/"/>
  </ds:schemaRefs>
</ds:datastoreItem>
</file>

<file path=customXml/itemProps2.xml><?xml version="1.0" encoding="utf-8"?>
<ds:datastoreItem xmlns:ds="http://schemas.openxmlformats.org/officeDocument/2006/customXml" ds:itemID="{B9466A1E-EADE-400C-9F2C-73F21C3E94DB}">
  <ds:schemaRefs>
    <ds:schemaRef ds:uri="http://schemas.openxmlformats.org/officeDocument/2006/bibliography"/>
  </ds:schemaRefs>
</ds:datastoreItem>
</file>

<file path=customXml/itemProps3.xml><?xml version="1.0" encoding="utf-8"?>
<ds:datastoreItem xmlns:ds="http://schemas.openxmlformats.org/officeDocument/2006/customXml" ds:itemID="{7B287DF2-059E-4999-AA45-FEC1ECA6A3F4}">
  <ds:schemaRefs>
    <ds:schemaRef ds:uri="http://schemas.microsoft.com/sharepoint/v3/contenttype/forms"/>
  </ds:schemaRefs>
</ds:datastoreItem>
</file>

<file path=customXml/itemProps4.xml><?xml version="1.0" encoding="utf-8"?>
<ds:datastoreItem xmlns:ds="http://schemas.openxmlformats.org/officeDocument/2006/customXml" ds:itemID="{E6F18AC5-86B6-43F5-9DD2-E3420DB74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7326</Words>
  <Characters>41763</Characters>
  <Application>Microsoft Office Word</Application>
  <DocSecurity>4</DocSecurity>
  <Lines>348</Lines>
  <Paragraphs>97</Paragraphs>
  <ScaleCrop>false</ScaleCrop>
  <HeadingPairs>
    <vt:vector size="2" baseType="variant">
      <vt:variant>
        <vt:lpstr>Title</vt:lpstr>
      </vt:variant>
      <vt:variant>
        <vt:i4>1</vt:i4>
      </vt:variant>
    </vt:vector>
  </HeadingPairs>
  <TitlesOfParts>
    <vt:vector size="1" baseType="lpstr">
      <vt:lpstr>DP2020-21_Annex 1</vt:lpstr>
    </vt:vector>
  </TitlesOfParts>
  <Company>United Nations</Company>
  <LinksUpToDate>false</LinksUpToDate>
  <CharactersWithSpaces>48992</CharactersWithSpaces>
  <SharedDoc>false</SharedDoc>
  <HLinks>
    <vt:vector size="210" baseType="variant">
      <vt:variant>
        <vt:i4>7602282</vt:i4>
      </vt:variant>
      <vt:variant>
        <vt:i4>120</vt:i4>
      </vt:variant>
      <vt:variant>
        <vt:i4>0</vt:i4>
      </vt:variant>
      <vt:variant>
        <vt:i4>5</vt:i4>
      </vt:variant>
      <vt:variant>
        <vt:lpwstr>http://undocs.org/DP/2015/26/Add.1</vt:lpwstr>
      </vt:variant>
      <vt:variant>
        <vt:lpwstr/>
      </vt:variant>
      <vt:variant>
        <vt:i4>7602282</vt:i4>
      </vt:variant>
      <vt:variant>
        <vt:i4>117</vt:i4>
      </vt:variant>
      <vt:variant>
        <vt:i4>0</vt:i4>
      </vt:variant>
      <vt:variant>
        <vt:i4>5</vt:i4>
      </vt:variant>
      <vt:variant>
        <vt:lpwstr>http://undocs.org/DP/2015/26/Add.1</vt:lpwstr>
      </vt:variant>
      <vt:variant>
        <vt:lpwstr/>
      </vt:variant>
      <vt:variant>
        <vt:i4>4653071</vt:i4>
      </vt:variant>
      <vt:variant>
        <vt:i4>114</vt:i4>
      </vt:variant>
      <vt:variant>
        <vt:i4>0</vt:i4>
      </vt:variant>
      <vt:variant>
        <vt:i4>5</vt:i4>
      </vt:variant>
      <vt:variant>
        <vt:lpwstr>http://undocs.org/DP/2013/41</vt:lpwstr>
      </vt:variant>
      <vt:variant>
        <vt:lpwstr/>
      </vt:variant>
      <vt:variant>
        <vt:i4>7602282</vt:i4>
      </vt:variant>
      <vt:variant>
        <vt:i4>111</vt:i4>
      </vt:variant>
      <vt:variant>
        <vt:i4>0</vt:i4>
      </vt:variant>
      <vt:variant>
        <vt:i4>5</vt:i4>
      </vt:variant>
      <vt:variant>
        <vt:lpwstr>http://undocs.org/DP/2015/26/Add.1</vt:lpwstr>
      </vt:variant>
      <vt:variant>
        <vt:lpwstr/>
      </vt:variant>
      <vt:variant>
        <vt:i4>1835060</vt:i4>
      </vt:variant>
      <vt:variant>
        <vt:i4>104</vt:i4>
      </vt:variant>
      <vt:variant>
        <vt:i4>0</vt:i4>
      </vt:variant>
      <vt:variant>
        <vt:i4>5</vt:i4>
      </vt:variant>
      <vt:variant>
        <vt:lpwstr/>
      </vt:variant>
      <vt:variant>
        <vt:lpwstr>_Toc45297453</vt:lpwstr>
      </vt:variant>
      <vt:variant>
        <vt:i4>1900596</vt:i4>
      </vt:variant>
      <vt:variant>
        <vt:i4>98</vt:i4>
      </vt:variant>
      <vt:variant>
        <vt:i4>0</vt:i4>
      </vt:variant>
      <vt:variant>
        <vt:i4>5</vt:i4>
      </vt:variant>
      <vt:variant>
        <vt:lpwstr/>
      </vt:variant>
      <vt:variant>
        <vt:lpwstr>_Toc45297452</vt:lpwstr>
      </vt:variant>
      <vt:variant>
        <vt:i4>1966132</vt:i4>
      </vt:variant>
      <vt:variant>
        <vt:i4>92</vt:i4>
      </vt:variant>
      <vt:variant>
        <vt:i4>0</vt:i4>
      </vt:variant>
      <vt:variant>
        <vt:i4>5</vt:i4>
      </vt:variant>
      <vt:variant>
        <vt:lpwstr/>
      </vt:variant>
      <vt:variant>
        <vt:lpwstr>_Toc45297451</vt:lpwstr>
      </vt:variant>
      <vt:variant>
        <vt:i4>2031668</vt:i4>
      </vt:variant>
      <vt:variant>
        <vt:i4>86</vt:i4>
      </vt:variant>
      <vt:variant>
        <vt:i4>0</vt:i4>
      </vt:variant>
      <vt:variant>
        <vt:i4>5</vt:i4>
      </vt:variant>
      <vt:variant>
        <vt:lpwstr/>
      </vt:variant>
      <vt:variant>
        <vt:lpwstr>_Toc45297450</vt:lpwstr>
      </vt:variant>
      <vt:variant>
        <vt:i4>1441845</vt:i4>
      </vt:variant>
      <vt:variant>
        <vt:i4>80</vt:i4>
      </vt:variant>
      <vt:variant>
        <vt:i4>0</vt:i4>
      </vt:variant>
      <vt:variant>
        <vt:i4>5</vt:i4>
      </vt:variant>
      <vt:variant>
        <vt:lpwstr/>
      </vt:variant>
      <vt:variant>
        <vt:lpwstr>_Toc45297449</vt:lpwstr>
      </vt:variant>
      <vt:variant>
        <vt:i4>1507381</vt:i4>
      </vt:variant>
      <vt:variant>
        <vt:i4>74</vt:i4>
      </vt:variant>
      <vt:variant>
        <vt:i4>0</vt:i4>
      </vt:variant>
      <vt:variant>
        <vt:i4>5</vt:i4>
      </vt:variant>
      <vt:variant>
        <vt:lpwstr/>
      </vt:variant>
      <vt:variant>
        <vt:lpwstr>_Toc45297448</vt:lpwstr>
      </vt:variant>
      <vt:variant>
        <vt:i4>1572917</vt:i4>
      </vt:variant>
      <vt:variant>
        <vt:i4>68</vt:i4>
      </vt:variant>
      <vt:variant>
        <vt:i4>0</vt:i4>
      </vt:variant>
      <vt:variant>
        <vt:i4>5</vt:i4>
      </vt:variant>
      <vt:variant>
        <vt:lpwstr/>
      </vt:variant>
      <vt:variant>
        <vt:lpwstr>_Toc45297447</vt:lpwstr>
      </vt:variant>
      <vt:variant>
        <vt:i4>1900597</vt:i4>
      </vt:variant>
      <vt:variant>
        <vt:i4>62</vt:i4>
      </vt:variant>
      <vt:variant>
        <vt:i4>0</vt:i4>
      </vt:variant>
      <vt:variant>
        <vt:i4>5</vt:i4>
      </vt:variant>
      <vt:variant>
        <vt:lpwstr/>
      </vt:variant>
      <vt:variant>
        <vt:lpwstr>_Toc45297442</vt:lpwstr>
      </vt:variant>
      <vt:variant>
        <vt:i4>1966133</vt:i4>
      </vt:variant>
      <vt:variant>
        <vt:i4>56</vt:i4>
      </vt:variant>
      <vt:variant>
        <vt:i4>0</vt:i4>
      </vt:variant>
      <vt:variant>
        <vt:i4>5</vt:i4>
      </vt:variant>
      <vt:variant>
        <vt:lpwstr/>
      </vt:variant>
      <vt:variant>
        <vt:lpwstr>_Toc45297441</vt:lpwstr>
      </vt:variant>
      <vt:variant>
        <vt:i4>2031669</vt:i4>
      </vt:variant>
      <vt:variant>
        <vt:i4>50</vt:i4>
      </vt:variant>
      <vt:variant>
        <vt:i4>0</vt:i4>
      </vt:variant>
      <vt:variant>
        <vt:i4>5</vt:i4>
      </vt:variant>
      <vt:variant>
        <vt:lpwstr/>
      </vt:variant>
      <vt:variant>
        <vt:lpwstr>_Toc45297440</vt:lpwstr>
      </vt:variant>
      <vt:variant>
        <vt:i4>1572914</vt:i4>
      </vt:variant>
      <vt:variant>
        <vt:i4>44</vt:i4>
      </vt:variant>
      <vt:variant>
        <vt:i4>0</vt:i4>
      </vt:variant>
      <vt:variant>
        <vt:i4>5</vt:i4>
      </vt:variant>
      <vt:variant>
        <vt:lpwstr/>
      </vt:variant>
      <vt:variant>
        <vt:lpwstr>_Toc45297437</vt:lpwstr>
      </vt:variant>
      <vt:variant>
        <vt:i4>1638450</vt:i4>
      </vt:variant>
      <vt:variant>
        <vt:i4>38</vt:i4>
      </vt:variant>
      <vt:variant>
        <vt:i4>0</vt:i4>
      </vt:variant>
      <vt:variant>
        <vt:i4>5</vt:i4>
      </vt:variant>
      <vt:variant>
        <vt:lpwstr/>
      </vt:variant>
      <vt:variant>
        <vt:lpwstr>_Toc45297436</vt:lpwstr>
      </vt:variant>
      <vt:variant>
        <vt:i4>1572915</vt:i4>
      </vt:variant>
      <vt:variant>
        <vt:i4>32</vt:i4>
      </vt:variant>
      <vt:variant>
        <vt:i4>0</vt:i4>
      </vt:variant>
      <vt:variant>
        <vt:i4>5</vt:i4>
      </vt:variant>
      <vt:variant>
        <vt:lpwstr/>
      </vt:variant>
      <vt:variant>
        <vt:lpwstr>_Toc45297427</vt:lpwstr>
      </vt:variant>
      <vt:variant>
        <vt:i4>1900595</vt:i4>
      </vt:variant>
      <vt:variant>
        <vt:i4>26</vt:i4>
      </vt:variant>
      <vt:variant>
        <vt:i4>0</vt:i4>
      </vt:variant>
      <vt:variant>
        <vt:i4>5</vt:i4>
      </vt:variant>
      <vt:variant>
        <vt:lpwstr/>
      </vt:variant>
      <vt:variant>
        <vt:lpwstr>_Toc45297422</vt:lpwstr>
      </vt:variant>
      <vt:variant>
        <vt:i4>1966131</vt:i4>
      </vt:variant>
      <vt:variant>
        <vt:i4>20</vt:i4>
      </vt:variant>
      <vt:variant>
        <vt:i4>0</vt:i4>
      </vt:variant>
      <vt:variant>
        <vt:i4>5</vt:i4>
      </vt:variant>
      <vt:variant>
        <vt:lpwstr/>
      </vt:variant>
      <vt:variant>
        <vt:lpwstr>_Toc45297421</vt:lpwstr>
      </vt:variant>
      <vt:variant>
        <vt:i4>2031667</vt:i4>
      </vt:variant>
      <vt:variant>
        <vt:i4>14</vt:i4>
      </vt:variant>
      <vt:variant>
        <vt:i4>0</vt:i4>
      </vt:variant>
      <vt:variant>
        <vt:i4>5</vt:i4>
      </vt:variant>
      <vt:variant>
        <vt:lpwstr/>
      </vt:variant>
      <vt:variant>
        <vt:lpwstr>_Toc45297420</vt:lpwstr>
      </vt:variant>
      <vt:variant>
        <vt:i4>1441840</vt:i4>
      </vt:variant>
      <vt:variant>
        <vt:i4>8</vt:i4>
      </vt:variant>
      <vt:variant>
        <vt:i4>0</vt:i4>
      </vt:variant>
      <vt:variant>
        <vt:i4>5</vt:i4>
      </vt:variant>
      <vt:variant>
        <vt:lpwstr/>
      </vt:variant>
      <vt:variant>
        <vt:lpwstr>_Toc45297419</vt:lpwstr>
      </vt:variant>
      <vt:variant>
        <vt:i4>1507376</vt:i4>
      </vt:variant>
      <vt:variant>
        <vt:i4>2</vt:i4>
      </vt:variant>
      <vt:variant>
        <vt:i4>0</vt:i4>
      </vt:variant>
      <vt:variant>
        <vt:i4>5</vt:i4>
      </vt:variant>
      <vt:variant>
        <vt:lpwstr/>
      </vt:variant>
      <vt:variant>
        <vt:lpwstr>_Toc45297418</vt:lpwstr>
      </vt:variant>
      <vt:variant>
        <vt:i4>8126490</vt:i4>
      </vt:variant>
      <vt:variant>
        <vt:i4>36</vt:i4>
      </vt:variant>
      <vt:variant>
        <vt:i4>0</vt:i4>
      </vt:variant>
      <vt:variant>
        <vt:i4>5</vt:i4>
      </vt:variant>
      <vt:variant>
        <vt:lpwstr>mailto:miriam.kunorubwe@undp.org</vt:lpwstr>
      </vt:variant>
      <vt:variant>
        <vt:lpwstr/>
      </vt:variant>
      <vt:variant>
        <vt:i4>8126490</vt:i4>
      </vt:variant>
      <vt:variant>
        <vt:i4>33</vt:i4>
      </vt:variant>
      <vt:variant>
        <vt:i4>0</vt:i4>
      </vt:variant>
      <vt:variant>
        <vt:i4>5</vt:i4>
      </vt:variant>
      <vt:variant>
        <vt:lpwstr>mailto:miriam.kunorubwe@undp.org</vt:lpwstr>
      </vt:variant>
      <vt:variant>
        <vt:lpwstr/>
      </vt:variant>
      <vt:variant>
        <vt:i4>5767213</vt:i4>
      </vt:variant>
      <vt:variant>
        <vt:i4>30</vt:i4>
      </vt:variant>
      <vt:variant>
        <vt:i4>0</vt:i4>
      </vt:variant>
      <vt:variant>
        <vt:i4>5</vt:i4>
      </vt:variant>
      <vt:variant>
        <vt:lpwstr>mailto:akiko.hasegawa@undp.org</vt:lpwstr>
      </vt:variant>
      <vt:variant>
        <vt:lpwstr/>
      </vt:variant>
      <vt:variant>
        <vt:i4>5767213</vt:i4>
      </vt:variant>
      <vt:variant>
        <vt:i4>27</vt:i4>
      </vt:variant>
      <vt:variant>
        <vt:i4>0</vt:i4>
      </vt:variant>
      <vt:variant>
        <vt:i4>5</vt:i4>
      </vt:variant>
      <vt:variant>
        <vt:lpwstr>mailto:akiko.hasegawa@undp.org</vt:lpwstr>
      </vt:variant>
      <vt:variant>
        <vt:lpwstr/>
      </vt:variant>
      <vt:variant>
        <vt:i4>8126490</vt:i4>
      </vt:variant>
      <vt:variant>
        <vt:i4>24</vt:i4>
      </vt:variant>
      <vt:variant>
        <vt:i4>0</vt:i4>
      </vt:variant>
      <vt:variant>
        <vt:i4>5</vt:i4>
      </vt:variant>
      <vt:variant>
        <vt:lpwstr>mailto:miriam.kunorubwe@undp.org</vt:lpwstr>
      </vt:variant>
      <vt:variant>
        <vt:lpwstr/>
      </vt:variant>
      <vt:variant>
        <vt:i4>5767213</vt:i4>
      </vt:variant>
      <vt:variant>
        <vt:i4>21</vt:i4>
      </vt:variant>
      <vt:variant>
        <vt:i4>0</vt:i4>
      </vt:variant>
      <vt:variant>
        <vt:i4>5</vt:i4>
      </vt:variant>
      <vt:variant>
        <vt:lpwstr>mailto:akiko.hasegawa@undp.org</vt:lpwstr>
      </vt:variant>
      <vt:variant>
        <vt:lpwstr/>
      </vt:variant>
      <vt:variant>
        <vt:i4>8126490</vt:i4>
      </vt:variant>
      <vt:variant>
        <vt:i4>18</vt:i4>
      </vt:variant>
      <vt:variant>
        <vt:i4>0</vt:i4>
      </vt:variant>
      <vt:variant>
        <vt:i4>5</vt:i4>
      </vt:variant>
      <vt:variant>
        <vt:lpwstr>mailto:miriam.kunorubwe@undp.org</vt:lpwstr>
      </vt:variant>
      <vt:variant>
        <vt:lpwstr/>
      </vt:variant>
      <vt:variant>
        <vt:i4>5767213</vt:i4>
      </vt:variant>
      <vt:variant>
        <vt:i4>15</vt:i4>
      </vt:variant>
      <vt:variant>
        <vt:i4>0</vt:i4>
      </vt:variant>
      <vt:variant>
        <vt:i4>5</vt:i4>
      </vt:variant>
      <vt:variant>
        <vt:lpwstr>mailto:akiko.hasegawa@undp.org</vt:lpwstr>
      </vt:variant>
      <vt:variant>
        <vt:lpwstr/>
      </vt:variant>
      <vt:variant>
        <vt:i4>8126490</vt:i4>
      </vt:variant>
      <vt:variant>
        <vt:i4>12</vt:i4>
      </vt:variant>
      <vt:variant>
        <vt:i4>0</vt:i4>
      </vt:variant>
      <vt:variant>
        <vt:i4>5</vt:i4>
      </vt:variant>
      <vt:variant>
        <vt:lpwstr>mailto:miriam.kunorubwe@undp.org</vt:lpwstr>
      </vt:variant>
      <vt:variant>
        <vt:lpwstr/>
      </vt:variant>
      <vt:variant>
        <vt:i4>5767213</vt:i4>
      </vt:variant>
      <vt:variant>
        <vt:i4>9</vt:i4>
      </vt:variant>
      <vt:variant>
        <vt:i4>0</vt:i4>
      </vt:variant>
      <vt:variant>
        <vt:i4>5</vt:i4>
      </vt:variant>
      <vt:variant>
        <vt:lpwstr>mailto:akiko.hasegawa@undp.org</vt:lpwstr>
      </vt:variant>
      <vt:variant>
        <vt:lpwstr/>
      </vt:variant>
      <vt:variant>
        <vt:i4>8126490</vt:i4>
      </vt:variant>
      <vt:variant>
        <vt:i4>6</vt:i4>
      </vt:variant>
      <vt:variant>
        <vt:i4>0</vt:i4>
      </vt:variant>
      <vt:variant>
        <vt:i4>5</vt:i4>
      </vt:variant>
      <vt:variant>
        <vt:lpwstr>mailto:miriam.kunorubwe@undp.org</vt:lpwstr>
      </vt:variant>
      <vt:variant>
        <vt:lpwstr/>
      </vt:variant>
      <vt:variant>
        <vt:i4>8126490</vt:i4>
      </vt:variant>
      <vt:variant>
        <vt:i4>3</vt:i4>
      </vt:variant>
      <vt:variant>
        <vt:i4>0</vt:i4>
      </vt:variant>
      <vt:variant>
        <vt:i4>5</vt:i4>
      </vt:variant>
      <vt:variant>
        <vt:lpwstr>mailto:miriam.kunorubwe@undp.org</vt:lpwstr>
      </vt:variant>
      <vt:variant>
        <vt:lpwstr/>
      </vt:variant>
      <vt:variant>
        <vt:i4>8126490</vt:i4>
      </vt:variant>
      <vt:variant>
        <vt:i4>0</vt:i4>
      </vt:variant>
      <vt:variant>
        <vt:i4>0</vt:i4>
      </vt:variant>
      <vt:variant>
        <vt:i4>5</vt:i4>
      </vt:variant>
      <vt:variant>
        <vt:lpwstr>mailto:miriam.kunorubwe@undp.org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DP2020-21_Annex 1</dc:title>
  <dc:subject/>
  <dc:creator>akiko.hasegawa@undp.org</dc:creator>
  <cp:keywords/>
  <dc:description/>
  <cp:lastModifiedBy>Svetlana Iazykova</cp:lastModifiedBy>
  <cp:revision>2</cp:revision>
  <cp:lastPrinted>2019-07-25T04:45:00Z</cp:lastPrinted>
  <dcterms:created xsi:type="dcterms:W3CDTF">2020-08-03T23:40:00Z</dcterms:created>
  <dcterms:modified xsi:type="dcterms:W3CDTF">2020-08-03T23:40:00Z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or">
    <vt:lpwstr/>
  </property>
  <property fmtid="{D5CDD505-2E9C-101B-9397-08002B2CF9AE}" pid="3" name="Distribution">
    <vt:lpwstr>General</vt:lpwstr>
  </property>
  <property fmtid="{D5CDD505-2E9C-101B-9397-08002B2CF9AE}" pid="4" name="Publication Date">
    <vt:lpwstr>4 August 2015</vt:lpwstr>
  </property>
  <property fmtid="{D5CDD505-2E9C-101B-9397-08002B2CF9AE}" pid="5" name="Original">
    <vt:lpwstr>English</vt:lpwstr>
  </property>
  <property fmtid="{D5CDD505-2E9C-101B-9397-08002B2CF9AE}" pid="6" name="Release Date">
    <vt:lpwstr>070815</vt:lpwstr>
  </property>
  <property fmtid="{D5CDD505-2E9C-101B-9397-08002B2CF9AE}" pid="7" name="ContentTypeId">
    <vt:lpwstr>0x010100FCD96E04E1A5D04F96FEB4D973A9C492</vt:lpwstr>
  </property>
  <property fmtid="{D5CDD505-2E9C-101B-9397-08002B2CF9AE}" pid="8" name="JobNo">
    <vt:lpwstr>1912420E</vt:lpwstr>
  </property>
  <property fmtid="{D5CDD505-2E9C-101B-9397-08002B2CF9AE}" pid="9" name="ODSRefJobNo">
    <vt:lpwstr>1922504E</vt:lpwstr>
  </property>
  <property fmtid="{D5CDD505-2E9C-101B-9397-08002B2CF9AE}" pid="10" name="Symbol1">
    <vt:lpwstr>DP/2019/26</vt:lpwstr>
  </property>
  <property fmtid="{D5CDD505-2E9C-101B-9397-08002B2CF9AE}" pid="11" name="Symbol2">
    <vt:lpwstr/>
  </property>
  <property fmtid="{D5CDD505-2E9C-101B-9397-08002B2CF9AE}" pid="12" name="Comment">
    <vt:lpwstr/>
  </property>
  <property fmtid="{D5CDD505-2E9C-101B-9397-08002B2CF9AE}" pid="13" name="DraftPages">
    <vt:lpwstr>27</vt:lpwstr>
  </property>
  <property fmtid="{D5CDD505-2E9C-101B-9397-08002B2CF9AE}" pid="14" name="Operator">
    <vt:lpwstr>JG (final)</vt:lpwstr>
  </property>
</Properties>
</file>