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43151" w14:textId="77777777" w:rsidR="003C4BB2" w:rsidRPr="00BD2570" w:rsidRDefault="003C4BB2" w:rsidP="003C4BB2">
      <w:pPr>
        <w:jc w:val="center"/>
        <w:rPr>
          <w:rFonts w:eastAsiaTheme="minorEastAsia"/>
          <w:b/>
          <w:sz w:val="32"/>
          <w:szCs w:val="32"/>
          <w:lang w:val="da-DK" w:eastAsia="en-GB"/>
        </w:rPr>
      </w:pPr>
    </w:p>
    <w:p w14:paraId="30F4CD57" w14:textId="77777777" w:rsidR="003C4BB2" w:rsidRPr="00DA2C5E" w:rsidRDefault="003C4BB2" w:rsidP="003C4BB2">
      <w:pPr>
        <w:jc w:val="center"/>
        <w:rPr>
          <w:rFonts w:eastAsiaTheme="minorEastAsia"/>
          <w:b/>
          <w:sz w:val="32"/>
          <w:szCs w:val="32"/>
          <w:lang w:eastAsia="en-GB"/>
        </w:rPr>
      </w:pPr>
    </w:p>
    <w:p w14:paraId="3A763F13" w14:textId="77777777" w:rsidR="003C4BB2" w:rsidRPr="00DA2C5E" w:rsidRDefault="003C4BB2" w:rsidP="003C4BB2">
      <w:pPr>
        <w:jc w:val="center"/>
        <w:rPr>
          <w:rFonts w:eastAsiaTheme="minorEastAsia"/>
          <w:b/>
          <w:sz w:val="32"/>
          <w:szCs w:val="32"/>
          <w:lang w:eastAsia="en-GB"/>
        </w:rPr>
      </w:pPr>
    </w:p>
    <w:p w14:paraId="655E85C8" w14:textId="77777777" w:rsidR="003C4BB2" w:rsidRPr="00DA2C5E" w:rsidRDefault="003C4BB2" w:rsidP="003C4BB2">
      <w:pPr>
        <w:jc w:val="center"/>
        <w:rPr>
          <w:rFonts w:eastAsiaTheme="minorEastAsia"/>
          <w:b/>
          <w:sz w:val="32"/>
          <w:szCs w:val="32"/>
          <w:lang w:eastAsia="en-GB"/>
        </w:rPr>
      </w:pPr>
    </w:p>
    <w:p w14:paraId="763F273D" w14:textId="77777777" w:rsidR="003C4BB2" w:rsidRPr="00DA2C5E" w:rsidRDefault="003C4BB2" w:rsidP="003C4BB2">
      <w:pPr>
        <w:jc w:val="center"/>
        <w:rPr>
          <w:rFonts w:eastAsiaTheme="minorEastAsia"/>
          <w:b/>
          <w:sz w:val="32"/>
          <w:szCs w:val="32"/>
          <w:lang w:eastAsia="en-GB"/>
        </w:rPr>
      </w:pPr>
    </w:p>
    <w:p w14:paraId="6FD14A57" w14:textId="77777777" w:rsidR="003C4BB2" w:rsidRPr="00DA2C5E" w:rsidRDefault="003C4BB2" w:rsidP="003C4BB2">
      <w:pPr>
        <w:jc w:val="center"/>
        <w:rPr>
          <w:rFonts w:eastAsiaTheme="minorEastAsia"/>
          <w:b/>
          <w:sz w:val="32"/>
          <w:szCs w:val="32"/>
          <w:lang w:eastAsia="en-GB"/>
        </w:rPr>
      </w:pPr>
    </w:p>
    <w:p w14:paraId="4B1DDD1F" w14:textId="77777777" w:rsidR="003C4BB2" w:rsidRPr="00DA2C5E" w:rsidRDefault="003C4BB2" w:rsidP="003C4BB2">
      <w:pPr>
        <w:jc w:val="center"/>
        <w:rPr>
          <w:rFonts w:eastAsiaTheme="minorEastAsia"/>
          <w:b/>
          <w:sz w:val="32"/>
          <w:szCs w:val="32"/>
          <w:lang w:eastAsia="en-GB"/>
        </w:rPr>
      </w:pPr>
    </w:p>
    <w:p w14:paraId="53B8CF4B" w14:textId="77777777" w:rsidR="00A72413" w:rsidRPr="00DA2C5E" w:rsidRDefault="00A72413" w:rsidP="003A489C">
      <w:pPr>
        <w:jc w:val="center"/>
        <w:rPr>
          <w:rFonts w:cs="Times New Roman"/>
          <w:b/>
          <w:sz w:val="32"/>
          <w:szCs w:val="32"/>
        </w:rPr>
      </w:pPr>
      <w:r w:rsidRPr="00DA2C5E">
        <w:rPr>
          <w:rFonts w:cs="Times New Roman"/>
          <w:b/>
          <w:sz w:val="32"/>
          <w:szCs w:val="32"/>
        </w:rPr>
        <w:t>Annex</w:t>
      </w:r>
      <w:r w:rsidR="00FF2BC4" w:rsidRPr="00DA2C5E">
        <w:rPr>
          <w:rFonts w:cs="Times New Roman"/>
          <w:b/>
          <w:sz w:val="32"/>
          <w:szCs w:val="32"/>
        </w:rPr>
        <w:t>es</w:t>
      </w:r>
    </w:p>
    <w:p w14:paraId="73F552B3" w14:textId="77777777" w:rsidR="00A72413" w:rsidRPr="00DA2C5E" w:rsidRDefault="00A72413" w:rsidP="003A489C">
      <w:pPr>
        <w:jc w:val="center"/>
        <w:rPr>
          <w:rFonts w:cs="Times New Roman"/>
          <w:b/>
          <w:sz w:val="32"/>
          <w:szCs w:val="32"/>
        </w:rPr>
      </w:pPr>
    </w:p>
    <w:p w14:paraId="257290CB" w14:textId="77777777" w:rsidR="00A72413" w:rsidRPr="00DA2C5E" w:rsidRDefault="00A72413" w:rsidP="003A489C">
      <w:pPr>
        <w:jc w:val="center"/>
        <w:rPr>
          <w:rFonts w:cs="Times New Roman"/>
          <w:b/>
          <w:sz w:val="32"/>
          <w:szCs w:val="32"/>
        </w:rPr>
      </w:pPr>
      <w:r w:rsidRPr="00DA2C5E">
        <w:rPr>
          <w:rFonts w:cs="Times New Roman"/>
          <w:b/>
          <w:sz w:val="32"/>
          <w:szCs w:val="32"/>
        </w:rPr>
        <w:t>Midterm review of the UNOPS strategic plan, 2018-2021</w:t>
      </w:r>
    </w:p>
    <w:p w14:paraId="372987A6" w14:textId="77777777" w:rsidR="00A72413" w:rsidRPr="00DA2C5E" w:rsidRDefault="00A72413" w:rsidP="003A489C">
      <w:pPr>
        <w:jc w:val="center"/>
        <w:rPr>
          <w:rFonts w:cs="Times New Roman"/>
          <w:sz w:val="32"/>
          <w:szCs w:val="32"/>
        </w:rPr>
      </w:pPr>
    </w:p>
    <w:p w14:paraId="4F45C538" w14:textId="77777777" w:rsidR="003C4BB2" w:rsidRPr="00DA2C5E" w:rsidRDefault="003C4BB2" w:rsidP="003A489C">
      <w:pPr>
        <w:jc w:val="center"/>
        <w:rPr>
          <w:rFonts w:cs="Times New Roman"/>
          <w:sz w:val="32"/>
          <w:szCs w:val="32"/>
        </w:rPr>
      </w:pPr>
    </w:p>
    <w:p w14:paraId="42ABCDFC" w14:textId="77777777" w:rsidR="00A72413" w:rsidRPr="00DA2C5E" w:rsidRDefault="00A72413" w:rsidP="00A72413">
      <w:pPr>
        <w:spacing w:after="120"/>
      </w:pPr>
      <w:r w:rsidRPr="00DA2C5E">
        <w:br w:type="page"/>
      </w:r>
    </w:p>
    <w:p w14:paraId="540A11D0" w14:textId="77777777" w:rsidR="00A72413" w:rsidRPr="00DA2C5E" w:rsidRDefault="00A141D1" w:rsidP="00A141D1">
      <w:pPr>
        <w:pStyle w:val="Heading1"/>
        <w:tabs>
          <w:tab w:val="clear" w:pos="425"/>
          <w:tab w:val="left" w:pos="1418"/>
        </w:tabs>
        <w:ind w:left="-11"/>
      </w:pPr>
      <w:r w:rsidRPr="00DA2C5E">
        <w:lastRenderedPageBreak/>
        <w:t>Annex I.</w:t>
      </w:r>
      <w:r w:rsidRPr="00DA2C5E">
        <w:tab/>
      </w:r>
      <w:r w:rsidR="00A72413" w:rsidRPr="00DA2C5E">
        <w:t>Why we are</w:t>
      </w:r>
    </w:p>
    <w:p w14:paraId="215A4D87" w14:textId="77777777" w:rsidR="003C4BB2" w:rsidRPr="00DA2C5E" w:rsidRDefault="003C4BB2" w:rsidP="003C4BB2"/>
    <w:p w14:paraId="205CFC47" w14:textId="77777777" w:rsidR="00A72413" w:rsidRPr="00DA2C5E" w:rsidRDefault="005233B1" w:rsidP="003C4BB2">
      <w:pPr>
        <w:pStyle w:val="Heading2"/>
      </w:pPr>
      <w:r w:rsidRPr="00DA2C5E">
        <w:t>Our strategic framework, purpose and goals</w:t>
      </w:r>
    </w:p>
    <w:p w14:paraId="2A46E72B" w14:textId="77777777" w:rsidR="003C4BB2" w:rsidRPr="00DA24F9" w:rsidRDefault="003C4BB2" w:rsidP="003C4BB2">
      <w:pPr>
        <w:rPr>
          <w:lang w:val="en-US"/>
        </w:rPr>
      </w:pPr>
    </w:p>
    <w:p w14:paraId="7D1F1903" w14:textId="3FCA0D94" w:rsidR="005233B1" w:rsidRPr="00DA2C5E" w:rsidRDefault="00DB350A" w:rsidP="00A72413">
      <w:pPr>
        <w:spacing w:after="120"/>
      </w:pPr>
      <w:r w:rsidRPr="00DA2C5E">
        <w:t>1</w:t>
      </w:r>
      <w:r w:rsidR="00453748" w:rsidRPr="00DA2C5E">
        <w:t>.</w:t>
      </w:r>
      <w:r w:rsidR="00453748" w:rsidRPr="00DA2C5E">
        <w:tab/>
      </w:r>
      <w:r w:rsidR="009052BB" w:rsidRPr="00DA2C5E">
        <w:t>In</w:t>
      </w:r>
      <w:r w:rsidR="00453748" w:rsidRPr="00DA2C5E">
        <w:t xml:space="preserve"> preparing </w:t>
      </w:r>
      <w:r w:rsidR="004F3331" w:rsidRPr="00DA2C5E">
        <w:t xml:space="preserve">the </w:t>
      </w:r>
      <w:r w:rsidR="00453748" w:rsidRPr="00DA2C5E">
        <w:t xml:space="preserve">midterm review of </w:t>
      </w:r>
      <w:r w:rsidR="004F3331" w:rsidRPr="00DA2C5E">
        <w:t xml:space="preserve">its </w:t>
      </w:r>
      <w:r w:rsidR="00453748" w:rsidRPr="00DA2C5E">
        <w:t>strategic plan, 2014-2017</w:t>
      </w:r>
      <w:r w:rsidR="004F3331" w:rsidRPr="00DA2C5E">
        <w:t>,</w:t>
      </w:r>
      <w:r w:rsidR="00453748" w:rsidRPr="00DA2C5E">
        <w:t xml:space="preserve"> UNOPS developed a comprehensive purpose statement. As UNOPS review</w:t>
      </w:r>
      <w:r w:rsidR="004F3331" w:rsidRPr="00DA2C5E">
        <w:t>s</w:t>
      </w:r>
      <w:r w:rsidR="00453748" w:rsidRPr="00DA2C5E">
        <w:t xml:space="preserve"> its strategic plan, 2018-2021</w:t>
      </w:r>
      <w:r w:rsidR="004F3331" w:rsidRPr="00DA2C5E">
        <w:t>,</w:t>
      </w:r>
      <w:r w:rsidR="00453748" w:rsidRPr="00DA2C5E">
        <w:t xml:space="preserve"> th</w:t>
      </w:r>
      <w:r w:rsidR="004F3331" w:rsidRPr="00DA2C5E">
        <w:t>at</w:t>
      </w:r>
      <w:r w:rsidR="00453748" w:rsidRPr="00DA2C5E">
        <w:t xml:space="preserve"> purpose statement remains relevant:</w:t>
      </w:r>
    </w:p>
    <w:p w14:paraId="2D0F715E" w14:textId="77777777" w:rsidR="005233B1" w:rsidRPr="00DA2C5E" w:rsidRDefault="005233B1" w:rsidP="00E90920">
      <w:pPr>
        <w:pStyle w:val="Heading3"/>
      </w:pPr>
      <w:r w:rsidRPr="00DA2C5E">
        <w:t>Our purpose</w:t>
      </w:r>
    </w:p>
    <w:p w14:paraId="447CDE91" w14:textId="77777777" w:rsidR="005233B1" w:rsidRPr="00DA2C5E" w:rsidRDefault="005233B1" w:rsidP="005233B1">
      <w:pPr>
        <w:tabs>
          <w:tab w:val="clear" w:pos="425"/>
        </w:tabs>
        <w:spacing w:after="60"/>
        <w:ind w:left="426" w:right="-2"/>
        <w:rPr>
          <w:rFonts w:eastAsia="Open Sans" w:cs="Times New Roman"/>
          <w:iCs/>
          <w:color w:val="000000" w:themeColor="text1"/>
          <w:kern w:val="24"/>
        </w:rPr>
      </w:pPr>
      <w:r w:rsidRPr="00DA2C5E">
        <w:rPr>
          <w:rFonts w:eastAsia="Open Sans" w:cs="Times New Roman"/>
          <w:iCs/>
          <w:kern w:val="24"/>
        </w:rPr>
        <w:t>We help people build better lives and countries achieve peace and sustainable development.</w:t>
      </w:r>
    </w:p>
    <w:p w14:paraId="05733C18" w14:textId="77777777" w:rsidR="005233B1" w:rsidRPr="00DA2C5E" w:rsidRDefault="005233B1" w:rsidP="005233B1">
      <w:pPr>
        <w:tabs>
          <w:tab w:val="clear" w:pos="425"/>
        </w:tabs>
        <w:spacing w:after="60"/>
        <w:ind w:left="426" w:right="-2"/>
        <w:rPr>
          <w:rFonts w:eastAsia="Open Sans" w:cs="Times New Roman"/>
          <w:iCs/>
          <w:color w:val="000000" w:themeColor="text1"/>
          <w:kern w:val="24"/>
        </w:rPr>
      </w:pPr>
      <w:r w:rsidRPr="00DA2C5E">
        <w:rPr>
          <w:rFonts w:eastAsia="Open Sans" w:cs="Times New Roman"/>
          <w:iCs/>
          <w:kern w:val="24"/>
        </w:rPr>
        <w:t>We bring to this task the values and principles of the United Nations and the innovation, boldness, speed and efficiency of a self-financed institution.</w:t>
      </w:r>
    </w:p>
    <w:p w14:paraId="30D508E9" w14:textId="77777777" w:rsidR="005233B1" w:rsidRPr="00DA2C5E" w:rsidRDefault="005233B1" w:rsidP="005233B1">
      <w:pPr>
        <w:tabs>
          <w:tab w:val="clear" w:pos="425"/>
        </w:tabs>
        <w:spacing w:after="60"/>
        <w:ind w:left="426" w:right="-2"/>
        <w:rPr>
          <w:rFonts w:eastAsia="Open Sans" w:cs="Times New Roman"/>
          <w:iCs/>
          <w:color w:val="000000" w:themeColor="text1"/>
          <w:kern w:val="24"/>
        </w:rPr>
      </w:pPr>
      <w:r w:rsidRPr="00DA2C5E">
        <w:rPr>
          <w:rFonts w:eastAsia="Open Sans" w:cs="Times New Roman"/>
          <w:iCs/>
          <w:kern w:val="24"/>
        </w:rPr>
        <w:t xml:space="preserve">We bring the highest international standards to what we do, and respect local contexts. We do this as our contribution to tackling the huge challenges of the 21st century. </w:t>
      </w:r>
    </w:p>
    <w:p w14:paraId="77C3A237" w14:textId="53C13F75" w:rsidR="005233B1" w:rsidRPr="00DA2C5E" w:rsidRDefault="005233B1" w:rsidP="005233B1">
      <w:pPr>
        <w:tabs>
          <w:tab w:val="clear" w:pos="425"/>
        </w:tabs>
        <w:spacing w:after="60"/>
        <w:ind w:left="426" w:right="-2"/>
        <w:rPr>
          <w:rFonts w:eastAsia="Open Sans" w:cs="Times New Roman"/>
          <w:iCs/>
          <w:color w:val="000000" w:themeColor="text1"/>
          <w:kern w:val="24"/>
        </w:rPr>
      </w:pPr>
      <w:r w:rsidRPr="00DA2C5E">
        <w:rPr>
          <w:rFonts w:eastAsia="Open Sans" w:cs="Times New Roman"/>
          <w:iCs/>
          <w:kern w:val="24"/>
        </w:rPr>
        <w:t xml:space="preserve">We provide practical solutions to </w:t>
      </w:r>
      <w:r w:rsidR="006F2F3B" w:rsidRPr="00DA2C5E">
        <w:rPr>
          <w:rFonts w:eastAsia="Open Sans" w:cs="Times New Roman"/>
          <w:iCs/>
          <w:kern w:val="24"/>
        </w:rPr>
        <w:t xml:space="preserve">help </w:t>
      </w:r>
      <w:r w:rsidRPr="00DA2C5E">
        <w:rPr>
          <w:rFonts w:eastAsia="Open Sans" w:cs="Times New Roman"/>
          <w:iCs/>
          <w:kern w:val="24"/>
        </w:rPr>
        <w:t xml:space="preserve">our partners save lives, protect people and their rights, and to build a better world. </w:t>
      </w:r>
    </w:p>
    <w:p w14:paraId="27331470" w14:textId="480B1D36" w:rsidR="005233B1" w:rsidRPr="00DA2C5E" w:rsidRDefault="005233B1" w:rsidP="005233B1">
      <w:pPr>
        <w:tabs>
          <w:tab w:val="clear" w:pos="425"/>
        </w:tabs>
        <w:spacing w:after="60"/>
        <w:ind w:left="426" w:right="-2"/>
        <w:rPr>
          <w:rFonts w:eastAsia="Open Sans" w:cs="Times New Roman"/>
          <w:iCs/>
          <w:color w:val="000000" w:themeColor="text1"/>
          <w:kern w:val="24"/>
        </w:rPr>
      </w:pPr>
      <w:r w:rsidRPr="00DA2C5E">
        <w:rPr>
          <w:rFonts w:eastAsia="Open Sans" w:cs="Times New Roman"/>
          <w:iCs/>
          <w:kern w:val="24"/>
        </w:rPr>
        <w:t>We aspire to be a leader in efforts to channel private sector investments for social and environmental impact while addressing the immense needs for sustainable development.</w:t>
      </w:r>
    </w:p>
    <w:p w14:paraId="6DA3DB49" w14:textId="6F4EF202" w:rsidR="005233B1" w:rsidRPr="00DA2C5E" w:rsidRDefault="005233B1" w:rsidP="005233B1">
      <w:pPr>
        <w:tabs>
          <w:tab w:val="clear" w:pos="425"/>
        </w:tabs>
        <w:spacing w:after="60"/>
        <w:ind w:left="426" w:right="-2"/>
        <w:rPr>
          <w:rFonts w:eastAsia="Open Sans" w:cs="Times New Roman"/>
          <w:iCs/>
          <w:color w:val="000000" w:themeColor="text1"/>
          <w:kern w:val="24"/>
        </w:rPr>
      </w:pPr>
      <w:r w:rsidRPr="00DA2C5E">
        <w:rPr>
          <w:rFonts w:eastAsia="Open Sans" w:cs="Times New Roman"/>
          <w:iCs/>
          <w:kern w:val="24"/>
        </w:rPr>
        <w:t>What drives us is a passion to fight inequalities and create opportunities for those most vulnerable. This means we often work in the most challenging contexts, building foundations for communities to function and for people to live with dignity and respect.</w:t>
      </w:r>
    </w:p>
    <w:p w14:paraId="42206E1D" w14:textId="77777777" w:rsidR="005233B1" w:rsidRPr="00DA2C5E" w:rsidRDefault="005233B1" w:rsidP="005233B1">
      <w:pPr>
        <w:tabs>
          <w:tab w:val="clear" w:pos="425"/>
        </w:tabs>
        <w:spacing w:after="60"/>
        <w:ind w:left="426" w:right="-2"/>
        <w:rPr>
          <w:rFonts w:eastAsia="Open Sans" w:cs="Times New Roman"/>
          <w:iCs/>
          <w:color w:val="000000" w:themeColor="text1"/>
          <w:kern w:val="24"/>
        </w:rPr>
      </w:pPr>
      <w:r w:rsidRPr="00DA2C5E">
        <w:rPr>
          <w:rFonts w:eastAsia="Open Sans" w:cs="Times New Roman"/>
          <w:iCs/>
          <w:kern w:val="24"/>
        </w:rPr>
        <w:t>We are passionate about quality: in our people and in what we do.</w:t>
      </w:r>
    </w:p>
    <w:p w14:paraId="712D2C45" w14:textId="77777777" w:rsidR="005233B1" w:rsidRPr="00DA2C5E" w:rsidRDefault="005233B1" w:rsidP="005233B1">
      <w:pPr>
        <w:tabs>
          <w:tab w:val="clear" w:pos="425"/>
        </w:tabs>
        <w:spacing w:after="60"/>
        <w:ind w:left="426" w:right="-2"/>
        <w:rPr>
          <w:rFonts w:eastAsia="Open Sans" w:cs="Times New Roman"/>
          <w:iCs/>
          <w:kern w:val="24"/>
        </w:rPr>
      </w:pPr>
      <w:r w:rsidRPr="00DA2C5E">
        <w:rPr>
          <w:rFonts w:eastAsia="Open Sans" w:cs="Times New Roman"/>
          <w:iCs/>
          <w:kern w:val="24"/>
        </w:rPr>
        <w:t>We earn the trust of those we work with by caring about what they value, and by delivering on our promise to always act in the service of people in need.</w:t>
      </w:r>
    </w:p>
    <w:p w14:paraId="6D0835D2" w14:textId="77777777" w:rsidR="003C4BB2" w:rsidRPr="00DA2C5E" w:rsidRDefault="003C4BB2" w:rsidP="005233B1">
      <w:pPr>
        <w:tabs>
          <w:tab w:val="clear" w:pos="425"/>
        </w:tabs>
        <w:spacing w:after="60"/>
        <w:ind w:left="426" w:right="-2"/>
        <w:rPr>
          <w:rFonts w:eastAsia="Open Sans" w:cs="Times New Roman"/>
          <w:iCs/>
          <w:color w:val="000000" w:themeColor="text1"/>
          <w:kern w:val="24"/>
        </w:rPr>
      </w:pPr>
    </w:p>
    <w:p w14:paraId="6F05A2B6" w14:textId="77777777" w:rsidR="005233B1" w:rsidRPr="00DA2C5E" w:rsidRDefault="005233B1" w:rsidP="003C4BB2">
      <w:pPr>
        <w:pStyle w:val="Heading2"/>
      </w:pPr>
      <w:r w:rsidRPr="00DA2C5E">
        <w:t>People, countries and operational contexts in 2018-2019</w:t>
      </w:r>
    </w:p>
    <w:p w14:paraId="46400FD6" w14:textId="77777777" w:rsidR="003C4BB2" w:rsidRPr="00DA2C5E" w:rsidRDefault="003C4BB2" w:rsidP="003C4BB2"/>
    <w:p w14:paraId="22AC57FD" w14:textId="77777777" w:rsidR="00453748" w:rsidRPr="00DA2C5E" w:rsidRDefault="00D124D6" w:rsidP="00E90920">
      <w:pPr>
        <w:pStyle w:val="Heading3"/>
      </w:pPr>
      <w:r w:rsidRPr="00DA2C5E">
        <w:t>In-country and global activities</w:t>
      </w:r>
    </w:p>
    <w:p w14:paraId="48B8572E" w14:textId="347E2DD4" w:rsidR="00AA5618" w:rsidRPr="00DA2C5E" w:rsidRDefault="00AA5618" w:rsidP="00453748">
      <w:pPr>
        <w:spacing w:after="120"/>
      </w:pPr>
      <w:r w:rsidRPr="00DA2C5E">
        <w:t>2.</w:t>
      </w:r>
      <w:r w:rsidRPr="00DA2C5E">
        <w:tab/>
      </w:r>
      <w:r w:rsidR="00000AD9" w:rsidRPr="00DA2C5E">
        <w:t>Over the biennium</w:t>
      </w:r>
      <w:r w:rsidR="004F3331" w:rsidRPr="00DA2C5E">
        <w:t>,</w:t>
      </w:r>
      <w:r w:rsidR="00000AD9" w:rsidRPr="00DA2C5E">
        <w:t xml:space="preserve"> 99 per cent of UNOPS activities were delivered in or from 127</w:t>
      </w:r>
      <w:r w:rsidR="004F3331" w:rsidRPr="00DA2C5E">
        <w:t> </w:t>
      </w:r>
      <w:r w:rsidR="00000AD9" w:rsidRPr="00DA2C5E">
        <w:t xml:space="preserve">countries, where the biennial gross delivery exceeded $1 million. </w:t>
      </w:r>
      <w:r w:rsidR="002E466F" w:rsidRPr="00DA2C5E">
        <w:t>The</w:t>
      </w:r>
      <w:r w:rsidR="006F2F3B" w:rsidRPr="00DA2C5E">
        <w:t>y</w:t>
      </w:r>
      <w:r w:rsidR="002E466F" w:rsidRPr="00DA2C5E">
        <w:t xml:space="preserve"> included 13 countries with global activities. The </w:t>
      </w:r>
      <w:r w:rsidR="006F2F3B" w:rsidRPr="00DA2C5E">
        <w:t xml:space="preserve">remaining </w:t>
      </w:r>
      <w:r w:rsidR="00000AD9" w:rsidRPr="00DA2C5E">
        <w:t>114 countries represented in-country</w:t>
      </w:r>
      <w:r w:rsidRPr="00DA2C5E">
        <w:t xml:space="preserve"> activities, and included 112 countries covered by the resident coordinator system. The </w:t>
      </w:r>
      <w:r w:rsidR="006F2F3B" w:rsidRPr="00DA2C5E">
        <w:t xml:space="preserve">final </w:t>
      </w:r>
      <w:r w:rsidRPr="00DA2C5E">
        <w:t>1 per cent was delivered in or from 51 countries.</w:t>
      </w:r>
    </w:p>
    <w:p w14:paraId="62F56A7B" w14:textId="2E2D637F" w:rsidR="004761A0" w:rsidRPr="00DA2C5E" w:rsidRDefault="00AA5618" w:rsidP="00453748">
      <w:pPr>
        <w:spacing w:after="120"/>
      </w:pPr>
      <w:r w:rsidRPr="00DA2C5E">
        <w:t xml:space="preserve">3. </w:t>
      </w:r>
      <w:r w:rsidRPr="00DA2C5E">
        <w:tab/>
        <w:t>In 8</w:t>
      </w:r>
      <w:r w:rsidR="00897447" w:rsidRPr="00DA2C5E">
        <w:t>1</w:t>
      </w:r>
      <w:r w:rsidRPr="00DA2C5E">
        <w:t xml:space="preserve"> countries the biennial activities amounted to more than $4 million. Th</w:t>
      </w:r>
      <w:r w:rsidR="004F3331" w:rsidRPr="00DA2C5E">
        <w:t>o</w:t>
      </w:r>
      <w:r w:rsidRPr="00DA2C5E">
        <w:t>se countries accounted for 97 per cent of the activities</w:t>
      </w:r>
      <w:r w:rsidR="004F3331" w:rsidRPr="00DA2C5E">
        <w:t>,</w:t>
      </w:r>
      <w:r w:rsidRPr="00DA2C5E">
        <w:t xml:space="preserve"> </w:t>
      </w:r>
      <w:r w:rsidR="004F3331" w:rsidRPr="00DA2C5E">
        <w:t>and</w:t>
      </w:r>
      <w:r w:rsidRPr="00DA2C5E">
        <w:t xml:space="preserve"> include</w:t>
      </w:r>
      <w:r w:rsidR="004F3331" w:rsidRPr="00DA2C5E">
        <w:t>d</w:t>
      </w:r>
      <w:r w:rsidRPr="00DA2C5E">
        <w:t xml:space="preserve"> 10 countries with global activities. </w:t>
      </w:r>
      <w:r w:rsidR="004F3331" w:rsidRPr="00DA2C5E">
        <w:t>A</w:t>
      </w:r>
      <w:r w:rsidR="004761A0" w:rsidRPr="00DA2C5E">
        <w:t>ctivities in 24 countries exceeded $50 million</w:t>
      </w:r>
      <w:r w:rsidR="004F3331" w:rsidRPr="00DA2C5E">
        <w:t xml:space="preserve"> over the biennium</w:t>
      </w:r>
      <w:r w:rsidR="004761A0" w:rsidRPr="00DA2C5E">
        <w:t>, amount</w:t>
      </w:r>
      <w:r w:rsidR="004F3331" w:rsidRPr="00DA2C5E">
        <w:t>ing</w:t>
      </w:r>
      <w:r w:rsidR="004761A0" w:rsidRPr="00DA2C5E">
        <w:t xml:space="preserve"> to 77 per cent of total</w:t>
      </w:r>
      <w:r w:rsidR="002E466F" w:rsidRPr="00DA2C5E">
        <w:t xml:space="preserve"> gross delivery</w:t>
      </w:r>
      <w:r w:rsidR="004761A0" w:rsidRPr="00DA2C5E">
        <w:t>. The</w:t>
      </w:r>
      <w:r w:rsidR="00F42BD8" w:rsidRPr="00DA2C5E">
        <w:t>y</w:t>
      </w:r>
      <w:r w:rsidR="004761A0" w:rsidRPr="00DA2C5E">
        <w:t xml:space="preserve"> included 22 programme countries covered by the residen</w:t>
      </w:r>
      <w:r w:rsidR="002E466F" w:rsidRPr="00DA2C5E">
        <w:t>t</w:t>
      </w:r>
      <w:r w:rsidR="004761A0" w:rsidRPr="00DA2C5E">
        <w:t xml:space="preserve"> coordinator system</w:t>
      </w:r>
      <w:r w:rsidR="004F3331" w:rsidRPr="00DA2C5E">
        <w:t>,</w:t>
      </w:r>
      <w:r w:rsidR="004761A0" w:rsidRPr="00DA2C5E">
        <w:t xml:space="preserve"> and two </w:t>
      </w:r>
      <w:r w:rsidR="004F3331" w:rsidRPr="00DA2C5E">
        <w:rPr>
          <w:rFonts w:cs="Times New Roman"/>
        </w:rPr>
        <w:t>Organization for Economic Cooperation and Development (OECD) Development Assistance Committee (DAC) member countries</w:t>
      </w:r>
      <w:r w:rsidR="004761A0" w:rsidRPr="00DA2C5E">
        <w:t>.</w:t>
      </w:r>
    </w:p>
    <w:p w14:paraId="7C02EAAA" w14:textId="6B6B62F3" w:rsidR="00D82AD3" w:rsidRPr="00DA2C5E" w:rsidRDefault="00AA5618" w:rsidP="00453748">
      <w:pPr>
        <w:spacing w:after="120"/>
      </w:pPr>
      <w:r w:rsidRPr="00DA2C5E">
        <w:t>4</w:t>
      </w:r>
      <w:r w:rsidR="00D82AD3" w:rsidRPr="00DA2C5E">
        <w:t>.</w:t>
      </w:r>
      <w:r w:rsidR="00DB350A" w:rsidRPr="00DA2C5E">
        <w:tab/>
      </w:r>
      <w:r w:rsidR="004F3331" w:rsidRPr="00DA2C5E">
        <w:t>Fourteen</w:t>
      </w:r>
      <w:r w:rsidR="00D124D6" w:rsidRPr="00DA2C5E">
        <w:t xml:space="preserve"> per cent of activities were delivered globally from a few OECD/DAC countries. The bulk of global activities </w:t>
      </w:r>
      <w:r w:rsidR="00F42BD8" w:rsidRPr="00DA2C5E">
        <w:t xml:space="preserve">was </w:t>
      </w:r>
      <w:r w:rsidR="00D124D6" w:rsidRPr="00DA2C5E">
        <w:t xml:space="preserve">delivered </w:t>
      </w:r>
      <w:r w:rsidR="00D82AD3" w:rsidRPr="00DA2C5E">
        <w:t xml:space="preserve">from Geneva, </w:t>
      </w:r>
      <w:r w:rsidR="00277DD5" w:rsidRPr="00DA2C5E">
        <w:t>New York, Copenhagen, Valencia, Brindisi, Brussels and Seoul</w:t>
      </w:r>
      <w:r w:rsidR="004F3331" w:rsidRPr="00DA2C5E">
        <w:t>, in that order</w:t>
      </w:r>
      <w:r w:rsidR="00D124D6" w:rsidRPr="00DA2C5E">
        <w:t>.</w:t>
      </w:r>
    </w:p>
    <w:p w14:paraId="16F170E0" w14:textId="77777777" w:rsidR="00D124D6" w:rsidRPr="00DA2C5E" w:rsidRDefault="00D124D6" w:rsidP="00E90920">
      <w:pPr>
        <w:pStyle w:val="Heading3"/>
      </w:pPr>
      <w:r w:rsidRPr="00DA2C5E">
        <w:t>The challenges of people and countries</w:t>
      </w:r>
    </w:p>
    <w:p w14:paraId="4783F141" w14:textId="62C705A2" w:rsidR="00D124D6" w:rsidRPr="00DA2C5E" w:rsidRDefault="00AA5618" w:rsidP="00D124D6">
      <w:pPr>
        <w:spacing w:after="120"/>
      </w:pPr>
      <w:r w:rsidRPr="00DA2C5E">
        <w:t>5</w:t>
      </w:r>
      <w:r w:rsidR="00D124D6" w:rsidRPr="00DA2C5E">
        <w:t>.</w:t>
      </w:r>
      <w:r w:rsidR="00DB350A" w:rsidRPr="00DA2C5E">
        <w:tab/>
      </w:r>
      <w:r w:rsidR="00F42BD8" w:rsidRPr="00DA2C5E">
        <w:t>In</w:t>
      </w:r>
      <w:r w:rsidR="00D124D6" w:rsidRPr="00DA2C5E">
        <w:t xml:space="preserve"> preparing the midterm review</w:t>
      </w:r>
      <w:r w:rsidR="004F3331" w:rsidRPr="00DA2C5E">
        <w:t>,</w:t>
      </w:r>
      <w:r w:rsidR="00D124D6" w:rsidRPr="00DA2C5E">
        <w:t xml:space="preserve"> UNOPS conducted a contextual assessment similar to </w:t>
      </w:r>
      <w:r w:rsidR="004F3331" w:rsidRPr="00DA2C5E">
        <w:t xml:space="preserve">the one </w:t>
      </w:r>
      <w:r w:rsidR="00D124D6" w:rsidRPr="00DA2C5E">
        <w:t>that inform</w:t>
      </w:r>
      <w:r w:rsidR="004F3331" w:rsidRPr="00DA2C5E">
        <w:t>ed</w:t>
      </w:r>
      <w:r w:rsidR="00D124D6" w:rsidRPr="00DA2C5E">
        <w:t xml:space="preserve"> the prior midterm review and the current strategic plan.</w:t>
      </w:r>
    </w:p>
    <w:p w14:paraId="2BCB2714" w14:textId="5CC5C687" w:rsidR="00D124D6" w:rsidRPr="00DA2C5E" w:rsidRDefault="00AA5618" w:rsidP="00D124D6">
      <w:pPr>
        <w:spacing w:after="120"/>
      </w:pPr>
      <w:r w:rsidRPr="00DA2C5E">
        <w:t>6</w:t>
      </w:r>
      <w:r w:rsidR="00D124D6" w:rsidRPr="00DA2C5E">
        <w:t>.</w:t>
      </w:r>
      <w:r w:rsidR="00DB350A" w:rsidRPr="00DA2C5E">
        <w:tab/>
      </w:r>
      <w:r w:rsidR="00D124D6" w:rsidRPr="00DA2C5E">
        <w:t>The assessment reconfirm</w:t>
      </w:r>
      <w:r w:rsidR="004F3331" w:rsidRPr="00DA2C5E">
        <w:t>ed</w:t>
      </w:r>
      <w:r w:rsidR="00D124D6" w:rsidRPr="00DA2C5E">
        <w:t xml:space="preserve"> strong correlations between UNOPS in-country activities and the challenges people face in different countries and contexts; and that the majority of its </w:t>
      </w:r>
      <w:r w:rsidR="002E466F" w:rsidRPr="00DA2C5E">
        <w:t xml:space="preserve">in-country </w:t>
      </w:r>
      <w:r w:rsidR="00D124D6" w:rsidRPr="00DA2C5E">
        <w:t>activities are concentrated in countries ranking low on the human development index and high on the humanitarian risk index.</w:t>
      </w:r>
    </w:p>
    <w:p w14:paraId="2BA6E34A" w14:textId="29A9A022" w:rsidR="00D124D6" w:rsidRPr="00DA2C5E" w:rsidRDefault="00AA5618" w:rsidP="00453748">
      <w:pPr>
        <w:spacing w:after="120"/>
      </w:pPr>
      <w:r w:rsidRPr="00DA2C5E">
        <w:rPr>
          <w:rFonts w:cs="Times New Roman"/>
        </w:rPr>
        <w:lastRenderedPageBreak/>
        <w:t>7</w:t>
      </w:r>
      <w:r w:rsidR="00D124D6" w:rsidRPr="00DA2C5E">
        <w:rPr>
          <w:rFonts w:cs="Times New Roman"/>
        </w:rPr>
        <w:t>.</w:t>
      </w:r>
      <w:r w:rsidR="00DB350A" w:rsidRPr="00DA2C5E">
        <w:rPr>
          <w:rFonts w:cs="Times New Roman"/>
        </w:rPr>
        <w:tab/>
      </w:r>
      <w:r w:rsidR="00D124D6" w:rsidRPr="00DA2C5E">
        <w:rPr>
          <w:rFonts w:cs="Times New Roman"/>
        </w:rPr>
        <w:t xml:space="preserve">The assessment covered aspects such as development, gross national income, </w:t>
      </w:r>
      <w:r w:rsidR="00CF600E" w:rsidRPr="00DA2C5E">
        <w:t>least developed countries, landlocked least developed countries, small island developing States</w:t>
      </w:r>
      <w:r w:rsidR="00D124D6" w:rsidRPr="00DA2C5E">
        <w:rPr>
          <w:rFonts w:cs="Times New Roman"/>
        </w:rPr>
        <w:t>, human development, peace and security, humanitarian risks, climate change</w:t>
      </w:r>
      <w:r w:rsidR="00F42BD8" w:rsidRPr="00DA2C5E">
        <w:rPr>
          <w:rFonts w:cs="Times New Roman"/>
        </w:rPr>
        <w:t>,</w:t>
      </w:r>
      <w:r w:rsidR="00D124D6" w:rsidRPr="00DA2C5E">
        <w:rPr>
          <w:rFonts w:cs="Times New Roman"/>
        </w:rPr>
        <w:t xml:space="preserve"> and transparency</w:t>
      </w:r>
      <w:r w:rsidR="00CF600E" w:rsidRPr="00DA2C5E">
        <w:rPr>
          <w:rFonts w:cs="Times New Roman"/>
        </w:rPr>
        <w:t xml:space="preserve"> (see</w:t>
      </w:r>
      <w:r w:rsidR="00D124D6" w:rsidRPr="00DA2C5E">
        <w:rPr>
          <w:rFonts w:cs="Times New Roman"/>
        </w:rPr>
        <w:t xml:space="preserve"> summar</w:t>
      </w:r>
      <w:r w:rsidR="00CF600E" w:rsidRPr="00DA2C5E">
        <w:rPr>
          <w:rFonts w:cs="Times New Roman"/>
        </w:rPr>
        <w:t>y</w:t>
      </w:r>
      <w:r w:rsidR="00D124D6" w:rsidRPr="00DA2C5E">
        <w:rPr>
          <w:rFonts w:cs="Times New Roman"/>
        </w:rPr>
        <w:t xml:space="preserve"> below</w:t>
      </w:r>
      <w:r w:rsidR="00CF600E" w:rsidRPr="00DA2C5E">
        <w:rPr>
          <w:rFonts w:cs="Times New Roman"/>
        </w:rPr>
        <w:t>)</w:t>
      </w:r>
      <w:r w:rsidR="00D124D6" w:rsidRPr="00DA2C5E">
        <w:rPr>
          <w:rFonts w:cs="Times New Roman"/>
        </w:rPr>
        <w:t>.</w:t>
      </w:r>
    </w:p>
    <w:p w14:paraId="3C6A4A20" w14:textId="77777777" w:rsidR="005233B1" w:rsidRPr="00DA2C5E" w:rsidRDefault="005233B1" w:rsidP="00B7162D">
      <w:pPr>
        <w:pStyle w:val="Heading4"/>
      </w:pPr>
      <w:r w:rsidRPr="00DA2C5E">
        <w:t xml:space="preserve">Development </w:t>
      </w:r>
    </w:p>
    <w:p w14:paraId="54AA88F6" w14:textId="09D4DC1F" w:rsidR="005233B1" w:rsidRPr="00DA2C5E" w:rsidRDefault="00C040F4" w:rsidP="005233B1">
      <w:pPr>
        <w:tabs>
          <w:tab w:val="clear" w:pos="425"/>
          <w:tab w:val="left" w:pos="426"/>
        </w:tabs>
        <w:spacing w:after="120"/>
        <w:rPr>
          <w:rFonts w:cs="Times New Roman"/>
        </w:rPr>
      </w:pPr>
      <w:r w:rsidRPr="00DA2C5E">
        <w:rPr>
          <w:rFonts w:cs="Times New Roman"/>
        </w:rPr>
        <w:t>8</w:t>
      </w:r>
      <w:r w:rsidR="005233B1" w:rsidRPr="00DA2C5E">
        <w:rPr>
          <w:rFonts w:cs="Times New Roman"/>
        </w:rPr>
        <w:t>.</w:t>
      </w:r>
      <w:r w:rsidR="005233B1" w:rsidRPr="00DA2C5E">
        <w:rPr>
          <w:rFonts w:cs="Times New Roman"/>
        </w:rPr>
        <w:tab/>
      </w:r>
      <w:r w:rsidR="00CF600E" w:rsidRPr="00DA2C5E">
        <w:rPr>
          <w:rFonts w:cs="Times New Roman"/>
        </w:rPr>
        <w:t xml:space="preserve">As of </w:t>
      </w:r>
      <w:r w:rsidR="005233B1" w:rsidRPr="00DA2C5E">
        <w:rPr>
          <w:rFonts w:cs="Times New Roman"/>
        </w:rPr>
        <w:t>2020, 3.8 billion people, 48 per cent of the world’s population, live</w:t>
      </w:r>
      <w:r w:rsidR="00CF600E" w:rsidRPr="00DA2C5E">
        <w:rPr>
          <w:rFonts w:cs="Times New Roman"/>
        </w:rPr>
        <w:t>d</w:t>
      </w:r>
      <w:r w:rsidR="005233B1" w:rsidRPr="00DA2C5E">
        <w:rPr>
          <w:rFonts w:cs="Times New Roman"/>
        </w:rPr>
        <w:t xml:space="preserve"> in 73 low- and lower-middle-income countries below the median of the human development index. UNOPS had activities in 64 of those countries, representing 53 per cent of gross delivery</w:t>
      </w:r>
      <w:r w:rsidR="00CF600E" w:rsidRPr="00DA2C5E">
        <w:rPr>
          <w:rFonts w:cs="Times New Roman"/>
        </w:rPr>
        <w:t xml:space="preserve"> – </w:t>
      </w:r>
      <w:r w:rsidR="005233B1" w:rsidRPr="00DA2C5E">
        <w:rPr>
          <w:rFonts w:cs="Times New Roman"/>
        </w:rPr>
        <w:t>an increase of 32</w:t>
      </w:r>
      <w:r w:rsidR="00CF600E" w:rsidRPr="00DA2C5E">
        <w:rPr>
          <w:rFonts w:cs="Times New Roman"/>
        </w:rPr>
        <w:t> </w:t>
      </w:r>
      <w:r w:rsidR="005233B1" w:rsidRPr="00DA2C5E">
        <w:rPr>
          <w:rFonts w:cs="Times New Roman"/>
        </w:rPr>
        <w:t>per</w:t>
      </w:r>
      <w:r w:rsidR="00CF600E" w:rsidRPr="00DA2C5E">
        <w:rPr>
          <w:rFonts w:cs="Times New Roman"/>
        </w:rPr>
        <w:t> </w:t>
      </w:r>
      <w:r w:rsidR="005233B1" w:rsidRPr="00DA2C5E">
        <w:rPr>
          <w:rFonts w:cs="Times New Roman"/>
        </w:rPr>
        <w:t>cent compared to the biennial average of the prior strategy period.</w:t>
      </w:r>
      <w:r w:rsidR="005233B1" w:rsidRPr="00DA2C5E">
        <w:rPr>
          <w:rStyle w:val="FootnoteReference"/>
          <w:rFonts w:cs="Times New Roman"/>
        </w:rPr>
        <w:footnoteReference w:id="1"/>
      </w:r>
    </w:p>
    <w:p w14:paraId="2D552F51" w14:textId="0D1BC99A" w:rsidR="005233B1" w:rsidRPr="00DA2C5E" w:rsidRDefault="00AA5618" w:rsidP="005233B1">
      <w:pPr>
        <w:tabs>
          <w:tab w:val="clear" w:pos="425"/>
          <w:tab w:val="left" w:pos="426"/>
        </w:tabs>
        <w:spacing w:after="120"/>
        <w:rPr>
          <w:rFonts w:cs="Times New Roman"/>
        </w:rPr>
      </w:pPr>
      <w:r w:rsidRPr="00DA2C5E">
        <w:rPr>
          <w:rFonts w:cs="Times New Roman"/>
        </w:rPr>
        <w:t>9</w:t>
      </w:r>
      <w:r w:rsidR="005233B1" w:rsidRPr="00DA2C5E">
        <w:rPr>
          <w:rFonts w:cs="Times New Roman"/>
        </w:rPr>
        <w:t>.</w:t>
      </w:r>
      <w:r w:rsidR="005233B1" w:rsidRPr="00DA2C5E">
        <w:rPr>
          <w:rFonts w:cs="Times New Roman"/>
        </w:rPr>
        <w:tab/>
        <w:t>Fourteen per cent of the world</w:t>
      </w:r>
      <w:r w:rsidR="00CF600E" w:rsidRPr="00DA2C5E">
        <w:rPr>
          <w:rFonts w:cs="Times New Roman"/>
        </w:rPr>
        <w:t>’s</w:t>
      </w:r>
      <w:r w:rsidR="005233B1" w:rsidRPr="00DA2C5E">
        <w:rPr>
          <w:rFonts w:cs="Times New Roman"/>
        </w:rPr>
        <w:t xml:space="preserve"> population – 1.1 billion people – live in 47 least developed countries. UNOPS had activities in 43 of them, representing 46 per cent of gross delivery</w:t>
      </w:r>
      <w:r w:rsidR="00CF600E" w:rsidRPr="00DA2C5E">
        <w:rPr>
          <w:rFonts w:cs="Times New Roman"/>
        </w:rPr>
        <w:t xml:space="preserve"> – </w:t>
      </w:r>
      <w:r w:rsidR="005233B1" w:rsidRPr="00DA2C5E">
        <w:rPr>
          <w:rFonts w:cs="Times New Roman"/>
        </w:rPr>
        <w:t xml:space="preserve">an increase of </w:t>
      </w:r>
      <w:r w:rsidR="006B18C5" w:rsidRPr="00DA2C5E">
        <w:rPr>
          <w:rFonts w:cs="Times New Roman"/>
        </w:rPr>
        <w:t>2</w:t>
      </w:r>
      <w:r w:rsidR="006B18C5">
        <w:rPr>
          <w:rFonts w:cs="Times New Roman"/>
        </w:rPr>
        <w:t>2</w:t>
      </w:r>
      <w:r w:rsidR="006B18C5" w:rsidRPr="00DA2C5E">
        <w:rPr>
          <w:rFonts w:cs="Times New Roman"/>
        </w:rPr>
        <w:t xml:space="preserve"> </w:t>
      </w:r>
      <w:r w:rsidR="005233B1" w:rsidRPr="00DA2C5E">
        <w:rPr>
          <w:rFonts w:cs="Times New Roman"/>
        </w:rPr>
        <w:t>percent.</w:t>
      </w:r>
    </w:p>
    <w:p w14:paraId="38050A1F" w14:textId="5729BE5D" w:rsidR="005233B1" w:rsidRPr="00DA2C5E" w:rsidRDefault="00AA5618" w:rsidP="005233B1">
      <w:pPr>
        <w:tabs>
          <w:tab w:val="clear" w:pos="425"/>
          <w:tab w:val="left" w:pos="426"/>
        </w:tabs>
        <w:spacing w:after="120"/>
        <w:rPr>
          <w:rFonts w:cs="Times New Roman"/>
        </w:rPr>
      </w:pPr>
      <w:r w:rsidRPr="00DA2C5E">
        <w:rPr>
          <w:rFonts w:cs="Times New Roman"/>
        </w:rPr>
        <w:t>10</w:t>
      </w:r>
      <w:r w:rsidR="005233B1" w:rsidRPr="00DA2C5E">
        <w:rPr>
          <w:rFonts w:cs="Times New Roman"/>
        </w:rPr>
        <w:t>.</w:t>
      </w:r>
      <w:r w:rsidR="005233B1" w:rsidRPr="00DA2C5E">
        <w:rPr>
          <w:rFonts w:cs="Times New Roman"/>
        </w:rPr>
        <w:tab/>
        <w:t>Seven per cent of the world</w:t>
      </w:r>
      <w:r w:rsidR="00CF600E" w:rsidRPr="00DA2C5E">
        <w:rPr>
          <w:rFonts w:cs="Times New Roman"/>
        </w:rPr>
        <w:t>’s</w:t>
      </w:r>
      <w:r w:rsidR="005233B1" w:rsidRPr="00DA2C5E">
        <w:rPr>
          <w:rFonts w:cs="Times New Roman"/>
        </w:rPr>
        <w:t xml:space="preserve"> population – five hundred and thirty-three million people – live in 32</w:t>
      </w:r>
      <w:r w:rsidR="00E103E9" w:rsidRPr="00DA2C5E">
        <w:rPr>
          <w:rFonts w:cs="Times New Roman"/>
        </w:rPr>
        <w:t> </w:t>
      </w:r>
      <w:r w:rsidR="005233B1" w:rsidRPr="00DA2C5E">
        <w:rPr>
          <w:rFonts w:cs="Times New Roman"/>
        </w:rPr>
        <w:t>landlocked developing countries. UNOPS had activities in 23 of the</w:t>
      </w:r>
      <w:r w:rsidR="00F42BD8" w:rsidRPr="00DA2C5E">
        <w:rPr>
          <w:rFonts w:cs="Times New Roman"/>
        </w:rPr>
        <w:t>se</w:t>
      </w:r>
      <w:r w:rsidR="005233B1" w:rsidRPr="00DA2C5E">
        <w:rPr>
          <w:rFonts w:cs="Times New Roman"/>
        </w:rPr>
        <w:t>, representing 1</w:t>
      </w:r>
      <w:r w:rsidR="00405811" w:rsidRPr="00DA2C5E">
        <w:rPr>
          <w:rFonts w:cs="Times New Roman"/>
        </w:rPr>
        <w:t>6</w:t>
      </w:r>
      <w:r w:rsidR="00CF600E" w:rsidRPr="00DA2C5E">
        <w:rPr>
          <w:rFonts w:cs="Times New Roman"/>
        </w:rPr>
        <w:t> </w:t>
      </w:r>
      <w:r w:rsidR="005233B1" w:rsidRPr="00DA2C5E">
        <w:rPr>
          <w:rFonts w:cs="Times New Roman"/>
        </w:rPr>
        <w:t>per</w:t>
      </w:r>
      <w:r w:rsidR="00CF600E" w:rsidRPr="00DA2C5E">
        <w:rPr>
          <w:rFonts w:cs="Times New Roman"/>
        </w:rPr>
        <w:t> </w:t>
      </w:r>
      <w:r w:rsidR="005233B1" w:rsidRPr="00DA2C5E">
        <w:rPr>
          <w:rFonts w:cs="Times New Roman"/>
        </w:rPr>
        <w:t>cent of gross delivery, an increase of 6 per cent.</w:t>
      </w:r>
    </w:p>
    <w:p w14:paraId="34621CFB" w14:textId="124B7377" w:rsidR="005233B1" w:rsidRPr="00DA2C5E" w:rsidRDefault="00DB350A" w:rsidP="005233B1">
      <w:pPr>
        <w:tabs>
          <w:tab w:val="clear" w:pos="425"/>
          <w:tab w:val="left" w:pos="426"/>
        </w:tabs>
        <w:spacing w:after="120"/>
        <w:rPr>
          <w:rFonts w:cs="Times New Roman"/>
        </w:rPr>
      </w:pPr>
      <w:r w:rsidRPr="00DA2C5E">
        <w:rPr>
          <w:rFonts w:cs="Times New Roman"/>
        </w:rPr>
        <w:t>1</w:t>
      </w:r>
      <w:r w:rsidR="00AA5618" w:rsidRPr="00DA2C5E">
        <w:rPr>
          <w:rFonts w:cs="Times New Roman"/>
        </w:rPr>
        <w:t>1</w:t>
      </w:r>
      <w:r w:rsidR="005233B1" w:rsidRPr="00DA2C5E">
        <w:rPr>
          <w:rFonts w:cs="Times New Roman"/>
        </w:rPr>
        <w:t>.</w:t>
      </w:r>
      <w:r w:rsidR="005233B1" w:rsidRPr="00DA2C5E">
        <w:rPr>
          <w:rFonts w:cs="Times New Roman"/>
        </w:rPr>
        <w:tab/>
        <w:t xml:space="preserve">Almost </w:t>
      </w:r>
      <w:r w:rsidR="00CF600E" w:rsidRPr="00DA2C5E">
        <w:rPr>
          <w:rFonts w:cs="Times New Roman"/>
        </w:rPr>
        <w:t xml:space="preserve">1 </w:t>
      </w:r>
      <w:r w:rsidR="005233B1" w:rsidRPr="00DA2C5E">
        <w:rPr>
          <w:rFonts w:cs="Times New Roman"/>
        </w:rPr>
        <w:t>per cent of the world</w:t>
      </w:r>
      <w:r w:rsidR="00CF600E" w:rsidRPr="00DA2C5E">
        <w:rPr>
          <w:rFonts w:cs="Times New Roman"/>
        </w:rPr>
        <w:t>’s</w:t>
      </w:r>
      <w:r w:rsidR="005233B1" w:rsidRPr="00DA2C5E">
        <w:rPr>
          <w:rFonts w:cs="Times New Roman"/>
        </w:rPr>
        <w:t xml:space="preserve"> population – </w:t>
      </w:r>
      <w:r w:rsidR="00CF600E" w:rsidRPr="00DA2C5E">
        <w:rPr>
          <w:rFonts w:cs="Times New Roman"/>
        </w:rPr>
        <w:t>72</w:t>
      </w:r>
      <w:r w:rsidR="005233B1" w:rsidRPr="00DA2C5E">
        <w:rPr>
          <w:rFonts w:cs="Times New Roman"/>
        </w:rPr>
        <w:t xml:space="preserve"> million people – live in 58 small island developing States. UNOPS had activities in 20 of these, representing 2 per cent of gross delivery, a decrease of </w:t>
      </w:r>
      <w:r w:rsidR="006B18C5">
        <w:rPr>
          <w:rFonts w:cs="Times New Roman"/>
        </w:rPr>
        <w:t>6</w:t>
      </w:r>
      <w:r w:rsidR="006B18C5" w:rsidRPr="00DA2C5E">
        <w:rPr>
          <w:rFonts w:cs="Times New Roman"/>
        </w:rPr>
        <w:t> </w:t>
      </w:r>
      <w:r w:rsidR="005233B1" w:rsidRPr="00DA2C5E">
        <w:rPr>
          <w:rFonts w:cs="Times New Roman"/>
        </w:rPr>
        <w:t>per</w:t>
      </w:r>
      <w:r w:rsidR="007737EB" w:rsidRPr="00DA2C5E">
        <w:rPr>
          <w:rFonts w:cs="Times New Roman"/>
        </w:rPr>
        <w:t> </w:t>
      </w:r>
      <w:r w:rsidR="005233B1" w:rsidRPr="00DA2C5E">
        <w:rPr>
          <w:rFonts w:cs="Times New Roman"/>
        </w:rPr>
        <w:t>cent.</w:t>
      </w:r>
      <w:r w:rsidR="005233B1" w:rsidRPr="00DA2C5E">
        <w:rPr>
          <w:rStyle w:val="FootnoteReference"/>
          <w:rFonts w:cs="Times New Roman"/>
        </w:rPr>
        <w:footnoteReference w:id="2"/>
      </w:r>
    </w:p>
    <w:p w14:paraId="32FE9B3B" w14:textId="77777777" w:rsidR="005233B1" w:rsidRPr="00DA2C5E" w:rsidRDefault="005233B1" w:rsidP="00B7162D">
      <w:pPr>
        <w:pStyle w:val="Heading4"/>
      </w:pPr>
      <w:r w:rsidRPr="00DA2C5E">
        <w:t>Peace and security</w:t>
      </w:r>
    </w:p>
    <w:p w14:paraId="6C95FC4D" w14:textId="4AA47E9C" w:rsidR="005233B1" w:rsidRPr="00DA2C5E" w:rsidRDefault="00DB350A" w:rsidP="005233B1">
      <w:pPr>
        <w:tabs>
          <w:tab w:val="clear" w:pos="425"/>
          <w:tab w:val="left" w:pos="426"/>
        </w:tabs>
        <w:spacing w:after="120"/>
        <w:rPr>
          <w:rFonts w:cs="Times New Roman"/>
        </w:rPr>
      </w:pPr>
      <w:r w:rsidRPr="00DA2C5E">
        <w:rPr>
          <w:rFonts w:cs="Times New Roman"/>
        </w:rPr>
        <w:t>1</w:t>
      </w:r>
      <w:r w:rsidR="00AA5618" w:rsidRPr="00DA2C5E">
        <w:rPr>
          <w:rFonts w:cs="Times New Roman"/>
        </w:rPr>
        <w:t>2</w:t>
      </w:r>
      <w:r w:rsidR="005233B1" w:rsidRPr="00DA2C5E">
        <w:rPr>
          <w:rFonts w:cs="Times New Roman"/>
        </w:rPr>
        <w:t>.</w:t>
      </w:r>
      <w:r w:rsidR="005233B1" w:rsidRPr="00DA2C5E">
        <w:rPr>
          <w:rFonts w:cs="Times New Roman"/>
        </w:rPr>
        <w:tab/>
        <w:t>Forty-eight per cent of the world population – 3.7 billion people – live in 69 low- and lower-middle-income countries with risk levels above the median fragile states index. UNOPS had activities in 63 of those countries, representing 5</w:t>
      </w:r>
      <w:r w:rsidR="00405811" w:rsidRPr="00DA2C5E">
        <w:rPr>
          <w:rFonts w:cs="Times New Roman"/>
        </w:rPr>
        <w:t>8</w:t>
      </w:r>
      <w:r w:rsidR="005233B1" w:rsidRPr="00DA2C5E">
        <w:rPr>
          <w:rFonts w:cs="Times New Roman"/>
        </w:rPr>
        <w:t xml:space="preserve"> per cent of gross delivery, an increase of 3</w:t>
      </w:r>
      <w:r w:rsidR="006B18C5">
        <w:rPr>
          <w:rFonts w:cs="Times New Roman"/>
        </w:rPr>
        <w:t>3</w:t>
      </w:r>
      <w:r w:rsidR="00CF600E" w:rsidRPr="00DA2C5E">
        <w:rPr>
          <w:rFonts w:cs="Times New Roman"/>
        </w:rPr>
        <w:t> </w:t>
      </w:r>
      <w:r w:rsidR="005233B1" w:rsidRPr="00DA2C5E">
        <w:rPr>
          <w:rFonts w:cs="Times New Roman"/>
        </w:rPr>
        <w:t>per</w:t>
      </w:r>
      <w:r w:rsidR="00CF600E" w:rsidRPr="00DA2C5E">
        <w:rPr>
          <w:rFonts w:cs="Times New Roman"/>
        </w:rPr>
        <w:t> </w:t>
      </w:r>
      <w:r w:rsidR="005233B1" w:rsidRPr="00DA2C5E">
        <w:rPr>
          <w:rFonts w:cs="Times New Roman"/>
        </w:rPr>
        <w:t>cent.</w:t>
      </w:r>
    </w:p>
    <w:p w14:paraId="50FCF5F5" w14:textId="06B8A416" w:rsidR="005233B1" w:rsidRPr="00DA2C5E" w:rsidRDefault="00DB350A" w:rsidP="005233B1">
      <w:pPr>
        <w:tabs>
          <w:tab w:val="clear" w:pos="425"/>
          <w:tab w:val="left" w:pos="426"/>
        </w:tabs>
        <w:spacing w:after="120"/>
        <w:rPr>
          <w:rFonts w:cs="Times New Roman"/>
        </w:rPr>
      </w:pPr>
      <w:r w:rsidRPr="00DA2C5E">
        <w:rPr>
          <w:rFonts w:cs="Times New Roman"/>
        </w:rPr>
        <w:t>1</w:t>
      </w:r>
      <w:r w:rsidR="00AA5618" w:rsidRPr="00DA2C5E">
        <w:rPr>
          <w:rFonts w:cs="Times New Roman"/>
        </w:rPr>
        <w:t>3</w:t>
      </w:r>
      <w:r w:rsidR="005233B1" w:rsidRPr="00DA2C5E">
        <w:rPr>
          <w:rFonts w:cs="Times New Roman"/>
        </w:rPr>
        <w:t>.</w:t>
      </w:r>
      <w:r w:rsidR="005233B1" w:rsidRPr="00DA2C5E">
        <w:rPr>
          <w:rFonts w:cs="Times New Roman"/>
        </w:rPr>
        <w:tab/>
        <w:t>In 2018, there were 52 active state-based conflicts in 35 countries and territories</w:t>
      </w:r>
      <w:r w:rsidR="005233B1" w:rsidRPr="00DA2C5E">
        <w:rPr>
          <w:rStyle w:val="FootnoteReference"/>
          <w:rFonts w:cs="Times New Roman"/>
        </w:rPr>
        <w:footnoteReference w:id="3"/>
      </w:r>
      <w:r w:rsidR="005233B1" w:rsidRPr="00DA2C5E">
        <w:rPr>
          <w:rFonts w:cs="Times New Roman"/>
        </w:rPr>
        <w:t xml:space="preserve"> </w:t>
      </w:r>
      <w:r w:rsidR="00CF600E" w:rsidRPr="00DA2C5E">
        <w:rPr>
          <w:rFonts w:cs="Times New Roman"/>
        </w:rPr>
        <w:t xml:space="preserve">inhabited by </w:t>
      </w:r>
      <w:r w:rsidR="005233B1" w:rsidRPr="00DA2C5E">
        <w:rPr>
          <w:rFonts w:cs="Times New Roman"/>
        </w:rPr>
        <w:t>44</w:t>
      </w:r>
      <w:r w:rsidR="00E103E9" w:rsidRPr="00DA2C5E">
        <w:rPr>
          <w:rFonts w:cs="Times New Roman"/>
        </w:rPr>
        <w:t> </w:t>
      </w:r>
      <w:r w:rsidR="005233B1" w:rsidRPr="00DA2C5E">
        <w:rPr>
          <w:rFonts w:cs="Times New Roman"/>
        </w:rPr>
        <w:t>per cent of the world</w:t>
      </w:r>
      <w:r w:rsidR="00CF600E" w:rsidRPr="00DA2C5E">
        <w:rPr>
          <w:rFonts w:cs="Times New Roman"/>
        </w:rPr>
        <w:t>’s</w:t>
      </w:r>
      <w:r w:rsidR="005233B1" w:rsidRPr="00DA2C5E">
        <w:rPr>
          <w:rFonts w:cs="Times New Roman"/>
        </w:rPr>
        <w:t xml:space="preserve"> population – 3.4 billion people. UNOPS had activities in 33 of those countries, representing 50 per</w:t>
      </w:r>
      <w:r w:rsidR="00F42BD8" w:rsidRPr="00DA2C5E">
        <w:rPr>
          <w:rFonts w:cs="Times New Roman"/>
        </w:rPr>
        <w:t xml:space="preserve"> </w:t>
      </w:r>
      <w:r w:rsidR="005233B1" w:rsidRPr="00DA2C5E">
        <w:rPr>
          <w:rFonts w:cs="Times New Roman"/>
        </w:rPr>
        <w:t>cent of gross delivery, an increase of 37 per cent.</w:t>
      </w:r>
    </w:p>
    <w:p w14:paraId="137485B5" w14:textId="5DB2BE82" w:rsidR="005233B1" w:rsidRPr="00DA2C5E" w:rsidRDefault="00DB350A" w:rsidP="005233B1">
      <w:pPr>
        <w:tabs>
          <w:tab w:val="clear" w:pos="425"/>
          <w:tab w:val="left" w:pos="426"/>
        </w:tabs>
        <w:spacing w:after="120"/>
        <w:rPr>
          <w:rFonts w:cs="Times New Roman"/>
        </w:rPr>
      </w:pPr>
      <w:r w:rsidRPr="00DA2C5E">
        <w:rPr>
          <w:rFonts w:cs="Times New Roman"/>
        </w:rPr>
        <w:t>1</w:t>
      </w:r>
      <w:r w:rsidR="00AA5618" w:rsidRPr="00DA2C5E">
        <w:rPr>
          <w:rFonts w:cs="Times New Roman"/>
        </w:rPr>
        <w:t>4</w:t>
      </w:r>
      <w:r w:rsidR="005233B1" w:rsidRPr="00DA2C5E">
        <w:rPr>
          <w:rFonts w:cs="Times New Roman"/>
        </w:rPr>
        <w:t>.</w:t>
      </w:r>
      <w:r w:rsidR="005233B1" w:rsidRPr="00DA2C5E">
        <w:rPr>
          <w:rFonts w:cs="Times New Roman"/>
        </w:rPr>
        <w:tab/>
        <w:t>By 2020, the Department of Peace Operations</w:t>
      </w:r>
      <w:r w:rsidR="0041563F" w:rsidRPr="00DA2C5E">
        <w:rPr>
          <w:rFonts w:cs="Times New Roman"/>
        </w:rPr>
        <w:t>,</w:t>
      </w:r>
      <w:r w:rsidR="005233B1" w:rsidRPr="00DA2C5E">
        <w:rPr>
          <w:rFonts w:cs="Times New Roman"/>
        </w:rPr>
        <w:t xml:space="preserve"> </w:t>
      </w:r>
      <w:r w:rsidR="0041563F" w:rsidRPr="00DA2C5E">
        <w:rPr>
          <w:rFonts w:cs="Times New Roman"/>
        </w:rPr>
        <w:t xml:space="preserve">the Department of </w:t>
      </w:r>
      <w:r w:rsidR="005233B1" w:rsidRPr="00DA2C5E">
        <w:rPr>
          <w:rFonts w:cs="Times New Roman"/>
        </w:rPr>
        <w:t>Political and Peacebuilding Affairs</w:t>
      </w:r>
      <w:r w:rsidR="0041563F" w:rsidRPr="00DA2C5E">
        <w:rPr>
          <w:rFonts w:cs="Times New Roman"/>
        </w:rPr>
        <w:t>,</w:t>
      </w:r>
      <w:r w:rsidR="005233B1" w:rsidRPr="00DA2C5E">
        <w:rPr>
          <w:rFonts w:cs="Times New Roman"/>
        </w:rPr>
        <w:t xml:space="preserve"> and </w:t>
      </w:r>
      <w:r w:rsidR="0041563F" w:rsidRPr="00DA2C5E">
        <w:rPr>
          <w:rFonts w:cs="Times New Roman"/>
        </w:rPr>
        <w:t xml:space="preserve">the Department of </w:t>
      </w:r>
      <w:r w:rsidR="005233B1" w:rsidRPr="00DA2C5E">
        <w:rPr>
          <w:rFonts w:cs="Times New Roman"/>
        </w:rPr>
        <w:t>Operational Support managed and supported 11 special political missions and 13 peacekeeping operations – 12 in Africa, 10 in Asia, one in Europe and one in the Americas.</w:t>
      </w:r>
    </w:p>
    <w:p w14:paraId="783A3217" w14:textId="5CDA1661" w:rsidR="005233B1" w:rsidRPr="00DA2C5E" w:rsidRDefault="00DB350A" w:rsidP="005233B1">
      <w:pPr>
        <w:tabs>
          <w:tab w:val="clear" w:pos="425"/>
          <w:tab w:val="left" w:pos="426"/>
        </w:tabs>
        <w:spacing w:after="120"/>
        <w:rPr>
          <w:rFonts w:cs="Times New Roman"/>
        </w:rPr>
      </w:pPr>
      <w:r w:rsidRPr="00DA2C5E">
        <w:rPr>
          <w:rFonts w:cs="Times New Roman"/>
        </w:rPr>
        <w:t>1</w:t>
      </w:r>
      <w:r w:rsidR="00AA5618" w:rsidRPr="00DA2C5E">
        <w:rPr>
          <w:rFonts w:cs="Times New Roman"/>
        </w:rPr>
        <w:t>5</w:t>
      </w:r>
      <w:r w:rsidR="005233B1" w:rsidRPr="00DA2C5E">
        <w:rPr>
          <w:rFonts w:cs="Times New Roman"/>
        </w:rPr>
        <w:t>.</w:t>
      </w:r>
      <w:r w:rsidR="005233B1" w:rsidRPr="00DA2C5E">
        <w:rPr>
          <w:rFonts w:cs="Times New Roman"/>
        </w:rPr>
        <w:tab/>
        <w:t>The peacekeeping operations had around one hundred thousand deployed personnel and an annual budget of $6.5 billion. In 2018-2019, UNOPS had activities in all mission countries, amounting to 31</w:t>
      </w:r>
      <w:r w:rsidR="00F42BD8" w:rsidRPr="00DA2C5E">
        <w:rPr>
          <w:rFonts w:cs="Times New Roman"/>
        </w:rPr>
        <w:t> </w:t>
      </w:r>
      <w:r w:rsidR="005233B1" w:rsidRPr="00DA2C5E">
        <w:rPr>
          <w:rFonts w:cs="Times New Roman"/>
        </w:rPr>
        <w:t>per</w:t>
      </w:r>
      <w:r w:rsidR="00F42BD8" w:rsidRPr="00DA2C5E">
        <w:rPr>
          <w:rFonts w:cs="Times New Roman"/>
        </w:rPr>
        <w:t> </w:t>
      </w:r>
      <w:r w:rsidR="005233B1" w:rsidRPr="00DA2C5E">
        <w:rPr>
          <w:rFonts w:cs="Times New Roman"/>
        </w:rPr>
        <w:t>cent of gross delivery, an increase of 2</w:t>
      </w:r>
      <w:r w:rsidR="006B18C5">
        <w:rPr>
          <w:rFonts w:cs="Times New Roman"/>
        </w:rPr>
        <w:t>5</w:t>
      </w:r>
      <w:r w:rsidR="005233B1" w:rsidRPr="00DA2C5E">
        <w:rPr>
          <w:rFonts w:cs="Times New Roman"/>
        </w:rPr>
        <w:t xml:space="preserve"> per cent.</w:t>
      </w:r>
    </w:p>
    <w:p w14:paraId="6BA0852E" w14:textId="77777777" w:rsidR="005233B1" w:rsidRPr="00DA2C5E" w:rsidRDefault="005233B1" w:rsidP="00B7162D">
      <w:pPr>
        <w:pStyle w:val="Heading4"/>
      </w:pPr>
      <w:r w:rsidRPr="00DA2C5E">
        <w:t>Humanitarian risks</w:t>
      </w:r>
    </w:p>
    <w:p w14:paraId="0822140D" w14:textId="62D65C1B" w:rsidR="005233B1" w:rsidRPr="00DA2C5E" w:rsidRDefault="00DB350A" w:rsidP="005233B1">
      <w:pPr>
        <w:tabs>
          <w:tab w:val="clear" w:pos="425"/>
          <w:tab w:val="left" w:pos="426"/>
        </w:tabs>
        <w:spacing w:after="120"/>
        <w:rPr>
          <w:rFonts w:cs="Times New Roman"/>
        </w:rPr>
      </w:pPr>
      <w:r w:rsidRPr="00DA2C5E">
        <w:rPr>
          <w:rFonts w:cs="Times New Roman"/>
        </w:rPr>
        <w:t>1</w:t>
      </w:r>
      <w:r w:rsidR="00AA5618" w:rsidRPr="00DA2C5E">
        <w:rPr>
          <w:rFonts w:cs="Times New Roman"/>
        </w:rPr>
        <w:t>6</w:t>
      </w:r>
      <w:r w:rsidR="005233B1" w:rsidRPr="00DA2C5E">
        <w:rPr>
          <w:rFonts w:cs="Times New Roman"/>
        </w:rPr>
        <w:t>.</w:t>
      </w:r>
      <w:r w:rsidR="005233B1" w:rsidRPr="00DA2C5E">
        <w:rPr>
          <w:rFonts w:cs="Times New Roman"/>
        </w:rPr>
        <w:tab/>
        <w:t>Forty-nine per cent of the world’s population – 3.8 billion people – live in 70 low- and lower-middle-income countries with risk levels above the median humanitarian risk index. UNOPS had activities in 65 of those countries, representing 59 per cent of gross delivery, an increase of 3</w:t>
      </w:r>
      <w:r w:rsidR="00313C90">
        <w:rPr>
          <w:rFonts w:cs="Times New Roman"/>
        </w:rPr>
        <w:t>4</w:t>
      </w:r>
      <w:r w:rsidR="0041563F" w:rsidRPr="00DA2C5E">
        <w:rPr>
          <w:rFonts w:cs="Times New Roman"/>
        </w:rPr>
        <w:t> </w:t>
      </w:r>
      <w:r w:rsidR="005233B1" w:rsidRPr="00DA2C5E">
        <w:rPr>
          <w:rFonts w:cs="Times New Roman"/>
        </w:rPr>
        <w:t>per</w:t>
      </w:r>
      <w:r w:rsidR="0041563F" w:rsidRPr="00DA2C5E">
        <w:rPr>
          <w:rFonts w:cs="Times New Roman"/>
        </w:rPr>
        <w:t> </w:t>
      </w:r>
      <w:r w:rsidR="005233B1" w:rsidRPr="00DA2C5E">
        <w:rPr>
          <w:rFonts w:cs="Times New Roman"/>
        </w:rPr>
        <w:t>cent.</w:t>
      </w:r>
    </w:p>
    <w:p w14:paraId="1E67DE36" w14:textId="77777777" w:rsidR="005233B1" w:rsidRPr="00DA2C5E" w:rsidRDefault="00DB350A" w:rsidP="005233B1">
      <w:pPr>
        <w:tabs>
          <w:tab w:val="clear" w:pos="425"/>
          <w:tab w:val="left" w:pos="426"/>
        </w:tabs>
        <w:spacing w:after="120"/>
        <w:rPr>
          <w:rFonts w:cs="Times New Roman"/>
        </w:rPr>
      </w:pPr>
      <w:r w:rsidRPr="00DA2C5E">
        <w:rPr>
          <w:rFonts w:cs="Times New Roman"/>
        </w:rPr>
        <w:t>1</w:t>
      </w:r>
      <w:r w:rsidR="00AA5618" w:rsidRPr="00DA2C5E">
        <w:rPr>
          <w:rFonts w:cs="Times New Roman"/>
        </w:rPr>
        <w:t>7</w:t>
      </w:r>
      <w:r w:rsidR="005233B1" w:rsidRPr="00DA2C5E">
        <w:rPr>
          <w:rFonts w:cs="Times New Roman"/>
        </w:rPr>
        <w:t>.</w:t>
      </w:r>
      <w:r w:rsidR="005233B1" w:rsidRPr="00DA2C5E">
        <w:rPr>
          <w:rFonts w:cs="Times New Roman"/>
        </w:rPr>
        <w:tab/>
        <w:t>More than forty-one million internally displaced people reside in 31 countries. UNOPS had activities in 29 of those countries, amounting to more than $2 billion over the biennium.</w:t>
      </w:r>
    </w:p>
    <w:p w14:paraId="11C48CE5" w14:textId="77777777" w:rsidR="005233B1" w:rsidRPr="00DA2C5E" w:rsidRDefault="005233B1" w:rsidP="00B7162D">
      <w:pPr>
        <w:pStyle w:val="Heading4"/>
      </w:pPr>
      <w:r w:rsidRPr="00DA2C5E">
        <w:t xml:space="preserve">Climate change </w:t>
      </w:r>
    </w:p>
    <w:p w14:paraId="3C5DE769" w14:textId="60DD0690" w:rsidR="005233B1" w:rsidRPr="00DA2C5E" w:rsidRDefault="00DB350A" w:rsidP="005233B1">
      <w:pPr>
        <w:tabs>
          <w:tab w:val="clear" w:pos="425"/>
          <w:tab w:val="left" w:pos="426"/>
        </w:tabs>
        <w:spacing w:after="120"/>
        <w:rPr>
          <w:rFonts w:cs="Times New Roman"/>
        </w:rPr>
      </w:pPr>
      <w:r w:rsidRPr="00DA2C5E">
        <w:rPr>
          <w:rFonts w:cs="Times New Roman"/>
        </w:rPr>
        <w:t>1</w:t>
      </w:r>
      <w:r w:rsidR="00AA5618" w:rsidRPr="00DA2C5E">
        <w:rPr>
          <w:rFonts w:cs="Times New Roman"/>
        </w:rPr>
        <w:t>8</w:t>
      </w:r>
      <w:r w:rsidR="005233B1" w:rsidRPr="00DA2C5E">
        <w:rPr>
          <w:rFonts w:cs="Times New Roman"/>
        </w:rPr>
        <w:t>.</w:t>
      </w:r>
      <w:r w:rsidR="005233B1" w:rsidRPr="00DA2C5E">
        <w:rPr>
          <w:rFonts w:cs="Times New Roman"/>
        </w:rPr>
        <w:tab/>
        <w:t>Forty-seven per cent of the world</w:t>
      </w:r>
      <w:r w:rsidR="0041563F" w:rsidRPr="00DA2C5E">
        <w:rPr>
          <w:rFonts w:cs="Times New Roman"/>
        </w:rPr>
        <w:t>’s</w:t>
      </w:r>
      <w:r w:rsidR="005233B1" w:rsidRPr="00DA2C5E">
        <w:rPr>
          <w:rFonts w:cs="Times New Roman"/>
        </w:rPr>
        <w:t xml:space="preserve"> population – 3.7 billion people – live in 67 low</w:t>
      </w:r>
      <w:r w:rsidR="0041563F" w:rsidRPr="00DA2C5E">
        <w:rPr>
          <w:rFonts w:cs="Times New Roman"/>
        </w:rPr>
        <w:t>-</w:t>
      </w:r>
      <w:r w:rsidR="005233B1" w:rsidRPr="00DA2C5E">
        <w:rPr>
          <w:rFonts w:cs="Times New Roman"/>
        </w:rPr>
        <w:t xml:space="preserve"> and lower-middle</w:t>
      </w:r>
      <w:r w:rsidR="0041563F" w:rsidRPr="00DA2C5E">
        <w:rPr>
          <w:rFonts w:cs="Times New Roman"/>
        </w:rPr>
        <w:t>-</w:t>
      </w:r>
      <w:r w:rsidR="005233B1" w:rsidRPr="00DA2C5E">
        <w:rPr>
          <w:rFonts w:cs="Times New Roman"/>
        </w:rPr>
        <w:t>income countries that are below the median climate change adaptation index. UNOPS had activities in 62 of those countries, representing 50 per cent of gross delivery, an increase of 2</w:t>
      </w:r>
      <w:r w:rsidR="00313C90">
        <w:rPr>
          <w:rFonts w:cs="Times New Roman"/>
        </w:rPr>
        <w:t>7</w:t>
      </w:r>
      <w:r w:rsidR="0041563F" w:rsidRPr="00DA2C5E">
        <w:rPr>
          <w:rFonts w:cs="Times New Roman"/>
        </w:rPr>
        <w:t> </w:t>
      </w:r>
      <w:r w:rsidR="005233B1" w:rsidRPr="00DA2C5E">
        <w:rPr>
          <w:rFonts w:cs="Times New Roman"/>
        </w:rPr>
        <w:t>per</w:t>
      </w:r>
      <w:r w:rsidR="0041563F" w:rsidRPr="00DA2C5E">
        <w:rPr>
          <w:rFonts w:cs="Times New Roman"/>
        </w:rPr>
        <w:t> </w:t>
      </w:r>
      <w:r w:rsidR="005233B1" w:rsidRPr="00DA2C5E">
        <w:rPr>
          <w:rFonts w:cs="Times New Roman"/>
        </w:rPr>
        <w:t>cent.</w:t>
      </w:r>
    </w:p>
    <w:p w14:paraId="79838627" w14:textId="77777777" w:rsidR="005233B1" w:rsidRPr="00DA2C5E" w:rsidRDefault="005233B1" w:rsidP="006B4FAE">
      <w:pPr>
        <w:keepNext/>
        <w:tabs>
          <w:tab w:val="clear" w:pos="425"/>
          <w:tab w:val="left" w:pos="426"/>
        </w:tabs>
        <w:spacing w:after="120"/>
        <w:rPr>
          <w:rFonts w:cs="Times New Roman"/>
          <w:i/>
        </w:rPr>
      </w:pPr>
      <w:r w:rsidRPr="00DA2C5E">
        <w:rPr>
          <w:rFonts w:cs="Times New Roman"/>
          <w:i/>
        </w:rPr>
        <w:t>Transparency</w:t>
      </w:r>
    </w:p>
    <w:p w14:paraId="45BE6C4C" w14:textId="482F5F23" w:rsidR="00A72413" w:rsidRPr="00DA2C5E" w:rsidRDefault="00DB350A" w:rsidP="00A72413">
      <w:pPr>
        <w:spacing w:after="120"/>
        <w:rPr>
          <w:rFonts w:cs="Times New Roman"/>
        </w:rPr>
      </w:pPr>
      <w:r w:rsidRPr="00DA2C5E">
        <w:rPr>
          <w:rFonts w:cs="Times New Roman"/>
        </w:rPr>
        <w:t>1</w:t>
      </w:r>
      <w:r w:rsidR="00AA5618" w:rsidRPr="00DA2C5E">
        <w:rPr>
          <w:rFonts w:cs="Times New Roman"/>
        </w:rPr>
        <w:t>9</w:t>
      </w:r>
      <w:r w:rsidR="005233B1" w:rsidRPr="00DA2C5E">
        <w:rPr>
          <w:rFonts w:cs="Times New Roman"/>
        </w:rPr>
        <w:t>.</w:t>
      </w:r>
      <w:r w:rsidR="005233B1" w:rsidRPr="00DA2C5E">
        <w:rPr>
          <w:rFonts w:cs="Times New Roman"/>
        </w:rPr>
        <w:tab/>
        <w:t>Forty per cent of the world</w:t>
      </w:r>
      <w:r w:rsidR="0041563F" w:rsidRPr="00DA2C5E">
        <w:rPr>
          <w:rFonts w:cs="Times New Roman"/>
        </w:rPr>
        <w:t>’s</w:t>
      </w:r>
      <w:r w:rsidR="005233B1" w:rsidRPr="00DA2C5E">
        <w:rPr>
          <w:rFonts w:cs="Times New Roman"/>
        </w:rPr>
        <w:t xml:space="preserve"> population – 3.1 billion people – live in the </w:t>
      </w:r>
      <w:r w:rsidR="00313C90">
        <w:rPr>
          <w:rFonts w:cs="Times New Roman"/>
        </w:rPr>
        <w:t>8</w:t>
      </w:r>
      <w:r w:rsidR="005233B1" w:rsidRPr="00DA2C5E">
        <w:rPr>
          <w:rFonts w:cs="Times New Roman"/>
        </w:rPr>
        <w:t>9 countries below the median corruption perception index. UNOPS had activities in 74 of those countries, representing 7</w:t>
      </w:r>
      <w:r w:rsidR="00405811" w:rsidRPr="00DA2C5E">
        <w:rPr>
          <w:rFonts w:cs="Times New Roman"/>
        </w:rPr>
        <w:t>2</w:t>
      </w:r>
      <w:r w:rsidR="00F42BD8" w:rsidRPr="00DA2C5E">
        <w:rPr>
          <w:rFonts w:cs="Times New Roman"/>
        </w:rPr>
        <w:t> </w:t>
      </w:r>
      <w:r w:rsidR="005233B1" w:rsidRPr="00DA2C5E">
        <w:rPr>
          <w:rFonts w:cs="Times New Roman"/>
        </w:rPr>
        <w:t>per</w:t>
      </w:r>
      <w:r w:rsidR="00F42BD8" w:rsidRPr="00DA2C5E">
        <w:rPr>
          <w:rFonts w:cs="Times New Roman"/>
        </w:rPr>
        <w:t> </w:t>
      </w:r>
      <w:r w:rsidR="005233B1" w:rsidRPr="00DA2C5E">
        <w:rPr>
          <w:rFonts w:cs="Times New Roman"/>
        </w:rPr>
        <w:t xml:space="preserve">cent of gross delivery, an increase of </w:t>
      </w:r>
      <w:r w:rsidR="00313C90">
        <w:rPr>
          <w:rFonts w:cs="Times New Roman"/>
        </w:rPr>
        <w:t>40</w:t>
      </w:r>
      <w:r w:rsidR="005233B1" w:rsidRPr="00DA2C5E">
        <w:rPr>
          <w:rFonts w:cs="Times New Roman"/>
        </w:rPr>
        <w:t xml:space="preserve"> per cent.</w:t>
      </w:r>
    </w:p>
    <w:p w14:paraId="354D6944" w14:textId="77777777" w:rsidR="00A72413" w:rsidRPr="00DA2C5E" w:rsidRDefault="00A141D1" w:rsidP="00A141D1">
      <w:pPr>
        <w:pStyle w:val="Heading1"/>
        <w:tabs>
          <w:tab w:val="clear" w:pos="425"/>
          <w:tab w:val="left" w:pos="1418"/>
        </w:tabs>
        <w:ind w:left="0"/>
      </w:pPr>
      <w:r w:rsidRPr="00DA2C5E">
        <w:t>Annex II.</w:t>
      </w:r>
      <w:r w:rsidRPr="00DA2C5E">
        <w:tab/>
      </w:r>
      <w:r w:rsidR="00A72413" w:rsidRPr="00DA2C5E">
        <w:t>What we do</w:t>
      </w:r>
    </w:p>
    <w:p w14:paraId="75CC1E61" w14:textId="77777777" w:rsidR="003C4BB2" w:rsidRPr="00DA2C5E" w:rsidRDefault="003C4BB2" w:rsidP="003C4BB2">
      <w:pPr>
        <w:keepNext/>
      </w:pPr>
    </w:p>
    <w:p w14:paraId="32B676C9" w14:textId="77777777" w:rsidR="009564C3" w:rsidRPr="00DA2C5E" w:rsidRDefault="000D3D80" w:rsidP="003C4BB2">
      <w:pPr>
        <w:pStyle w:val="Heading2"/>
      </w:pPr>
      <w:r w:rsidRPr="00DA2C5E">
        <w:t>O</w:t>
      </w:r>
      <w:r w:rsidR="009564C3" w:rsidRPr="00DA2C5E">
        <w:t>perational results in 2018-2019</w:t>
      </w:r>
    </w:p>
    <w:p w14:paraId="1CF7C720" w14:textId="77777777" w:rsidR="003C4BB2" w:rsidRPr="00DA2C5E" w:rsidRDefault="003C4BB2" w:rsidP="003C4BB2">
      <w:pPr>
        <w:keepNext/>
      </w:pPr>
    </w:p>
    <w:p w14:paraId="689EE2C0" w14:textId="77777777" w:rsidR="009564C3" w:rsidRPr="00DA2C5E" w:rsidRDefault="009564C3" w:rsidP="00B7162D">
      <w:pPr>
        <w:pStyle w:val="Heading4"/>
      </w:pPr>
      <w:r w:rsidRPr="00DA2C5E">
        <w:t>A better known and recognized resource</w:t>
      </w:r>
    </w:p>
    <w:p w14:paraId="326DCE92" w14:textId="22135A03" w:rsidR="009564C3" w:rsidRPr="00DA2C5E" w:rsidRDefault="00AA5618" w:rsidP="009564C3">
      <w:pPr>
        <w:tabs>
          <w:tab w:val="clear" w:pos="425"/>
          <w:tab w:val="left" w:pos="426"/>
        </w:tabs>
        <w:spacing w:after="120"/>
        <w:rPr>
          <w:rFonts w:cs="Times New Roman"/>
        </w:rPr>
      </w:pPr>
      <w:r w:rsidRPr="00DA2C5E">
        <w:rPr>
          <w:rFonts w:cs="Times New Roman"/>
        </w:rPr>
        <w:t>2</w:t>
      </w:r>
      <w:r w:rsidR="00C040F4" w:rsidRPr="00DA2C5E">
        <w:rPr>
          <w:rFonts w:cs="Times New Roman"/>
        </w:rPr>
        <w:t>0</w:t>
      </w:r>
      <w:r w:rsidR="009564C3" w:rsidRPr="00DA2C5E">
        <w:rPr>
          <w:rFonts w:cs="Times New Roman"/>
        </w:rPr>
        <w:t>.</w:t>
      </w:r>
      <w:r w:rsidR="009564C3" w:rsidRPr="00DA2C5E">
        <w:rPr>
          <w:rFonts w:cs="Times New Roman"/>
        </w:rPr>
        <w:tab/>
        <w:t xml:space="preserve">In its efforts to engage earlier on and higher up in the development value chain, </w:t>
      </w:r>
      <w:r w:rsidR="00D124D6" w:rsidRPr="00DA2C5E">
        <w:rPr>
          <w:rFonts w:cs="Times New Roman"/>
        </w:rPr>
        <w:t xml:space="preserve">UNOPS </w:t>
      </w:r>
      <w:r w:rsidR="009564C3" w:rsidRPr="00DA2C5E">
        <w:rPr>
          <w:rFonts w:cs="Times New Roman"/>
        </w:rPr>
        <w:t>participated in a number of global for</w:t>
      </w:r>
      <w:r w:rsidR="00744697" w:rsidRPr="00DA2C5E">
        <w:rPr>
          <w:rFonts w:cs="Times New Roman"/>
        </w:rPr>
        <w:t>ums</w:t>
      </w:r>
      <w:r w:rsidR="009564C3" w:rsidRPr="00DA2C5E">
        <w:rPr>
          <w:rFonts w:cs="Times New Roman"/>
        </w:rPr>
        <w:t xml:space="preserve"> and events. Examples over the past biennium include: substantive engagement in the 2019 lead-up to the G</w:t>
      </w:r>
      <w:r w:rsidR="00744697" w:rsidRPr="00DA2C5E">
        <w:rPr>
          <w:rFonts w:cs="Times New Roman"/>
        </w:rPr>
        <w:t>-</w:t>
      </w:r>
      <w:r w:rsidR="009564C3" w:rsidRPr="00DA2C5E">
        <w:rPr>
          <w:rFonts w:cs="Times New Roman"/>
        </w:rPr>
        <w:t xml:space="preserve">20 </w:t>
      </w:r>
      <w:r w:rsidR="00F42BD8" w:rsidRPr="00DA2C5E">
        <w:rPr>
          <w:rFonts w:cs="Times New Roman"/>
        </w:rPr>
        <w:t xml:space="preserve">Summit </w:t>
      </w:r>
      <w:r w:rsidR="009564C3" w:rsidRPr="00DA2C5E">
        <w:rPr>
          <w:rFonts w:cs="Times New Roman"/>
        </w:rPr>
        <w:t xml:space="preserve">in Japan; interactive dialogues and presentations at the World Economic Forum; thematic side events at the General Assembly; and high-level participation in the Impact 2030 summit and the European Development Days. </w:t>
      </w:r>
      <w:r w:rsidR="00F42BD8" w:rsidRPr="00DA2C5E">
        <w:rPr>
          <w:rFonts w:cs="Times New Roman"/>
        </w:rPr>
        <w:t>W</w:t>
      </w:r>
      <w:r w:rsidR="009564C3" w:rsidRPr="00DA2C5E">
        <w:rPr>
          <w:rFonts w:cs="Times New Roman"/>
        </w:rPr>
        <w:t xml:space="preserve">ith the Economist Intelligence Unit, UNOPS developed publications </w:t>
      </w:r>
      <w:r w:rsidR="00F42BD8" w:rsidRPr="00DA2C5E">
        <w:rPr>
          <w:rFonts w:cs="Times New Roman"/>
        </w:rPr>
        <w:t xml:space="preserve">that </w:t>
      </w:r>
      <w:r w:rsidR="009564C3" w:rsidRPr="00DA2C5E">
        <w:rPr>
          <w:rFonts w:cs="Times New Roman"/>
        </w:rPr>
        <w:t>highlight</w:t>
      </w:r>
      <w:r w:rsidR="00F42BD8" w:rsidRPr="00DA2C5E">
        <w:rPr>
          <w:rFonts w:cs="Times New Roman"/>
        </w:rPr>
        <w:t>ed</w:t>
      </w:r>
      <w:r w:rsidR="009564C3" w:rsidRPr="00DA2C5E">
        <w:rPr>
          <w:rFonts w:cs="Times New Roman"/>
        </w:rPr>
        <w:t xml:space="preserve"> the critical role of sustainable public procurement and quality infrastructure for achieving sustainable development.</w:t>
      </w:r>
    </w:p>
    <w:p w14:paraId="399A8351" w14:textId="77777777" w:rsidR="00112CEF" w:rsidRPr="00DA2C5E" w:rsidRDefault="00DB1E0E" w:rsidP="00B7162D">
      <w:pPr>
        <w:pStyle w:val="Heading4"/>
      </w:pPr>
      <w:r w:rsidRPr="00DA2C5E">
        <w:t>Demand for m</w:t>
      </w:r>
      <w:r w:rsidR="00112CEF" w:rsidRPr="00DA2C5E">
        <w:t>anagement support services: procurement and human resources</w:t>
      </w:r>
    </w:p>
    <w:p w14:paraId="77AC90D1" w14:textId="018D2E43" w:rsidR="00112CEF" w:rsidRPr="00DA2C5E" w:rsidRDefault="00C040F4" w:rsidP="00112CEF">
      <w:pPr>
        <w:tabs>
          <w:tab w:val="clear" w:pos="425"/>
          <w:tab w:val="left" w:pos="426"/>
        </w:tabs>
        <w:spacing w:after="120"/>
        <w:rPr>
          <w:rFonts w:cs="Times New Roman"/>
        </w:rPr>
      </w:pPr>
      <w:r w:rsidRPr="00DA2C5E">
        <w:rPr>
          <w:rFonts w:cs="Times New Roman"/>
        </w:rPr>
        <w:t>21</w:t>
      </w:r>
      <w:r w:rsidR="00112CEF" w:rsidRPr="00DA2C5E">
        <w:rPr>
          <w:rFonts w:cs="Times New Roman"/>
        </w:rPr>
        <w:t>.</w:t>
      </w:r>
      <w:r w:rsidR="004357AA" w:rsidRPr="00DA2C5E">
        <w:rPr>
          <w:rFonts w:cs="Times New Roman"/>
        </w:rPr>
        <w:tab/>
      </w:r>
      <w:r w:rsidR="00112CEF" w:rsidRPr="00DA2C5E">
        <w:rPr>
          <w:rFonts w:cs="Times New Roman"/>
        </w:rPr>
        <w:t>The steady increase in demand for management support services confirm</w:t>
      </w:r>
      <w:r w:rsidR="004357AA" w:rsidRPr="00DA2C5E">
        <w:rPr>
          <w:rFonts w:cs="Times New Roman"/>
        </w:rPr>
        <w:t>ed</w:t>
      </w:r>
      <w:r w:rsidR="00112CEF" w:rsidRPr="00DA2C5E">
        <w:rPr>
          <w:rFonts w:cs="Times New Roman"/>
        </w:rPr>
        <w:t xml:space="preserve"> their continued relevance for partners</w:t>
      </w:r>
      <w:r w:rsidR="008263EE" w:rsidRPr="00DA2C5E">
        <w:rPr>
          <w:rFonts w:cs="Times New Roman"/>
        </w:rPr>
        <w:t>. The demand for procurement and human resources service</w:t>
      </w:r>
      <w:r w:rsidR="004357AA" w:rsidRPr="00DA2C5E">
        <w:rPr>
          <w:rFonts w:cs="Times New Roman"/>
        </w:rPr>
        <w:t>s</w:t>
      </w:r>
      <w:r w:rsidR="008263EE" w:rsidRPr="00DA2C5E">
        <w:rPr>
          <w:rFonts w:cs="Times New Roman"/>
        </w:rPr>
        <w:t xml:space="preserve"> developed as follows:</w:t>
      </w:r>
    </w:p>
    <w:p w14:paraId="323C8C53" w14:textId="092E3109" w:rsidR="00112CEF" w:rsidRPr="00DA2C5E" w:rsidRDefault="00112CEF" w:rsidP="00F42BD8">
      <w:pPr>
        <w:tabs>
          <w:tab w:val="clear" w:pos="425"/>
          <w:tab w:val="left" w:pos="720"/>
        </w:tabs>
        <w:spacing w:after="120"/>
        <w:ind w:left="426"/>
        <w:rPr>
          <w:rFonts w:cs="Times New Roman"/>
        </w:rPr>
      </w:pPr>
      <w:r w:rsidRPr="00DA2C5E">
        <w:rPr>
          <w:rFonts w:cs="Times New Roman"/>
        </w:rPr>
        <w:t>(a)</w:t>
      </w:r>
      <w:r w:rsidR="00F42BD8" w:rsidRPr="00DA2C5E">
        <w:rPr>
          <w:rFonts w:cs="Times New Roman"/>
        </w:rPr>
        <w:tab/>
      </w:r>
      <w:r w:rsidRPr="00DA2C5E">
        <w:rPr>
          <w:rFonts w:cs="Times New Roman"/>
        </w:rPr>
        <w:t xml:space="preserve">Over the biennium, procurement as a stand-alone service, and </w:t>
      </w:r>
      <w:r w:rsidR="00F42BD8" w:rsidRPr="00DA2C5E">
        <w:rPr>
          <w:rFonts w:cs="Times New Roman"/>
        </w:rPr>
        <w:t xml:space="preserve">procurement </w:t>
      </w:r>
      <w:r w:rsidRPr="00DA2C5E">
        <w:rPr>
          <w:rFonts w:cs="Times New Roman"/>
        </w:rPr>
        <w:t>of goods and services for implementation projects, exceeded $2 billion, up from $1.4 billion in 2014-2015. Almost half</w:t>
      </w:r>
      <w:r w:rsidR="004357AA" w:rsidRPr="00DA2C5E">
        <w:rPr>
          <w:rFonts w:cs="Times New Roman"/>
        </w:rPr>
        <w:t xml:space="preserve"> – </w:t>
      </w:r>
      <w:r w:rsidRPr="00DA2C5E">
        <w:rPr>
          <w:rFonts w:cs="Times New Roman"/>
        </w:rPr>
        <w:t>$850 million</w:t>
      </w:r>
      <w:r w:rsidR="004357AA" w:rsidRPr="00DA2C5E">
        <w:rPr>
          <w:rFonts w:cs="Times New Roman"/>
        </w:rPr>
        <w:t xml:space="preserve"> –</w:t>
      </w:r>
      <w:r w:rsidRPr="00DA2C5E">
        <w:rPr>
          <w:rFonts w:cs="Times New Roman"/>
        </w:rPr>
        <w:t xml:space="preserve"> was sourced from small- and medium-sized enterprises; and $142</w:t>
      </w:r>
      <w:r w:rsidR="00E103E9" w:rsidRPr="00DA2C5E">
        <w:rPr>
          <w:rFonts w:cs="Times New Roman"/>
        </w:rPr>
        <w:t> </w:t>
      </w:r>
      <w:r w:rsidRPr="00DA2C5E">
        <w:rPr>
          <w:rFonts w:cs="Times New Roman"/>
        </w:rPr>
        <w:t xml:space="preserve">million worth of goods </w:t>
      </w:r>
      <w:r w:rsidR="004357AA" w:rsidRPr="00DA2C5E">
        <w:rPr>
          <w:rFonts w:cs="Times New Roman"/>
        </w:rPr>
        <w:t xml:space="preserve">was </w:t>
      </w:r>
      <w:r w:rsidRPr="00DA2C5E">
        <w:rPr>
          <w:rFonts w:cs="Times New Roman"/>
        </w:rPr>
        <w:t>procured by partners through the UNOPS e-Commerce solution, UN</w:t>
      </w:r>
      <w:r w:rsidR="00E103E9" w:rsidRPr="00DA2C5E">
        <w:rPr>
          <w:rFonts w:cs="Times New Roman"/>
        </w:rPr>
        <w:t> </w:t>
      </w:r>
      <w:r w:rsidRPr="00DA2C5E">
        <w:rPr>
          <w:rFonts w:cs="Times New Roman"/>
        </w:rPr>
        <w:t>Web</w:t>
      </w:r>
      <w:r w:rsidR="00E103E9" w:rsidRPr="00DA2C5E">
        <w:rPr>
          <w:rFonts w:cs="Times New Roman"/>
        </w:rPr>
        <w:t> </w:t>
      </w:r>
      <w:r w:rsidRPr="00DA2C5E">
        <w:rPr>
          <w:rFonts w:cs="Times New Roman"/>
        </w:rPr>
        <w:t>Buy</w:t>
      </w:r>
      <w:r w:rsidR="00E103E9" w:rsidRPr="00DA2C5E">
        <w:rPr>
          <w:rFonts w:cs="Times New Roman"/>
        </w:rPr>
        <w:t> </w:t>
      </w:r>
      <w:r w:rsidRPr="00DA2C5E">
        <w:rPr>
          <w:rFonts w:cs="Times New Roman"/>
        </w:rPr>
        <w:t>Plus. In 2019, UNOPS worked with more than 6,000 suppliers from 173 countries.</w:t>
      </w:r>
    </w:p>
    <w:p w14:paraId="57E0234B" w14:textId="7FA2DB68" w:rsidR="00112CEF" w:rsidRPr="00DA2C5E" w:rsidRDefault="00112CEF" w:rsidP="00F42BD8">
      <w:pPr>
        <w:tabs>
          <w:tab w:val="clear" w:pos="425"/>
          <w:tab w:val="left" w:pos="720"/>
        </w:tabs>
        <w:spacing w:after="120"/>
        <w:ind w:left="426"/>
        <w:rPr>
          <w:rFonts w:cs="Times New Roman"/>
        </w:rPr>
      </w:pPr>
      <w:r w:rsidRPr="00DA2C5E">
        <w:rPr>
          <w:rFonts w:cs="Times New Roman"/>
        </w:rPr>
        <w:t>(b)</w:t>
      </w:r>
      <w:r w:rsidR="00F42BD8" w:rsidRPr="00DA2C5E">
        <w:rPr>
          <w:rFonts w:cs="Times New Roman"/>
        </w:rPr>
        <w:tab/>
      </w:r>
      <w:r w:rsidRPr="00DA2C5E">
        <w:rPr>
          <w:rFonts w:cs="Times New Roman"/>
        </w:rPr>
        <w:t>The Bangkok shared</w:t>
      </w:r>
      <w:r w:rsidR="004357AA" w:rsidRPr="00DA2C5E">
        <w:rPr>
          <w:rFonts w:cs="Times New Roman"/>
        </w:rPr>
        <w:t>-</w:t>
      </w:r>
      <w:r w:rsidRPr="00DA2C5E">
        <w:rPr>
          <w:rFonts w:cs="Times New Roman"/>
        </w:rPr>
        <w:t>service centre supports partner</w:t>
      </w:r>
      <w:r w:rsidR="004357AA" w:rsidRPr="00DA2C5E">
        <w:rPr>
          <w:rFonts w:cs="Times New Roman"/>
        </w:rPr>
        <w:t>-</w:t>
      </w:r>
      <w:r w:rsidRPr="00DA2C5E">
        <w:rPr>
          <w:rFonts w:cs="Times New Roman"/>
        </w:rPr>
        <w:t>managed personnel on UNOPS contract</w:t>
      </w:r>
      <w:r w:rsidR="004357AA" w:rsidRPr="00DA2C5E">
        <w:rPr>
          <w:rFonts w:cs="Times New Roman"/>
        </w:rPr>
        <w:t>s</w:t>
      </w:r>
      <w:r w:rsidRPr="00DA2C5E">
        <w:rPr>
          <w:rFonts w:cs="Times New Roman"/>
        </w:rPr>
        <w:t>. Th</w:t>
      </w:r>
      <w:r w:rsidR="004357AA" w:rsidRPr="00DA2C5E">
        <w:rPr>
          <w:rFonts w:cs="Times New Roman"/>
        </w:rPr>
        <w:t>e</w:t>
      </w:r>
      <w:r w:rsidRPr="00DA2C5E">
        <w:rPr>
          <w:rFonts w:cs="Times New Roman"/>
        </w:rPr>
        <w:t xml:space="preserve"> service is </w:t>
      </w:r>
      <w:r w:rsidR="00F42BD8" w:rsidRPr="00DA2C5E">
        <w:rPr>
          <w:rFonts w:cs="Times New Roman"/>
        </w:rPr>
        <w:t>used</w:t>
      </w:r>
      <w:r w:rsidRPr="00DA2C5E">
        <w:rPr>
          <w:rFonts w:cs="Times New Roman"/>
        </w:rPr>
        <w:t xml:space="preserve"> </w:t>
      </w:r>
      <w:r w:rsidR="004357AA" w:rsidRPr="00DA2C5E">
        <w:rPr>
          <w:rFonts w:cs="Times New Roman"/>
        </w:rPr>
        <w:t xml:space="preserve">mainly </w:t>
      </w:r>
      <w:r w:rsidRPr="00DA2C5E">
        <w:rPr>
          <w:rFonts w:cs="Times New Roman"/>
        </w:rPr>
        <w:t>by partners in the United Nations system. In 2014, UNOPS had 2,074</w:t>
      </w:r>
      <w:r w:rsidR="00E103E9" w:rsidRPr="00DA2C5E">
        <w:rPr>
          <w:rFonts w:cs="Times New Roman"/>
        </w:rPr>
        <w:t> </w:t>
      </w:r>
      <w:r w:rsidRPr="00DA2C5E">
        <w:rPr>
          <w:rFonts w:cs="Times New Roman"/>
        </w:rPr>
        <w:t>partner personnel on contract. By 2019, the number of partner personnel had reached 7,763,</w:t>
      </w:r>
      <w:r w:rsidR="00E103E9" w:rsidRPr="00DA2C5E">
        <w:rPr>
          <w:rFonts w:cs="Times New Roman"/>
        </w:rPr>
        <w:t> </w:t>
      </w:r>
      <w:r w:rsidRPr="00DA2C5E">
        <w:rPr>
          <w:rFonts w:cs="Times New Roman"/>
        </w:rPr>
        <w:t xml:space="preserve">across 138 countries and territories. More than half – 54 per cent – worked in 62 </w:t>
      </w:r>
      <w:r w:rsidR="004357AA" w:rsidRPr="00DA2C5E">
        <w:t>least developed countries, landlocked least developed countries, small island developing States</w:t>
      </w:r>
      <w:r w:rsidR="00D6234F" w:rsidRPr="00DA2C5E">
        <w:t xml:space="preserve"> </w:t>
      </w:r>
      <w:r w:rsidRPr="00DA2C5E">
        <w:rPr>
          <w:rFonts w:cs="Times New Roman"/>
        </w:rPr>
        <w:t>or other countries in fragile situations. In comparison, the number of UNOPS personnel changed only marginally</w:t>
      </w:r>
      <w:r w:rsidR="00D6234F" w:rsidRPr="00DA2C5E">
        <w:rPr>
          <w:rFonts w:cs="Times New Roman"/>
        </w:rPr>
        <w:t>,</w:t>
      </w:r>
      <w:r w:rsidRPr="00DA2C5E">
        <w:rPr>
          <w:rFonts w:cs="Times New Roman"/>
        </w:rPr>
        <w:t xml:space="preserve"> from 4,851 in 2014 to 4,765 in 2019. Over the same period its activity level increased </w:t>
      </w:r>
      <w:r w:rsidR="00D6234F" w:rsidRPr="00DA2C5E">
        <w:rPr>
          <w:rFonts w:cs="Times New Roman"/>
        </w:rPr>
        <w:t>by</w:t>
      </w:r>
      <w:r w:rsidR="003B7E93">
        <w:rPr>
          <w:rFonts w:cs="Times New Roman"/>
        </w:rPr>
        <w:t xml:space="preserve"> </w:t>
      </w:r>
      <w:r w:rsidRPr="00DA2C5E">
        <w:rPr>
          <w:rFonts w:cs="Times New Roman"/>
        </w:rPr>
        <w:t>86 per cent.</w:t>
      </w:r>
    </w:p>
    <w:p w14:paraId="4CB6D79A" w14:textId="77777777" w:rsidR="009564C3" w:rsidRPr="00DA2C5E" w:rsidRDefault="009564C3" w:rsidP="00B7162D">
      <w:pPr>
        <w:pStyle w:val="Heading4"/>
      </w:pPr>
      <w:r w:rsidRPr="00DA2C5E">
        <w:t>Sustainable implementation approaches</w:t>
      </w:r>
    </w:p>
    <w:p w14:paraId="1D7A033E" w14:textId="214480F2" w:rsidR="00D12D37" w:rsidRPr="00DA2C5E" w:rsidRDefault="00DB350A" w:rsidP="009564C3">
      <w:pPr>
        <w:tabs>
          <w:tab w:val="clear" w:pos="425"/>
          <w:tab w:val="left" w:pos="426"/>
        </w:tabs>
        <w:spacing w:after="60"/>
        <w:rPr>
          <w:rFonts w:eastAsia="Calibri" w:cs="Times New Roman"/>
          <w:szCs w:val="20"/>
        </w:rPr>
      </w:pPr>
      <w:r w:rsidRPr="00DA2C5E">
        <w:rPr>
          <w:rFonts w:eastAsia="Calibri" w:cs="Times New Roman"/>
          <w:szCs w:val="20"/>
        </w:rPr>
        <w:t>2</w:t>
      </w:r>
      <w:r w:rsidR="00C040F4" w:rsidRPr="00DA2C5E">
        <w:rPr>
          <w:rFonts w:eastAsia="Calibri" w:cs="Times New Roman"/>
          <w:szCs w:val="20"/>
        </w:rPr>
        <w:t>2</w:t>
      </w:r>
      <w:r w:rsidR="009564C3" w:rsidRPr="00DA2C5E">
        <w:rPr>
          <w:rFonts w:eastAsia="Calibri" w:cs="Times New Roman"/>
          <w:szCs w:val="20"/>
        </w:rPr>
        <w:t>.</w:t>
      </w:r>
      <w:r w:rsidR="009564C3" w:rsidRPr="00DA2C5E">
        <w:rPr>
          <w:rFonts w:eastAsia="Calibri" w:cs="Times New Roman"/>
          <w:szCs w:val="20"/>
        </w:rPr>
        <w:tab/>
        <w:t>The UNOPS sustainable implementation approach</w:t>
      </w:r>
      <w:r w:rsidR="006B4FAE">
        <w:rPr>
          <w:rFonts w:eastAsia="Calibri" w:cs="Times New Roman"/>
          <w:szCs w:val="20"/>
        </w:rPr>
        <w:t>es</w:t>
      </w:r>
      <w:r w:rsidR="009564C3" w:rsidRPr="00DA2C5E">
        <w:rPr>
          <w:rFonts w:eastAsia="Calibri" w:cs="Times New Roman"/>
          <w:szCs w:val="20"/>
        </w:rPr>
        <w:t xml:space="preserve"> span the three mutually reinforcing dimensions of economic, social and environmental sustainability</w:t>
      </w:r>
      <w:r w:rsidR="00D700CD" w:rsidRPr="00DA2C5E">
        <w:rPr>
          <w:rFonts w:eastAsia="Calibri" w:cs="Times New Roman"/>
          <w:szCs w:val="20"/>
        </w:rPr>
        <w:t>.</w:t>
      </w:r>
    </w:p>
    <w:p w14:paraId="6CDB2242" w14:textId="72BE614D" w:rsidR="00D700CD" w:rsidRPr="00DA2C5E" w:rsidRDefault="00DB350A" w:rsidP="009564C3">
      <w:pPr>
        <w:tabs>
          <w:tab w:val="clear" w:pos="425"/>
          <w:tab w:val="left" w:pos="426"/>
        </w:tabs>
        <w:spacing w:after="60"/>
        <w:rPr>
          <w:rFonts w:eastAsia="Calibri" w:cs="Times New Roman"/>
          <w:szCs w:val="20"/>
        </w:rPr>
      </w:pPr>
      <w:r w:rsidRPr="00DA2C5E">
        <w:rPr>
          <w:rFonts w:eastAsia="Calibri" w:cs="Times New Roman"/>
          <w:szCs w:val="20"/>
        </w:rPr>
        <w:t>2</w:t>
      </w:r>
      <w:r w:rsidR="00C040F4" w:rsidRPr="00DA2C5E">
        <w:rPr>
          <w:rFonts w:eastAsia="Calibri" w:cs="Times New Roman"/>
          <w:szCs w:val="20"/>
        </w:rPr>
        <w:t>3</w:t>
      </w:r>
      <w:r w:rsidR="00D12D37" w:rsidRPr="00DA2C5E">
        <w:rPr>
          <w:rFonts w:eastAsia="Calibri" w:cs="Times New Roman"/>
          <w:szCs w:val="20"/>
        </w:rPr>
        <w:t>.</w:t>
      </w:r>
      <w:r w:rsidR="00D12D37" w:rsidRPr="00DA2C5E">
        <w:rPr>
          <w:rFonts w:eastAsia="Calibri" w:cs="Times New Roman"/>
          <w:szCs w:val="20"/>
        </w:rPr>
        <w:tab/>
      </w:r>
      <w:r w:rsidR="001644F5" w:rsidRPr="00DA2C5E">
        <w:rPr>
          <w:rFonts w:eastAsia="Calibri" w:cs="Times New Roman"/>
          <w:szCs w:val="20"/>
        </w:rPr>
        <w:t>As part of the midterm review of its strategic plan, 2010-2013</w:t>
      </w:r>
      <w:r w:rsidR="00D6234F" w:rsidRPr="00DA2C5E">
        <w:rPr>
          <w:rFonts w:eastAsia="Calibri" w:cs="Times New Roman"/>
          <w:szCs w:val="20"/>
        </w:rPr>
        <w:t>,</w:t>
      </w:r>
      <w:r w:rsidR="001644F5" w:rsidRPr="00DA2C5E">
        <w:rPr>
          <w:rFonts w:eastAsia="Calibri" w:cs="Times New Roman"/>
          <w:szCs w:val="20"/>
        </w:rPr>
        <w:t xml:space="preserve"> UNOPS articulated a framework for sustainable implementation approaches. </w:t>
      </w:r>
      <w:r w:rsidR="00D6234F" w:rsidRPr="00DA2C5E">
        <w:rPr>
          <w:rFonts w:eastAsia="Calibri" w:cs="Times New Roman"/>
          <w:szCs w:val="20"/>
        </w:rPr>
        <w:t>In</w:t>
      </w:r>
      <w:r w:rsidR="00D12D37" w:rsidRPr="00DA2C5E">
        <w:rPr>
          <w:rFonts w:eastAsia="Calibri" w:cs="Times New Roman"/>
          <w:szCs w:val="20"/>
        </w:rPr>
        <w:t xml:space="preserve"> preparing the </w:t>
      </w:r>
      <w:r w:rsidR="001644F5" w:rsidRPr="00DA2C5E">
        <w:rPr>
          <w:rFonts w:eastAsia="Calibri" w:cs="Times New Roman"/>
          <w:szCs w:val="20"/>
        </w:rPr>
        <w:t xml:space="preserve">present </w:t>
      </w:r>
      <w:r w:rsidR="00D12D37" w:rsidRPr="00DA2C5E">
        <w:rPr>
          <w:rFonts w:eastAsia="Calibri" w:cs="Times New Roman"/>
          <w:szCs w:val="20"/>
        </w:rPr>
        <w:t xml:space="preserve">midterm </w:t>
      </w:r>
      <w:r w:rsidR="00D6234F" w:rsidRPr="00DA2C5E">
        <w:rPr>
          <w:rFonts w:eastAsia="Calibri" w:cs="Times New Roman"/>
          <w:szCs w:val="20"/>
        </w:rPr>
        <w:t xml:space="preserve">review, </w:t>
      </w:r>
      <w:r w:rsidR="00D12D37" w:rsidRPr="00DA2C5E">
        <w:rPr>
          <w:rFonts w:eastAsia="Calibri" w:cs="Times New Roman"/>
          <w:szCs w:val="20"/>
        </w:rPr>
        <w:t>UNOPS reviewed and updated</w:t>
      </w:r>
      <w:r w:rsidR="00350291" w:rsidRPr="00DA2C5E">
        <w:rPr>
          <w:rFonts w:eastAsia="Calibri" w:cs="Times New Roman"/>
          <w:szCs w:val="20"/>
        </w:rPr>
        <w:t xml:space="preserve"> the </w:t>
      </w:r>
      <w:r w:rsidR="00D700CD" w:rsidRPr="00DA2C5E">
        <w:rPr>
          <w:rFonts w:eastAsia="Calibri" w:cs="Times New Roman"/>
          <w:szCs w:val="20"/>
        </w:rPr>
        <w:t xml:space="preserve">framework </w:t>
      </w:r>
      <w:r w:rsidR="00D12D37" w:rsidRPr="00DA2C5E">
        <w:rPr>
          <w:rFonts w:eastAsia="Calibri" w:cs="Times New Roman"/>
          <w:szCs w:val="20"/>
        </w:rPr>
        <w:t xml:space="preserve">to better reflect internal </w:t>
      </w:r>
      <w:r w:rsidR="00D700CD" w:rsidRPr="00DA2C5E">
        <w:rPr>
          <w:rFonts w:eastAsia="Calibri" w:cs="Times New Roman"/>
          <w:szCs w:val="20"/>
        </w:rPr>
        <w:t xml:space="preserve">and external </w:t>
      </w:r>
      <w:r w:rsidR="00D12D37" w:rsidRPr="00DA2C5E">
        <w:rPr>
          <w:rFonts w:eastAsia="Calibri" w:cs="Times New Roman"/>
          <w:szCs w:val="20"/>
        </w:rPr>
        <w:t>development</w:t>
      </w:r>
      <w:r w:rsidR="00D700CD" w:rsidRPr="00DA2C5E">
        <w:rPr>
          <w:rFonts w:eastAsia="Calibri" w:cs="Times New Roman"/>
          <w:szCs w:val="20"/>
        </w:rPr>
        <w:t>s</w:t>
      </w:r>
      <w:r w:rsidR="00F42BD8" w:rsidRPr="00DA2C5E">
        <w:rPr>
          <w:rFonts w:eastAsia="Calibri" w:cs="Times New Roman"/>
          <w:szCs w:val="20"/>
        </w:rPr>
        <w:t>.</w:t>
      </w:r>
      <w:r w:rsidR="00D12D37" w:rsidRPr="00DA2C5E">
        <w:rPr>
          <w:rFonts w:eastAsia="Calibri" w:cs="Times New Roman"/>
          <w:szCs w:val="20"/>
        </w:rPr>
        <w:t xml:space="preserve"> </w:t>
      </w:r>
      <w:r w:rsidR="001644F5" w:rsidRPr="00DA2C5E">
        <w:rPr>
          <w:rFonts w:eastAsia="Calibri" w:cs="Times New Roman"/>
          <w:szCs w:val="20"/>
        </w:rPr>
        <w:t>In addition, the framework has been supplemented by standard indicators for monitoring and reporting</w:t>
      </w:r>
      <w:r w:rsidR="00D700CD" w:rsidRPr="00DA2C5E">
        <w:rPr>
          <w:rFonts w:cs="Times New Roman"/>
        </w:rPr>
        <w:t>.</w:t>
      </w:r>
    </w:p>
    <w:p w14:paraId="2DBE3BC8" w14:textId="2A67C842" w:rsidR="009564C3" w:rsidRPr="00DA2C5E" w:rsidRDefault="00DB350A" w:rsidP="009564C3">
      <w:pPr>
        <w:tabs>
          <w:tab w:val="clear" w:pos="425"/>
          <w:tab w:val="left" w:pos="426"/>
        </w:tabs>
        <w:spacing w:after="60"/>
        <w:rPr>
          <w:rFonts w:eastAsia="Calibri" w:cs="Times New Roman"/>
          <w:szCs w:val="20"/>
        </w:rPr>
      </w:pPr>
      <w:r w:rsidRPr="00DA2C5E">
        <w:rPr>
          <w:rFonts w:eastAsia="Calibri" w:cs="Times New Roman"/>
          <w:szCs w:val="20"/>
        </w:rPr>
        <w:t>2</w:t>
      </w:r>
      <w:r w:rsidR="00C040F4" w:rsidRPr="00DA2C5E">
        <w:rPr>
          <w:rFonts w:eastAsia="Calibri" w:cs="Times New Roman"/>
          <w:szCs w:val="20"/>
        </w:rPr>
        <w:t>4</w:t>
      </w:r>
      <w:r w:rsidR="00D12D37" w:rsidRPr="00DA2C5E">
        <w:rPr>
          <w:rFonts w:eastAsia="Calibri" w:cs="Times New Roman"/>
          <w:szCs w:val="20"/>
        </w:rPr>
        <w:t>.</w:t>
      </w:r>
      <w:r w:rsidR="00D12D37" w:rsidRPr="00DA2C5E">
        <w:rPr>
          <w:rFonts w:eastAsia="Calibri" w:cs="Times New Roman"/>
          <w:szCs w:val="20"/>
        </w:rPr>
        <w:tab/>
      </w:r>
      <w:r w:rsidR="001644F5" w:rsidRPr="00DA2C5E">
        <w:rPr>
          <w:rFonts w:eastAsia="Calibri" w:cs="Times New Roman"/>
          <w:szCs w:val="20"/>
        </w:rPr>
        <w:t xml:space="preserve">Pursuant to the review, </w:t>
      </w:r>
      <w:r w:rsidR="00E00EA6">
        <w:rPr>
          <w:rFonts w:cs="Times New Roman"/>
        </w:rPr>
        <w:t>a few</w:t>
      </w:r>
      <w:r w:rsidR="00E00EA6" w:rsidRPr="00DA2C5E">
        <w:rPr>
          <w:rFonts w:cs="Times New Roman"/>
        </w:rPr>
        <w:t xml:space="preserve"> </w:t>
      </w:r>
      <w:r w:rsidR="001644F5" w:rsidRPr="00DA2C5E">
        <w:rPr>
          <w:rFonts w:cs="Times New Roman"/>
        </w:rPr>
        <w:t>sub-dimensions have been updated to more explicitly capture specific areas of focus and attention. These include people with disabilities and other special</w:t>
      </w:r>
      <w:r w:rsidR="003B7E93">
        <w:rPr>
          <w:rFonts w:cs="Times New Roman"/>
        </w:rPr>
        <w:t>-</w:t>
      </w:r>
      <w:r w:rsidR="001644F5" w:rsidRPr="00DA2C5E">
        <w:rPr>
          <w:rFonts w:cs="Times New Roman"/>
        </w:rPr>
        <w:t xml:space="preserve">interest groups, as well as vendors and supply chains. </w:t>
      </w:r>
      <w:r w:rsidR="00D12D37" w:rsidRPr="00DA2C5E">
        <w:rPr>
          <w:rFonts w:eastAsia="Calibri" w:cs="Times New Roman"/>
          <w:szCs w:val="20"/>
        </w:rPr>
        <w:t>The</w:t>
      </w:r>
      <w:r w:rsidR="00D700CD" w:rsidRPr="00DA2C5E">
        <w:rPr>
          <w:rFonts w:eastAsia="Calibri" w:cs="Times New Roman"/>
          <w:szCs w:val="20"/>
        </w:rPr>
        <w:t xml:space="preserve"> revised sub-dimension</w:t>
      </w:r>
      <w:r w:rsidR="00DF2D34" w:rsidRPr="00DA2C5E">
        <w:rPr>
          <w:rFonts w:eastAsia="Calibri" w:cs="Times New Roman"/>
          <w:szCs w:val="20"/>
        </w:rPr>
        <w:t>s</w:t>
      </w:r>
      <w:r w:rsidR="00D700CD" w:rsidRPr="00DA2C5E">
        <w:rPr>
          <w:rFonts w:eastAsia="Calibri" w:cs="Times New Roman"/>
          <w:szCs w:val="20"/>
        </w:rPr>
        <w:t xml:space="preserve"> of the framework are summarized </w:t>
      </w:r>
      <w:r w:rsidR="00D12D37" w:rsidRPr="00DA2C5E">
        <w:rPr>
          <w:rFonts w:eastAsia="Calibri" w:cs="Times New Roman"/>
          <w:szCs w:val="20"/>
        </w:rPr>
        <w:t>below</w:t>
      </w:r>
      <w:r w:rsidR="00350291" w:rsidRPr="00DA2C5E">
        <w:rPr>
          <w:rFonts w:eastAsia="Calibri" w:cs="Times New Roman"/>
          <w:szCs w:val="20"/>
        </w:rPr>
        <w:t xml:space="preserve">. </w:t>
      </w:r>
    </w:p>
    <w:p w14:paraId="76084098" w14:textId="45C3E39F" w:rsidR="009564C3" w:rsidRPr="00DA2C5E" w:rsidRDefault="009564C3" w:rsidP="009564C3">
      <w:pPr>
        <w:tabs>
          <w:tab w:val="clear" w:pos="425"/>
          <w:tab w:val="left" w:pos="426"/>
        </w:tabs>
        <w:spacing w:after="60"/>
        <w:ind w:left="426"/>
        <w:rPr>
          <w:rFonts w:cs="Times New Roman"/>
        </w:rPr>
      </w:pPr>
      <w:r w:rsidRPr="00DA2C5E">
        <w:rPr>
          <w:rFonts w:cs="Times New Roman"/>
        </w:rPr>
        <w:t>(a)</w:t>
      </w:r>
      <w:r w:rsidR="00D6234F" w:rsidRPr="00DA2C5E">
        <w:rPr>
          <w:rFonts w:cs="Times New Roman"/>
          <w:i/>
        </w:rPr>
        <w:tab/>
      </w:r>
      <w:r w:rsidRPr="00DA2C5E">
        <w:rPr>
          <w:rFonts w:cs="Times New Roman"/>
          <w:i/>
        </w:rPr>
        <w:t>Equitable economic growth</w:t>
      </w:r>
    </w:p>
    <w:p w14:paraId="35A2F85D" w14:textId="77777777" w:rsidR="009564C3" w:rsidRPr="00DA2C5E" w:rsidRDefault="009564C3" w:rsidP="009564C3">
      <w:pPr>
        <w:tabs>
          <w:tab w:val="clear" w:pos="425"/>
          <w:tab w:val="left" w:pos="426"/>
        </w:tabs>
        <w:spacing w:after="60"/>
        <w:ind w:left="720"/>
        <w:rPr>
          <w:rFonts w:cs="Times New Roman"/>
        </w:rPr>
      </w:pPr>
      <w:r w:rsidRPr="00DA2C5E">
        <w:rPr>
          <w:rFonts w:cs="Times New Roman"/>
        </w:rPr>
        <w:t>(i) Ensuring optimum value for money by pursuing effective management practices and investment strategies, upholding the principles of transparency and accountability, and considering appropriate exit strategies;</w:t>
      </w:r>
    </w:p>
    <w:p w14:paraId="481EC60D" w14:textId="5003C560" w:rsidR="009E3D96" w:rsidRPr="00DA2C5E" w:rsidRDefault="009E3D96" w:rsidP="009E3D96">
      <w:pPr>
        <w:tabs>
          <w:tab w:val="clear" w:pos="425"/>
          <w:tab w:val="left" w:pos="426"/>
        </w:tabs>
        <w:spacing w:after="60"/>
        <w:ind w:left="720"/>
        <w:rPr>
          <w:rFonts w:cs="Times New Roman"/>
        </w:rPr>
      </w:pPr>
      <w:r w:rsidRPr="00DA2C5E">
        <w:rPr>
          <w:rFonts w:cs="Times New Roman"/>
        </w:rPr>
        <w:t>(ii)</w:t>
      </w:r>
      <w:r w:rsidR="00D6234F" w:rsidRPr="00DA2C5E">
        <w:rPr>
          <w:rFonts w:cs="Times New Roman"/>
        </w:rPr>
        <w:t xml:space="preserve"> </w:t>
      </w:r>
      <w:r w:rsidRPr="00DA2C5E">
        <w:rPr>
          <w:rFonts w:cs="Times New Roman"/>
        </w:rPr>
        <w:t>Contributing to improved livelihoods through equitable employment opportunities for local workforces; and</w:t>
      </w:r>
    </w:p>
    <w:p w14:paraId="5FA0B863" w14:textId="77777777" w:rsidR="009564C3" w:rsidRPr="00DA2C5E" w:rsidRDefault="009564C3" w:rsidP="009E3D96">
      <w:pPr>
        <w:tabs>
          <w:tab w:val="clear" w:pos="425"/>
          <w:tab w:val="left" w:pos="426"/>
        </w:tabs>
        <w:spacing w:after="60"/>
        <w:ind w:left="720"/>
        <w:rPr>
          <w:rFonts w:cs="Times New Roman"/>
        </w:rPr>
      </w:pPr>
      <w:r w:rsidRPr="00DA2C5E">
        <w:rPr>
          <w:rFonts w:cs="Times New Roman"/>
        </w:rPr>
        <w:t>(ii</w:t>
      </w:r>
      <w:r w:rsidR="009E3D96" w:rsidRPr="00DA2C5E">
        <w:rPr>
          <w:rFonts w:cs="Times New Roman"/>
        </w:rPr>
        <w:t>i</w:t>
      </w:r>
      <w:r w:rsidRPr="00DA2C5E">
        <w:rPr>
          <w:rFonts w:cs="Times New Roman"/>
        </w:rPr>
        <w:t>) Supporting local communities through expanded market access and use of local suppliers wherever possible, including opportunities for women- and youth-owned businesses</w:t>
      </w:r>
      <w:r w:rsidR="009E3D96" w:rsidRPr="00DA2C5E">
        <w:rPr>
          <w:rFonts w:cs="Times New Roman"/>
        </w:rPr>
        <w:t>.</w:t>
      </w:r>
    </w:p>
    <w:p w14:paraId="33CE9BBC" w14:textId="725A30DF" w:rsidR="009564C3" w:rsidRPr="00DA2C5E" w:rsidRDefault="009564C3" w:rsidP="009564C3">
      <w:pPr>
        <w:tabs>
          <w:tab w:val="clear" w:pos="425"/>
          <w:tab w:val="left" w:pos="426"/>
        </w:tabs>
        <w:spacing w:after="60"/>
        <w:ind w:left="426"/>
        <w:rPr>
          <w:rFonts w:cs="Times New Roman"/>
        </w:rPr>
      </w:pPr>
      <w:r w:rsidRPr="00DA2C5E">
        <w:rPr>
          <w:rFonts w:cs="Times New Roman"/>
        </w:rPr>
        <w:t>(b)</w:t>
      </w:r>
      <w:r w:rsidR="00D6234F" w:rsidRPr="00DA2C5E">
        <w:rPr>
          <w:rFonts w:cs="Times New Roman"/>
          <w:i/>
        </w:rPr>
        <w:t xml:space="preserve"> </w:t>
      </w:r>
      <w:r w:rsidRPr="00DA2C5E">
        <w:rPr>
          <w:rFonts w:cs="Times New Roman"/>
          <w:i/>
        </w:rPr>
        <w:t>Social justice and inclusion</w:t>
      </w:r>
    </w:p>
    <w:p w14:paraId="1839591C" w14:textId="5A2DCF35" w:rsidR="009564C3" w:rsidRPr="00DA2C5E" w:rsidRDefault="009564C3" w:rsidP="009564C3">
      <w:pPr>
        <w:tabs>
          <w:tab w:val="clear" w:pos="425"/>
          <w:tab w:val="left" w:pos="426"/>
        </w:tabs>
        <w:spacing w:after="60"/>
        <w:ind w:left="720"/>
        <w:rPr>
          <w:rFonts w:cs="Times New Roman"/>
        </w:rPr>
      </w:pPr>
      <w:r w:rsidRPr="00DA2C5E">
        <w:rPr>
          <w:rFonts w:cs="Times New Roman"/>
        </w:rPr>
        <w:t>(i) Exercising due diligence, respect for human rights and rights-based approaches, including for people with disabilities and other special</w:t>
      </w:r>
      <w:r w:rsidR="00D6234F" w:rsidRPr="00DA2C5E">
        <w:rPr>
          <w:rFonts w:cs="Times New Roman"/>
        </w:rPr>
        <w:t>-</w:t>
      </w:r>
      <w:r w:rsidRPr="00DA2C5E">
        <w:rPr>
          <w:rFonts w:cs="Times New Roman"/>
        </w:rPr>
        <w:t>interest groups, and for advancing gender equality and empowerment of women and girls throughout implementation</w:t>
      </w:r>
      <w:r w:rsidR="00E00EA6">
        <w:rPr>
          <w:rFonts w:cs="Times New Roman"/>
        </w:rPr>
        <w:t xml:space="preserve"> projec</w:t>
      </w:r>
      <w:r w:rsidR="004721A4">
        <w:rPr>
          <w:rFonts w:cs="Times New Roman"/>
        </w:rPr>
        <w:t>ts</w:t>
      </w:r>
      <w:r w:rsidRPr="00DA2C5E">
        <w:rPr>
          <w:rFonts w:cs="Times New Roman"/>
        </w:rPr>
        <w:t>;</w:t>
      </w:r>
    </w:p>
    <w:p w14:paraId="6B1C4A88" w14:textId="30F7B8E3" w:rsidR="009564C3" w:rsidRPr="00DA2C5E" w:rsidRDefault="009564C3" w:rsidP="009564C3">
      <w:pPr>
        <w:tabs>
          <w:tab w:val="clear" w:pos="425"/>
          <w:tab w:val="left" w:pos="426"/>
        </w:tabs>
        <w:spacing w:after="60"/>
        <w:ind w:left="720"/>
        <w:rPr>
          <w:rFonts w:cs="Times New Roman"/>
        </w:rPr>
      </w:pPr>
      <w:r w:rsidRPr="00DA2C5E">
        <w:rPr>
          <w:rFonts w:cs="Times New Roman"/>
        </w:rPr>
        <w:t xml:space="preserve">(ii) Engaging local communities and beneficiaries and ensuring equitable access to project benefits, with </w:t>
      </w:r>
      <w:r w:rsidR="00D6234F" w:rsidRPr="00DA2C5E">
        <w:rPr>
          <w:rFonts w:cs="Times New Roman"/>
        </w:rPr>
        <w:t xml:space="preserve">a </w:t>
      </w:r>
      <w:r w:rsidRPr="00DA2C5E">
        <w:rPr>
          <w:rFonts w:cs="Times New Roman"/>
        </w:rPr>
        <w:t>particular emphasis on protecting the most vulnerable; and</w:t>
      </w:r>
    </w:p>
    <w:p w14:paraId="3764288F" w14:textId="77777777" w:rsidR="009564C3" w:rsidRPr="00DA2C5E" w:rsidRDefault="009564C3" w:rsidP="009564C3">
      <w:pPr>
        <w:tabs>
          <w:tab w:val="clear" w:pos="425"/>
          <w:tab w:val="left" w:pos="426"/>
        </w:tabs>
        <w:spacing w:after="60"/>
        <w:ind w:left="720"/>
        <w:rPr>
          <w:rFonts w:cs="Times New Roman"/>
        </w:rPr>
      </w:pPr>
      <w:r w:rsidRPr="00DA2C5E">
        <w:rPr>
          <w:rFonts w:cs="Times New Roman"/>
        </w:rPr>
        <w:t>(iii) Facilitating access to food, water, sanitation, energy, health, education, justice and security-related services.</w:t>
      </w:r>
    </w:p>
    <w:p w14:paraId="1874D82F" w14:textId="744FCFBD" w:rsidR="009564C3" w:rsidRPr="00DA2C5E" w:rsidRDefault="009564C3" w:rsidP="009564C3">
      <w:pPr>
        <w:tabs>
          <w:tab w:val="clear" w:pos="425"/>
          <w:tab w:val="left" w:pos="426"/>
        </w:tabs>
        <w:spacing w:after="120"/>
        <w:ind w:left="432"/>
        <w:rPr>
          <w:rFonts w:cs="Times New Roman"/>
        </w:rPr>
      </w:pPr>
      <w:r w:rsidRPr="00DA2C5E">
        <w:rPr>
          <w:rFonts w:cs="Times New Roman"/>
        </w:rPr>
        <w:t>(c)</w:t>
      </w:r>
      <w:r w:rsidRPr="00DA2C5E">
        <w:rPr>
          <w:rFonts w:cs="Times New Roman"/>
          <w:i/>
        </w:rPr>
        <w:t xml:space="preserve"> Environmental respect</w:t>
      </w:r>
    </w:p>
    <w:p w14:paraId="55963B92" w14:textId="2A7CB1BC" w:rsidR="009564C3" w:rsidRPr="00DA2C5E" w:rsidRDefault="009564C3" w:rsidP="009564C3">
      <w:pPr>
        <w:tabs>
          <w:tab w:val="clear" w:pos="425"/>
          <w:tab w:val="left" w:pos="426"/>
        </w:tabs>
        <w:spacing w:after="120"/>
        <w:ind w:left="720"/>
        <w:rPr>
          <w:rFonts w:cs="Times New Roman"/>
        </w:rPr>
      </w:pPr>
      <w:r w:rsidRPr="00DA2C5E">
        <w:rPr>
          <w:rFonts w:cs="Times New Roman"/>
        </w:rPr>
        <w:t>(i) Mitigating adverse impact</w:t>
      </w:r>
      <w:r w:rsidR="00D6234F" w:rsidRPr="00DA2C5E">
        <w:rPr>
          <w:rFonts w:cs="Times New Roman"/>
        </w:rPr>
        <w:t>s</w:t>
      </w:r>
      <w:r w:rsidRPr="00DA2C5E">
        <w:rPr>
          <w:rFonts w:cs="Times New Roman"/>
        </w:rPr>
        <w:t xml:space="preserve"> on the environment and improving biodiversity and ecological resilience;</w:t>
      </w:r>
    </w:p>
    <w:p w14:paraId="7F78283A" w14:textId="77777777" w:rsidR="009564C3" w:rsidRPr="00DA2C5E" w:rsidRDefault="009564C3" w:rsidP="009564C3">
      <w:pPr>
        <w:tabs>
          <w:tab w:val="clear" w:pos="425"/>
          <w:tab w:val="left" w:pos="426"/>
        </w:tabs>
        <w:spacing w:after="120"/>
        <w:ind w:left="720"/>
        <w:rPr>
          <w:rFonts w:cs="Times New Roman"/>
        </w:rPr>
      </w:pPr>
      <w:r w:rsidRPr="00DA2C5E">
        <w:rPr>
          <w:rFonts w:cs="Times New Roman"/>
        </w:rPr>
        <w:t>(ii) Using renewable resources, taking into account the interactions between human development and environmental sustainability; and</w:t>
      </w:r>
    </w:p>
    <w:p w14:paraId="3FAC3141" w14:textId="77777777" w:rsidR="009564C3" w:rsidRPr="00DA2C5E" w:rsidRDefault="009564C3" w:rsidP="009564C3">
      <w:pPr>
        <w:tabs>
          <w:tab w:val="clear" w:pos="425"/>
          <w:tab w:val="left" w:pos="426"/>
        </w:tabs>
        <w:spacing w:after="120"/>
        <w:ind w:left="720"/>
        <w:rPr>
          <w:rFonts w:cs="Times New Roman"/>
        </w:rPr>
      </w:pPr>
      <w:r w:rsidRPr="00DA2C5E">
        <w:rPr>
          <w:rFonts w:cs="Times New Roman"/>
        </w:rPr>
        <w:t>(iii) Encouraging environmentally responsible supply chains for project implementation.</w:t>
      </w:r>
    </w:p>
    <w:p w14:paraId="4BEA71F0" w14:textId="2A731B9E" w:rsidR="001644F5" w:rsidRPr="00DA2C5E" w:rsidRDefault="00D700CD" w:rsidP="007F2E67">
      <w:pPr>
        <w:tabs>
          <w:tab w:val="clear" w:pos="425"/>
          <w:tab w:val="left" w:pos="426"/>
        </w:tabs>
        <w:spacing w:after="60"/>
        <w:rPr>
          <w:rFonts w:eastAsia="Calibri" w:cs="Times New Roman"/>
          <w:szCs w:val="20"/>
        </w:rPr>
      </w:pPr>
      <w:r w:rsidRPr="00DA2C5E">
        <w:rPr>
          <w:rFonts w:cs="Times New Roman"/>
        </w:rPr>
        <w:t>2</w:t>
      </w:r>
      <w:r w:rsidR="00C040F4" w:rsidRPr="00DA2C5E">
        <w:rPr>
          <w:rFonts w:cs="Times New Roman"/>
        </w:rPr>
        <w:t>5</w:t>
      </w:r>
      <w:r w:rsidRPr="00DA2C5E">
        <w:rPr>
          <w:rFonts w:cs="Times New Roman"/>
        </w:rPr>
        <w:t>.</w:t>
      </w:r>
      <w:r w:rsidRPr="00DA2C5E">
        <w:rPr>
          <w:rFonts w:cs="Times New Roman"/>
        </w:rPr>
        <w:tab/>
        <w:t>In its biennial budget estimates</w:t>
      </w:r>
      <w:r w:rsidR="002429EA" w:rsidRPr="00DA2C5E">
        <w:rPr>
          <w:rFonts w:cs="Times New Roman"/>
        </w:rPr>
        <w:t>,</w:t>
      </w:r>
      <w:r w:rsidRPr="00DA2C5E">
        <w:rPr>
          <w:rFonts w:cs="Times New Roman"/>
        </w:rPr>
        <w:t xml:space="preserve"> 2020-2021</w:t>
      </w:r>
      <w:r w:rsidR="002429EA" w:rsidRPr="00DA2C5E">
        <w:rPr>
          <w:rFonts w:cs="Times New Roman"/>
        </w:rPr>
        <w:t>,</w:t>
      </w:r>
      <w:r w:rsidRPr="00DA2C5E">
        <w:rPr>
          <w:rFonts w:cs="Times New Roman"/>
        </w:rPr>
        <w:t xml:space="preserve"> UNOPS presented an initial framework for monitoring and reporting on its sustainable implementation approaches. The framework has been finalized with key indicators from the UNOPS sustainability report</w:t>
      </w:r>
      <w:r w:rsidR="002429EA" w:rsidRPr="00DA2C5E">
        <w:rPr>
          <w:rFonts w:cs="Times New Roman"/>
        </w:rPr>
        <w:t>,</w:t>
      </w:r>
      <w:r w:rsidRPr="00DA2C5E">
        <w:rPr>
          <w:rFonts w:cs="Times New Roman"/>
        </w:rPr>
        <w:t xml:space="preserve"> which is based on the standards of the </w:t>
      </w:r>
      <w:r w:rsidRPr="00DA2C5E">
        <w:rPr>
          <w:rFonts w:eastAsia="Calibri" w:cs="Times New Roman"/>
          <w:szCs w:val="20"/>
        </w:rPr>
        <w:t>Global Reporting Initiative. An overview of associated performance indicators, baselines and a</w:t>
      </w:r>
      <w:r w:rsidR="004031A8" w:rsidRPr="00DA2C5E">
        <w:rPr>
          <w:rFonts w:eastAsia="Calibri" w:cs="Times New Roman"/>
          <w:szCs w:val="20"/>
        </w:rPr>
        <w:t xml:space="preserve">mbitions is provided in </w:t>
      </w:r>
      <w:r w:rsidR="00962931">
        <w:rPr>
          <w:rFonts w:eastAsia="Calibri" w:cs="Times New Roman"/>
          <w:szCs w:val="20"/>
        </w:rPr>
        <w:t>table 1</w:t>
      </w:r>
      <w:r w:rsidR="001644F5" w:rsidRPr="00DA2C5E">
        <w:rPr>
          <w:rFonts w:eastAsia="Calibri" w:cs="Times New Roman"/>
          <w:szCs w:val="20"/>
        </w:rPr>
        <w:t>.</w:t>
      </w:r>
    </w:p>
    <w:p w14:paraId="7C21F088" w14:textId="1E73EF3E" w:rsidR="004031A8" w:rsidRPr="00DA2C5E" w:rsidRDefault="00C040F4" w:rsidP="004031A8">
      <w:pPr>
        <w:tabs>
          <w:tab w:val="clear" w:pos="425"/>
          <w:tab w:val="left" w:pos="426"/>
        </w:tabs>
        <w:spacing w:after="60"/>
        <w:rPr>
          <w:rFonts w:eastAsia="Calibri" w:cs="Times New Roman"/>
          <w:szCs w:val="20"/>
        </w:rPr>
      </w:pPr>
      <w:r w:rsidRPr="00DA2C5E">
        <w:rPr>
          <w:rFonts w:eastAsia="Calibri" w:cs="Times New Roman"/>
          <w:szCs w:val="20"/>
        </w:rPr>
        <w:t>26</w:t>
      </w:r>
      <w:r w:rsidR="004031A8" w:rsidRPr="00DA2C5E">
        <w:rPr>
          <w:rFonts w:eastAsia="Calibri" w:cs="Times New Roman"/>
          <w:szCs w:val="20"/>
        </w:rPr>
        <w:t>.</w:t>
      </w:r>
      <w:r w:rsidR="004031A8" w:rsidRPr="00DA2C5E">
        <w:rPr>
          <w:rFonts w:eastAsia="Calibri" w:cs="Times New Roman"/>
          <w:szCs w:val="20"/>
        </w:rPr>
        <w:tab/>
        <w:t>Over the past biennium</w:t>
      </w:r>
      <w:r w:rsidR="002429EA" w:rsidRPr="00DA2C5E">
        <w:rPr>
          <w:rFonts w:eastAsia="Calibri" w:cs="Times New Roman"/>
          <w:szCs w:val="20"/>
        </w:rPr>
        <w:t>,</w:t>
      </w:r>
      <w:r w:rsidR="004031A8" w:rsidRPr="00DA2C5E">
        <w:rPr>
          <w:rFonts w:eastAsia="Calibri" w:cs="Times New Roman"/>
          <w:szCs w:val="20"/>
        </w:rPr>
        <w:t xml:space="preserve"> UNOPS continued to further its strategic goals through sustainable implementation</w:t>
      </w:r>
      <w:r w:rsidR="001644F5" w:rsidRPr="00DA2C5E">
        <w:rPr>
          <w:rFonts w:eastAsia="Calibri" w:cs="Times New Roman"/>
          <w:szCs w:val="20"/>
        </w:rPr>
        <w:t>.</w:t>
      </w:r>
      <w:r w:rsidR="002429EA" w:rsidRPr="00DA2C5E">
        <w:rPr>
          <w:rFonts w:eastAsia="Calibri" w:cs="Times New Roman"/>
          <w:szCs w:val="20"/>
        </w:rPr>
        <w:t xml:space="preserve"> A</w:t>
      </w:r>
      <w:r w:rsidR="001644F5" w:rsidRPr="00DA2C5E">
        <w:rPr>
          <w:rFonts w:eastAsia="Calibri" w:cs="Times New Roman"/>
          <w:szCs w:val="20"/>
        </w:rPr>
        <w:t xml:space="preserve"> summary of results achieved over the past biennium</w:t>
      </w:r>
      <w:r w:rsidR="002429EA" w:rsidRPr="00DA2C5E">
        <w:rPr>
          <w:rFonts w:eastAsia="Calibri" w:cs="Times New Roman"/>
          <w:szCs w:val="20"/>
        </w:rPr>
        <w:t xml:space="preserve"> follows:</w:t>
      </w:r>
    </w:p>
    <w:p w14:paraId="3D158446" w14:textId="75319F35" w:rsidR="004031A8" w:rsidRPr="00DA2C5E" w:rsidRDefault="004031A8" w:rsidP="004031A8">
      <w:pPr>
        <w:tabs>
          <w:tab w:val="clear" w:pos="425"/>
          <w:tab w:val="left" w:pos="426"/>
        </w:tabs>
        <w:spacing w:after="60"/>
        <w:ind w:left="426"/>
        <w:rPr>
          <w:rFonts w:eastAsia="Calibri" w:cs="Times New Roman"/>
          <w:szCs w:val="20"/>
        </w:rPr>
      </w:pPr>
      <w:r w:rsidRPr="00DA2C5E">
        <w:rPr>
          <w:rFonts w:eastAsia="Calibri" w:cs="Times New Roman"/>
          <w:szCs w:val="20"/>
        </w:rPr>
        <w:t xml:space="preserve">(a) With its attention to </w:t>
      </w:r>
      <w:r w:rsidRPr="00DA2C5E">
        <w:rPr>
          <w:rFonts w:eastAsia="Calibri" w:cs="Times New Roman"/>
          <w:i/>
          <w:szCs w:val="20"/>
        </w:rPr>
        <w:t>support</w:t>
      </w:r>
      <w:r w:rsidR="002429EA" w:rsidRPr="00DA2C5E">
        <w:rPr>
          <w:rFonts w:eastAsia="Calibri" w:cs="Times New Roman"/>
          <w:i/>
          <w:szCs w:val="20"/>
        </w:rPr>
        <w:t>ing</w:t>
      </w:r>
      <w:r w:rsidRPr="00DA2C5E">
        <w:rPr>
          <w:rFonts w:eastAsia="Calibri" w:cs="Times New Roman"/>
          <w:i/>
          <w:szCs w:val="20"/>
        </w:rPr>
        <w:t xml:space="preserve"> equitable economic growth</w:t>
      </w:r>
      <w:r w:rsidR="002429EA" w:rsidRPr="00DA2C5E">
        <w:rPr>
          <w:rFonts w:eastAsia="Calibri" w:cs="Times New Roman"/>
          <w:i/>
          <w:szCs w:val="20"/>
        </w:rPr>
        <w:t>,</w:t>
      </w:r>
      <w:r w:rsidRPr="00DA2C5E">
        <w:rPr>
          <w:rFonts w:eastAsia="Calibri" w:cs="Times New Roman"/>
          <w:szCs w:val="20"/>
        </w:rPr>
        <w:t xml:space="preserve"> it:</w:t>
      </w:r>
    </w:p>
    <w:p w14:paraId="7D80366F" w14:textId="07CD37F3" w:rsidR="004031A8" w:rsidRPr="00DA2C5E" w:rsidRDefault="004031A8" w:rsidP="004031A8">
      <w:pPr>
        <w:tabs>
          <w:tab w:val="clear" w:pos="425"/>
          <w:tab w:val="left" w:pos="426"/>
        </w:tabs>
        <w:spacing w:after="60"/>
        <w:ind w:left="720"/>
        <w:rPr>
          <w:rFonts w:eastAsia="Calibri" w:cs="Times New Roman"/>
          <w:szCs w:val="20"/>
        </w:rPr>
      </w:pPr>
      <w:r w:rsidRPr="00DA2C5E">
        <w:rPr>
          <w:rFonts w:eastAsia="Calibri" w:cs="Times New Roman"/>
          <w:szCs w:val="20"/>
        </w:rPr>
        <w:t xml:space="preserve">(i) </w:t>
      </w:r>
      <w:r w:rsidR="00F32CB0" w:rsidRPr="00DA2C5E">
        <w:rPr>
          <w:rFonts w:eastAsia="Calibri" w:cs="Times New Roman"/>
          <w:szCs w:val="20"/>
        </w:rPr>
        <w:t>c</w:t>
      </w:r>
      <w:r w:rsidRPr="00DA2C5E">
        <w:rPr>
          <w:rFonts w:eastAsia="Calibri" w:cs="Times New Roman"/>
          <w:szCs w:val="20"/>
        </w:rPr>
        <w:t xml:space="preserve">reated 10 million days of paid work. This </w:t>
      </w:r>
      <w:r w:rsidR="00E25405" w:rsidRPr="00DA2C5E">
        <w:rPr>
          <w:rFonts w:eastAsia="Calibri" w:cs="Times New Roman"/>
          <w:szCs w:val="20"/>
        </w:rPr>
        <w:t xml:space="preserve">was </w:t>
      </w:r>
      <w:r w:rsidRPr="00DA2C5E">
        <w:rPr>
          <w:rFonts w:eastAsia="Calibri" w:cs="Times New Roman"/>
          <w:szCs w:val="20"/>
        </w:rPr>
        <w:t>a doubling compared to the 2016-2017 biennium. In 2019</w:t>
      </w:r>
      <w:r w:rsidRPr="00DA2C5E">
        <w:rPr>
          <w:rFonts w:cs="Times New Roman"/>
        </w:rPr>
        <w:t>, women and young people undertook almost 2 million days, and people with disabilities 19,000 days.</w:t>
      </w:r>
    </w:p>
    <w:p w14:paraId="3AB54BB1" w14:textId="46880937" w:rsidR="004031A8" w:rsidRPr="00DA2C5E" w:rsidRDefault="004031A8" w:rsidP="004031A8">
      <w:pPr>
        <w:tabs>
          <w:tab w:val="clear" w:pos="425"/>
          <w:tab w:val="left" w:pos="426"/>
        </w:tabs>
        <w:spacing w:after="60"/>
        <w:ind w:left="720"/>
        <w:rPr>
          <w:rFonts w:eastAsia="Calibri" w:cs="Times New Roman"/>
          <w:szCs w:val="20"/>
        </w:rPr>
      </w:pPr>
      <w:r w:rsidRPr="00DA2C5E">
        <w:rPr>
          <w:rFonts w:eastAsia="Calibri" w:cs="Times New Roman"/>
          <w:szCs w:val="20"/>
        </w:rPr>
        <w:t xml:space="preserve">(ii) </w:t>
      </w:r>
      <w:r w:rsidR="00F32CB0" w:rsidRPr="00DA2C5E">
        <w:rPr>
          <w:rFonts w:eastAsia="Calibri" w:cs="Times New Roman"/>
          <w:szCs w:val="20"/>
        </w:rPr>
        <w:t>a</w:t>
      </w:r>
      <w:r w:rsidRPr="00DA2C5E">
        <w:rPr>
          <w:rFonts w:eastAsia="Calibri" w:cs="Times New Roman"/>
          <w:szCs w:val="20"/>
        </w:rPr>
        <w:t xml:space="preserve">warded $980 million worth </w:t>
      </w:r>
      <w:r w:rsidR="00E25405" w:rsidRPr="00DA2C5E">
        <w:rPr>
          <w:rFonts w:eastAsia="Calibri" w:cs="Times New Roman"/>
          <w:szCs w:val="20"/>
        </w:rPr>
        <w:t xml:space="preserve">of </w:t>
      </w:r>
      <w:r w:rsidRPr="00DA2C5E">
        <w:rPr>
          <w:rFonts w:eastAsia="Calibri" w:cs="Times New Roman"/>
          <w:szCs w:val="20"/>
        </w:rPr>
        <w:t xml:space="preserve">contracts to local suppliers. This </w:t>
      </w:r>
      <w:r w:rsidR="00E25405" w:rsidRPr="00DA2C5E">
        <w:rPr>
          <w:rFonts w:eastAsia="Calibri" w:cs="Times New Roman"/>
          <w:szCs w:val="20"/>
        </w:rPr>
        <w:t xml:space="preserve">was </w:t>
      </w:r>
      <w:r w:rsidRPr="00DA2C5E">
        <w:rPr>
          <w:rFonts w:eastAsia="Calibri" w:cs="Times New Roman"/>
          <w:szCs w:val="20"/>
        </w:rPr>
        <w:t xml:space="preserve">around half of the procurement spend in UNOPS locations, and an increase compared to $940 million in the previous biennium. </w:t>
      </w:r>
      <w:r w:rsidR="00884F16" w:rsidRPr="00DA2C5E">
        <w:rPr>
          <w:rFonts w:eastAsia="Calibri" w:cs="Times New Roman"/>
          <w:szCs w:val="20"/>
        </w:rPr>
        <w:t>A</w:t>
      </w:r>
      <w:r w:rsidRPr="00DA2C5E">
        <w:rPr>
          <w:rFonts w:eastAsia="Calibri" w:cs="Times New Roman"/>
          <w:szCs w:val="20"/>
        </w:rPr>
        <w:t>lmost $22 million worth of contracts were awarded to women-owned businesses</w:t>
      </w:r>
      <w:r w:rsidR="00884F16" w:rsidRPr="00DA2C5E">
        <w:rPr>
          <w:rFonts w:eastAsia="Calibri" w:cs="Times New Roman"/>
          <w:szCs w:val="20"/>
        </w:rPr>
        <w:t xml:space="preserve"> over the biennium</w:t>
      </w:r>
      <w:r w:rsidRPr="00DA2C5E">
        <w:rPr>
          <w:rFonts w:eastAsia="Calibri" w:cs="Times New Roman"/>
          <w:szCs w:val="20"/>
        </w:rPr>
        <w:t>.</w:t>
      </w:r>
    </w:p>
    <w:p w14:paraId="58259972" w14:textId="602B99CD" w:rsidR="004031A8" w:rsidRPr="00DA2C5E" w:rsidRDefault="004031A8" w:rsidP="004031A8">
      <w:pPr>
        <w:tabs>
          <w:tab w:val="clear" w:pos="425"/>
          <w:tab w:val="left" w:pos="426"/>
        </w:tabs>
        <w:spacing w:after="60"/>
        <w:ind w:left="426"/>
        <w:rPr>
          <w:rFonts w:eastAsia="Calibri" w:cs="Times New Roman"/>
          <w:szCs w:val="20"/>
        </w:rPr>
      </w:pPr>
      <w:r w:rsidRPr="00DA2C5E">
        <w:rPr>
          <w:rFonts w:eastAsia="Calibri" w:cs="Times New Roman"/>
          <w:szCs w:val="20"/>
        </w:rPr>
        <w:t xml:space="preserve">(b) Through its consideration of </w:t>
      </w:r>
      <w:r w:rsidRPr="00DA2C5E">
        <w:rPr>
          <w:rFonts w:eastAsia="Calibri" w:cs="Times New Roman"/>
          <w:i/>
          <w:szCs w:val="20"/>
        </w:rPr>
        <w:t>social justice and inclusion</w:t>
      </w:r>
      <w:r w:rsidR="00E25405" w:rsidRPr="00DA2C5E">
        <w:rPr>
          <w:rFonts w:eastAsia="Calibri" w:cs="Times New Roman"/>
          <w:i/>
          <w:szCs w:val="20"/>
        </w:rPr>
        <w:t>,</w:t>
      </w:r>
      <w:r w:rsidRPr="00DA2C5E">
        <w:rPr>
          <w:rFonts w:eastAsia="Calibri" w:cs="Times New Roman"/>
          <w:szCs w:val="20"/>
        </w:rPr>
        <w:t xml:space="preserve"> it:</w:t>
      </w:r>
    </w:p>
    <w:p w14:paraId="357C8394" w14:textId="3E0E799A" w:rsidR="004031A8" w:rsidRPr="00DA2C5E" w:rsidRDefault="004031A8" w:rsidP="004031A8">
      <w:pPr>
        <w:tabs>
          <w:tab w:val="clear" w:pos="425"/>
          <w:tab w:val="left" w:pos="426"/>
        </w:tabs>
        <w:spacing w:after="60"/>
        <w:ind w:left="720"/>
        <w:rPr>
          <w:rFonts w:eastAsia="Calibri" w:cs="Times New Roman"/>
          <w:szCs w:val="20"/>
        </w:rPr>
      </w:pPr>
      <w:r w:rsidRPr="00DA2C5E">
        <w:rPr>
          <w:rFonts w:eastAsia="Calibri" w:cs="Times New Roman"/>
          <w:szCs w:val="20"/>
        </w:rPr>
        <w:t xml:space="preserve">(i) </w:t>
      </w:r>
      <w:r w:rsidR="00F32CB0" w:rsidRPr="00DA2C5E">
        <w:rPr>
          <w:rFonts w:eastAsia="Calibri" w:cs="Times New Roman"/>
          <w:szCs w:val="20"/>
        </w:rPr>
        <w:t>e</w:t>
      </w:r>
      <w:r w:rsidRPr="00DA2C5E">
        <w:rPr>
          <w:rFonts w:eastAsia="Calibri" w:cs="Times New Roman"/>
          <w:szCs w:val="20"/>
        </w:rPr>
        <w:t>ngaged local populations through community outreach and capacity</w:t>
      </w:r>
      <w:r w:rsidR="00E25405" w:rsidRPr="00DA2C5E">
        <w:rPr>
          <w:rFonts w:eastAsia="Calibri" w:cs="Times New Roman"/>
          <w:szCs w:val="20"/>
        </w:rPr>
        <w:t>-</w:t>
      </w:r>
      <w:r w:rsidRPr="00DA2C5E">
        <w:rPr>
          <w:rFonts w:eastAsia="Calibri" w:cs="Times New Roman"/>
          <w:szCs w:val="20"/>
        </w:rPr>
        <w:t>building. Over the biennium, $651 million worth of infrastructure projects included outreach and capacity</w:t>
      </w:r>
      <w:r w:rsidR="00E25405" w:rsidRPr="00DA2C5E">
        <w:rPr>
          <w:rFonts w:eastAsia="Calibri" w:cs="Times New Roman"/>
          <w:szCs w:val="20"/>
        </w:rPr>
        <w:t>-</w:t>
      </w:r>
      <w:r w:rsidRPr="00DA2C5E">
        <w:rPr>
          <w:rFonts w:eastAsia="Calibri" w:cs="Times New Roman"/>
          <w:szCs w:val="20"/>
        </w:rPr>
        <w:t>building activities</w:t>
      </w:r>
      <w:r w:rsidR="00E103E9" w:rsidRPr="00DA2C5E">
        <w:rPr>
          <w:rFonts w:eastAsia="Calibri" w:cs="Times New Roman"/>
          <w:szCs w:val="20"/>
        </w:rPr>
        <w:t xml:space="preserve"> – </w:t>
      </w:r>
      <w:r w:rsidRPr="00DA2C5E">
        <w:rPr>
          <w:rFonts w:eastAsia="Calibri" w:cs="Times New Roman"/>
          <w:szCs w:val="20"/>
        </w:rPr>
        <w:t>a 24 per cent increase o</w:t>
      </w:r>
      <w:r w:rsidR="00E25405" w:rsidRPr="00DA2C5E">
        <w:rPr>
          <w:rFonts w:eastAsia="Calibri" w:cs="Times New Roman"/>
          <w:szCs w:val="20"/>
        </w:rPr>
        <w:t>ver</w:t>
      </w:r>
      <w:r w:rsidRPr="00DA2C5E">
        <w:rPr>
          <w:rFonts w:eastAsia="Calibri" w:cs="Times New Roman"/>
          <w:szCs w:val="20"/>
        </w:rPr>
        <w:t xml:space="preserve"> $527 million in the previous biennium. In 2019, 81 per cent of infrastructure activities contributed to developing national capacity; 62 per cent reported </w:t>
      </w:r>
      <w:r w:rsidR="00E25405" w:rsidRPr="00DA2C5E">
        <w:rPr>
          <w:rFonts w:eastAsia="Calibri" w:cs="Times New Roman"/>
          <w:szCs w:val="20"/>
        </w:rPr>
        <w:t xml:space="preserve">a </w:t>
      </w:r>
      <w:r w:rsidRPr="00DA2C5E">
        <w:rPr>
          <w:rFonts w:eastAsia="Calibri" w:cs="Times New Roman"/>
          <w:szCs w:val="20"/>
        </w:rPr>
        <w:t>focus on women, and 23 per cent on people with disabilities.</w:t>
      </w:r>
    </w:p>
    <w:p w14:paraId="04D0A474" w14:textId="19B0CB7A" w:rsidR="004031A8" w:rsidRPr="00DA2C5E" w:rsidRDefault="004031A8" w:rsidP="004031A8">
      <w:pPr>
        <w:tabs>
          <w:tab w:val="clear" w:pos="425"/>
          <w:tab w:val="left" w:pos="426"/>
        </w:tabs>
        <w:spacing w:after="60"/>
        <w:ind w:left="720"/>
        <w:rPr>
          <w:rFonts w:cs="Times New Roman"/>
        </w:rPr>
      </w:pPr>
      <w:r w:rsidRPr="00DA2C5E">
        <w:rPr>
          <w:rFonts w:cs="Times New Roman"/>
        </w:rPr>
        <w:t xml:space="preserve">(ii) </w:t>
      </w:r>
      <w:r w:rsidR="00F32CB0" w:rsidRPr="00DA2C5E">
        <w:rPr>
          <w:rFonts w:cs="Times New Roman"/>
        </w:rPr>
        <w:t>e</w:t>
      </w:r>
      <w:r w:rsidRPr="00DA2C5E">
        <w:rPr>
          <w:rFonts w:cs="Times New Roman"/>
        </w:rPr>
        <w:t>nabled equal access to facilities and/or services. Over the biennium, $410 million</w:t>
      </w:r>
      <w:r w:rsidR="00F32CB0" w:rsidRPr="00DA2C5E">
        <w:rPr>
          <w:rFonts w:eastAsia="Calibri" w:cs="Times New Roman"/>
          <w:szCs w:val="20"/>
        </w:rPr>
        <w:t>-</w:t>
      </w:r>
      <w:r w:rsidRPr="00DA2C5E">
        <w:rPr>
          <w:rFonts w:eastAsia="Calibri" w:cs="Times New Roman"/>
          <w:szCs w:val="20"/>
        </w:rPr>
        <w:t>worth of infrastructure projects included</w:t>
      </w:r>
      <w:r w:rsidRPr="00DA2C5E">
        <w:rPr>
          <w:rFonts w:cs="Times New Roman"/>
        </w:rPr>
        <w:t xml:space="preserve"> activities </w:t>
      </w:r>
      <w:r w:rsidR="00E103E9" w:rsidRPr="00DA2C5E">
        <w:rPr>
          <w:rFonts w:cs="Times New Roman"/>
        </w:rPr>
        <w:t xml:space="preserve">that </w:t>
      </w:r>
      <w:r w:rsidR="00F32CB0" w:rsidRPr="00DA2C5E">
        <w:rPr>
          <w:rFonts w:cs="Times New Roman"/>
        </w:rPr>
        <w:t>sought to</w:t>
      </w:r>
      <w:r w:rsidRPr="00DA2C5E">
        <w:rPr>
          <w:rFonts w:cs="Times New Roman"/>
        </w:rPr>
        <w:t xml:space="preserve"> enabl</w:t>
      </w:r>
      <w:r w:rsidR="00F32CB0" w:rsidRPr="00DA2C5E">
        <w:rPr>
          <w:rFonts w:cs="Times New Roman"/>
        </w:rPr>
        <w:t>e</w:t>
      </w:r>
      <w:r w:rsidRPr="00DA2C5E">
        <w:rPr>
          <w:rFonts w:cs="Times New Roman"/>
        </w:rPr>
        <w:t xml:space="preserve"> equal access, compared to $200</w:t>
      </w:r>
      <w:r w:rsidR="00E103E9" w:rsidRPr="00DA2C5E">
        <w:rPr>
          <w:rFonts w:cs="Times New Roman"/>
        </w:rPr>
        <w:t> </w:t>
      </w:r>
      <w:r w:rsidRPr="00DA2C5E">
        <w:rPr>
          <w:rFonts w:cs="Times New Roman"/>
        </w:rPr>
        <w:t xml:space="preserve">million in the previous biennium. In 2019, 60 per cent </w:t>
      </w:r>
      <w:r w:rsidR="00F32CB0" w:rsidRPr="00DA2C5E">
        <w:rPr>
          <w:rFonts w:cs="Times New Roman"/>
        </w:rPr>
        <w:t xml:space="preserve">of </w:t>
      </w:r>
      <w:r w:rsidRPr="00DA2C5E">
        <w:rPr>
          <w:rFonts w:cs="Times New Roman"/>
        </w:rPr>
        <w:t xml:space="preserve">infrastructure projects included outputs targeting access for women, and 46 per cent for people with disabilities. </w:t>
      </w:r>
      <w:r w:rsidR="00E103E9" w:rsidRPr="00DA2C5E">
        <w:rPr>
          <w:rFonts w:cs="Times New Roman"/>
        </w:rPr>
        <w:t>W</w:t>
      </w:r>
      <w:r w:rsidRPr="00DA2C5E">
        <w:rPr>
          <w:rFonts w:cs="Times New Roman"/>
        </w:rPr>
        <w:t>ork on roads and bridges alone enabled equal access to facilities and services for 13 million people</w:t>
      </w:r>
      <w:r w:rsidR="00E103E9" w:rsidRPr="00DA2C5E">
        <w:rPr>
          <w:rFonts w:cs="Times New Roman"/>
        </w:rPr>
        <w:t xml:space="preserve"> or more</w:t>
      </w:r>
      <w:r w:rsidRPr="00DA2C5E">
        <w:rPr>
          <w:rFonts w:cs="Times New Roman"/>
        </w:rPr>
        <w:t>.</w:t>
      </w:r>
    </w:p>
    <w:p w14:paraId="5341A7E4" w14:textId="4A3683B0" w:rsidR="004031A8" w:rsidRPr="00DA2C5E" w:rsidRDefault="004031A8" w:rsidP="004031A8">
      <w:pPr>
        <w:tabs>
          <w:tab w:val="clear" w:pos="425"/>
          <w:tab w:val="left" w:pos="426"/>
        </w:tabs>
        <w:spacing w:after="60"/>
        <w:ind w:left="426"/>
        <w:rPr>
          <w:rFonts w:eastAsia="Calibri" w:cs="Times New Roman"/>
          <w:szCs w:val="20"/>
        </w:rPr>
      </w:pPr>
      <w:r w:rsidRPr="00DA2C5E">
        <w:rPr>
          <w:rFonts w:eastAsia="Calibri" w:cs="Times New Roman"/>
          <w:szCs w:val="20"/>
        </w:rPr>
        <w:t xml:space="preserve">(c) In honouring its commitment to </w:t>
      </w:r>
      <w:r w:rsidRPr="00DA2C5E">
        <w:rPr>
          <w:rFonts w:eastAsia="Calibri" w:cs="Times New Roman"/>
          <w:i/>
          <w:szCs w:val="20"/>
        </w:rPr>
        <w:t>environmental respect</w:t>
      </w:r>
      <w:r w:rsidR="00F32CB0" w:rsidRPr="00DA2C5E">
        <w:rPr>
          <w:rFonts w:eastAsia="Calibri" w:cs="Times New Roman"/>
          <w:i/>
          <w:szCs w:val="20"/>
        </w:rPr>
        <w:t>,</w:t>
      </w:r>
      <w:r w:rsidRPr="00DA2C5E">
        <w:rPr>
          <w:rFonts w:eastAsia="Calibri" w:cs="Times New Roman"/>
          <w:szCs w:val="20"/>
        </w:rPr>
        <w:t xml:space="preserve"> UNOPS:</w:t>
      </w:r>
    </w:p>
    <w:p w14:paraId="18D2C70C" w14:textId="45D54357" w:rsidR="004031A8" w:rsidRPr="00DA2C5E" w:rsidRDefault="004031A8" w:rsidP="004031A8">
      <w:pPr>
        <w:tabs>
          <w:tab w:val="clear" w:pos="425"/>
          <w:tab w:val="left" w:pos="426"/>
        </w:tabs>
        <w:spacing w:after="60"/>
        <w:ind w:left="720"/>
        <w:rPr>
          <w:rFonts w:eastAsia="Calibri" w:cs="Times New Roman"/>
          <w:szCs w:val="20"/>
        </w:rPr>
      </w:pPr>
      <w:r w:rsidRPr="00DA2C5E">
        <w:rPr>
          <w:rFonts w:eastAsia="Calibri" w:cs="Times New Roman"/>
          <w:szCs w:val="20"/>
        </w:rPr>
        <w:t xml:space="preserve">(i) </w:t>
      </w:r>
      <w:r w:rsidR="00F32CB0" w:rsidRPr="00DA2C5E">
        <w:rPr>
          <w:color w:val="222222"/>
          <w:szCs w:val="20"/>
        </w:rPr>
        <w:t>m</w:t>
      </w:r>
      <w:r w:rsidRPr="00DA2C5E">
        <w:rPr>
          <w:color w:val="222222"/>
          <w:szCs w:val="20"/>
        </w:rPr>
        <w:t xml:space="preserve">itigated greenhouse gas emissions during a period of strong growth. Over the biennium, UNOPS operations recorded greenhouse gas emissions of </w:t>
      </w:r>
      <w:r w:rsidR="00F32CB0" w:rsidRPr="00DA2C5E">
        <w:rPr>
          <w:color w:val="222222"/>
          <w:szCs w:val="20"/>
        </w:rPr>
        <w:t xml:space="preserve">about </w:t>
      </w:r>
      <w:r w:rsidRPr="00DA2C5E">
        <w:rPr>
          <w:color w:val="222222"/>
          <w:szCs w:val="20"/>
        </w:rPr>
        <w:t>3</w:t>
      </w:r>
      <w:r w:rsidR="00110660" w:rsidRPr="00DA2C5E">
        <w:rPr>
          <w:color w:val="222222"/>
          <w:szCs w:val="20"/>
        </w:rPr>
        <w:t>0</w:t>
      </w:r>
      <w:r w:rsidRPr="00DA2C5E">
        <w:rPr>
          <w:color w:val="222222"/>
          <w:szCs w:val="20"/>
        </w:rPr>
        <w:t>,000 tonnes of carbon dioxide equivalent, compared to roughly 3</w:t>
      </w:r>
      <w:r w:rsidR="00110660" w:rsidRPr="00DA2C5E">
        <w:rPr>
          <w:color w:val="222222"/>
          <w:szCs w:val="20"/>
        </w:rPr>
        <w:t>2</w:t>
      </w:r>
      <w:r w:rsidRPr="00DA2C5E">
        <w:rPr>
          <w:color w:val="222222"/>
          <w:szCs w:val="20"/>
        </w:rPr>
        <w:t xml:space="preserve">,000 </w:t>
      </w:r>
      <w:r w:rsidR="00E103E9" w:rsidRPr="00DA2C5E">
        <w:rPr>
          <w:color w:val="222222"/>
          <w:szCs w:val="20"/>
        </w:rPr>
        <w:t xml:space="preserve">tonnes </w:t>
      </w:r>
      <w:r w:rsidRPr="00DA2C5E">
        <w:rPr>
          <w:color w:val="222222"/>
          <w:szCs w:val="20"/>
        </w:rPr>
        <w:t>in 2016-2017</w:t>
      </w:r>
      <w:r w:rsidRPr="00DA2C5E">
        <w:rPr>
          <w:rFonts w:cs="Times New Roman"/>
        </w:rPr>
        <w:t>. Over the 2016-2019 period</w:t>
      </w:r>
      <w:r w:rsidR="00E103E9" w:rsidRPr="00DA2C5E">
        <w:rPr>
          <w:rFonts w:cs="Times New Roman"/>
        </w:rPr>
        <w:t>,</w:t>
      </w:r>
      <w:r w:rsidRPr="00DA2C5E">
        <w:rPr>
          <w:rFonts w:cs="Times New Roman"/>
        </w:rPr>
        <w:t xml:space="preserve"> activities increased </w:t>
      </w:r>
      <w:r w:rsidR="00E103E9" w:rsidRPr="00DA2C5E">
        <w:rPr>
          <w:rFonts w:cs="Times New Roman"/>
        </w:rPr>
        <w:t xml:space="preserve">by </w:t>
      </w:r>
      <w:r w:rsidRPr="00DA2C5E">
        <w:rPr>
          <w:rFonts w:cs="Times New Roman"/>
        </w:rPr>
        <w:t xml:space="preserve">more than 50 per cent; and </w:t>
      </w:r>
      <w:r w:rsidR="00F32CB0" w:rsidRPr="00DA2C5E">
        <w:rPr>
          <w:rFonts w:cs="Times New Roman"/>
        </w:rPr>
        <w:t>UNOPS</w:t>
      </w:r>
      <w:r w:rsidR="00F32CB0" w:rsidRPr="00DA2C5E">
        <w:rPr>
          <w:rFonts w:eastAsia="Calibri" w:cs="Times New Roman"/>
          <w:szCs w:val="20"/>
        </w:rPr>
        <w:t xml:space="preserve"> </w:t>
      </w:r>
      <w:r w:rsidRPr="00DA2C5E">
        <w:rPr>
          <w:rFonts w:eastAsia="Calibri" w:cs="Times New Roman"/>
          <w:szCs w:val="20"/>
        </w:rPr>
        <w:t>continued to offset emissions through the United Nations Clean Development Mechanism.</w:t>
      </w:r>
    </w:p>
    <w:p w14:paraId="692ADC71" w14:textId="039A0A00" w:rsidR="004031A8" w:rsidRPr="00DA2C5E" w:rsidRDefault="004031A8" w:rsidP="00962931">
      <w:pPr>
        <w:tabs>
          <w:tab w:val="clear" w:pos="425"/>
          <w:tab w:val="left" w:pos="426"/>
        </w:tabs>
        <w:spacing w:after="120"/>
        <w:ind w:left="720"/>
        <w:rPr>
          <w:rFonts w:eastAsia="Calibri" w:cs="Times New Roman"/>
          <w:szCs w:val="20"/>
        </w:rPr>
      </w:pPr>
      <w:r w:rsidRPr="00DA2C5E">
        <w:rPr>
          <w:rFonts w:eastAsia="Calibri" w:cs="Times New Roman"/>
          <w:szCs w:val="20"/>
        </w:rPr>
        <w:t xml:space="preserve">(ii) </w:t>
      </w:r>
      <w:r w:rsidR="00F32CB0" w:rsidRPr="00DA2C5E">
        <w:rPr>
          <w:rFonts w:eastAsia="Calibri" w:cs="Times New Roman"/>
          <w:szCs w:val="20"/>
        </w:rPr>
        <w:t>d</w:t>
      </w:r>
      <w:r w:rsidRPr="00DA2C5E">
        <w:rPr>
          <w:rFonts w:eastAsia="Calibri" w:cs="Times New Roman"/>
          <w:szCs w:val="20"/>
        </w:rPr>
        <w:t>oubled the geographical coverage of its ISO</w:t>
      </w:r>
      <w:r w:rsidR="00F32CB0" w:rsidRPr="00DA2C5E">
        <w:rPr>
          <w:rFonts w:eastAsia="Calibri" w:cs="Times New Roman"/>
          <w:szCs w:val="20"/>
        </w:rPr>
        <w:t> </w:t>
      </w:r>
      <w:r w:rsidRPr="00DA2C5E">
        <w:rPr>
          <w:rFonts w:eastAsia="Calibri" w:cs="Times New Roman"/>
          <w:szCs w:val="20"/>
        </w:rPr>
        <w:t xml:space="preserve">14001-certified environmental management system to cover activities and facilities in 18 countries and territories, up from </w:t>
      </w:r>
      <w:r w:rsidR="00F32CB0" w:rsidRPr="00DA2C5E">
        <w:rPr>
          <w:rFonts w:eastAsia="Calibri" w:cs="Times New Roman"/>
          <w:szCs w:val="20"/>
        </w:rPr>
        <w:t xml:space="preserve">only </w:t>
      </w:r>
      <w:r w:rsidRPr="00DA2C5E">
        <w:rPr>
          <w:rFonts w:eastAsia="Calibri" w:cs="Times New Roman"/>
          <w:szCs w:val="20"/>
        </w:rPr>
        <w:t>nine at the end of 2017.</w:t>
      </w:r>
    </w:p>
    <w:p w14:paraId="3E7B0134" w14:textId="77777777" w:rsidR="009564C3" w:rsidRPr="00DA2C5E" w:rsidRDefault="009564C3" w:rsidP="00B7162D">
      <w:pPr>
        <w:pStyle w:val="Heading4"/>
      </w:pPr>
      <w:r w:rsidRPr="00DA2C5E">
        <w:t>Sustainable implementation approaches for infrastructure</w:t>
      </w:r>
    </w:p>
    <w:p w14:paraId="0FEA016F" w14:textId="3BFE7693" w:rsidR="009564C3" w:rsidRPr="00DA2C5E" w:rsidRDefault="00DB350A" w:rsidP="009564C3">
      <w:pPr>
        <w:spacing w:after="120"/>
        <w:rPr>
          <w:rFonts w:cs="Times New Roman"/>
        </w:rPr>
      </w:pPr>
      <w:r w:rsidRPr="00DA2C5E">
        <w:rPr>
          <w:rFonts w:cs="Times New Roman"/>
        </w:rPr>
        <w:t>2</w:t>
      </w:r>
      <w:r w:rsidR="00C040F4" w:rsidRPr="00DA2C5E">
        <w:rPr>
          <w:rFonts w:cs="Times New Roman"/>
        </w:rPr>
        <w:t>7</w:t>
      </w:r>
      <w:r w:rsidR="009564C3" w:rsidRPr="00DA2C5E">
        <w:rPr>
          <w:rFonts w:cs="Times New Roman"/>
        </w:rPr>
        <w:t>.</w:t>
      </w:r>
      <w:r w:rsidR="009564C3" w:rsidRPr="00DA2C5E">
        <w:rPr>
          <w:rFonts w:cs="Times New Roman"/>
        </w:rPr>
        <w:tab/>
        <w:t>B</w:t>
      </w:r>
      <w:r w:rsidR="009564C3" w:rsidRPr="00BD2147">
        <w:rPr>
          <w:rFonts w:eastAsia="Times New Roman" w:cs="Times New Roman"/>
          <w:color w:val="000000"/>
          <w:szCs w:val="20"/>
        </w:rPr>
        <w:t xml:space="preserve">y streamlining its sustainable implementation approaches </w:t>
      </w:r>
      <w:r w:rsidR="00F32CB0" w:rsidRPr="00BD2147">
        <w:rPr>
          <w:rFonts w:eastAsia="Times New Roman" w:cs="Times New Roman"/>
          <w:color w:val="000000"/>
          <w:szCs w:val="20"/>
        </w:rPr>
        <w:t xml:space="preserve">across </w:t>
      </w:r>
      <w:r w:rsidR="009564C3" w:rsidRPr="00BD2147">
        <w:rPr>
          <w:rFonts w:eastAsia="Times New Roman" w:cs="Times New Roman"/>
          <w:color w:val="000000"/>
          <w:szCs w:val="20"/>
        </w:rPr>
        <w:t>its infrastructure projects</w:t>
      </w:r>
      <w:r w:rsidR="00F32CB0" w:rsidRPr="00BD2147">
        <w:rPr>
          <w:rFonts w:eastAsia="Times New Roman" w:cs="Times New Roman"/>
          <w:color w:val="000000"/>
          <w:szCs w:val="20"/>
        </w:rPr>
        <w:t>,</w:t>
      </w:r>
      <w:r w:rsidR="009564C3" w:rsidRPr="00BD2147">
        <w:rPr>
          <w:rFonts w:eastAsia="Times New Roman" w:cs="Times New Roman"/>
          <w:color w:val="000000"/>
          <w:szCs w:val="20"/>
        </w:rPr>
        <w:t xml:space="preserve"> UNOPS has further developed its capacity to deliver in a sustainable, resilient and inclusive manner. The implementation approaches include guidance on assessing environmental impact, engaging communities in planning and implementation, using local labo</w:t>
      </w:r>
      <w:r w:rsidR="00F32CB0" w:rsidRPr="00BD2147">
        <w:rPr>
          <w:rFonts w:eastAsia="Times New Roman" w:cs="Times New Roman"/>
          <w:color w:val="000000"/>
          <w:szCs w:val="20"/>
        </w:rPr>
        <w:t>u</w:t>
      </w:r>
      <w:r w:rsidR="009564C3" w:rsidRPr="00BD2147">
        <w:rPr>
          <w:rFonts w:eastAsia="Times New Roman" w:cs="Times New Roman"/>
          <w:color w:val="000000"/>
          <w:szCs w:val="20"/>
        </w:rPr>
        <w:t>r (cash for work), and mainstreaming gender considerations.</w:t>
      </w:r>
    </w:p>
    <w:p w14:paraId="1F45B520" w14:textId="4FE91572" w:rsidR="009564C3" w:rsidRPr="00DA2C5E" w:rsidRDefault="00DB350A" w:rsidP="009564C3">
      <w:pPr>
        <w:spacing w:after="120"/>
        <w:rPr>
          <w:rFonts w:cs="Times New Roman"/>
        </w:rPr>
      </w:pPr>
      <w:r w:rsidRPr="00DA2C5E">
        <w:rPr>
          <w:rFonts w:cs="Times New Roman"/>
        </w:rPr>
        <w:t>2</w:t>
      </w:r>
      <w:r w:rsidR="00C040F4" w:rsidRPr="00DA2C5E">
        <w:rPr>
          <w:rFonts w:cs="Times New Roman"/>
        </w:rPr>
        <w:t>8</w:t>
      </w:r>
      <w:r w:rsidR="009564C3" w:rsidRPr="00DA2C5E">
        <w:rPr>
          <w:rFonts w:cs="Times New Roman"/>
        </w:rPr>
        <w:t>.</w:t>
      </w:r>
      <w:r w:rsidR="009564C3" w:rsidRPr="00DA2C5E">
        <w:rPr>
          <w:rFonts w:cs="Times New Roman"/>
        </w:rPr>
        <w:tab/>
      </w:r>
      <w:r w:rsidR="009564C3" w:rsidRPr="00BD2147">
        <w:rPr>
          <w:rFonts w:eastAsia="Times New Roman" w:cs="Times New Roman"/>
          <w:color w:val="000000"/>
          <w:szCs w:val="20"/>
        </w:rPr>
        <w:t xml:space="preserve">Inclusive and gender-sensitive infrastructure is central to achieving international commitments. </w:t>
      </w:r>
      <w:r w:rsidR="00CA6C5E">
        <w:rPr>
          <w:rFonts w:eastAsia="Times New Roman" w:cs="Times New Roman"/>
          <w:color w:val="000000"/>
          <w:szCs w:val="20"/>
        </w:rPr>
        <w:t xml:space="preserve">If infrastructure implementation is </w:t>
      </w:r>
      <w:r w:rsidR="00E103E9" w:rsidRPr="00DA2C5E">
        <w:rPr>
          <w:rFonts w:eastAsia="Times New Roman" w:cs="Times New Roman"/>
          <w:color w:val="000000"/>
          <w:szCs w:val="20"/>
        </w:rPr>
        <w:t>‘</w:t>
      </w:r>
      <w:r w:rsidR="00CA6C5E">
        <w:rPr>
          <w:rFonts w:eastAsia="Times New Roman" w:cs="Times New Roman"/>
          <w:color w:val="000000"/>
          <w:szCs w:val="20"/>
        </w:rPr>
        <w:t>g</w:t>
      </w:r>
      <w:r w:rsidR="009564C3" w:rsidRPr="00DA2C5E">
        <w:rPr>
          <w:rFonts w:cs="Times New Roman"/>
        </w:rPr>
        <w:t>ender-blind</w:t>
      </w:r>
      <w:r w:rsidR="00CA6C5E">
        <w:rPr>
          <w:rFonts w:cs="Times New Roman"/>
        </w:rPr>
        <w:t>’</w:t>
      </w:r>
      <w:r w:rsidR="009564C3" w:rsidRPr="00DA2C5E">
        <w:rPr>
          <w:rFonts w:cs="Times New Roman"/>
        </w:rPr>
        <w:t xml:space="preserve">, </w:t>
      </w:r>
      <w:r w:rsidR="00CA6C5E">
        <w:rPr>
          <w:rFonts w:cs="Times New Roman"/>
        </w:rPr>
        <w:t xml:space="preserve">it will </w:t>
      </w:r>
      <w:r w:rsidR="009564C3" w:rsidRPr="00DA2C5E">
        <w:rPr>
          <w:rFonts w:cs="Times New Roman"/>
        </w:rPr>
        <w:t xml:space="preserve">maintain obstacles for obtaining women’s empowerment and gender equality for decades. In collaboration with a range of partners </w:t>
      </w:r>
      <w:r w:rsidR="00E55D78" w:rsidRPr="00DA2C5E">
        <w:rPr>
          <w:rFonts w:cs="Times New Roman"/>
        </w:rPr>
        <w:t xml:space="preserve">– </w:t>
      </w:r>
      <w:r w:rsidR="009564C3" w:rsidRPr="00DA2C5E">
        <w:rPr>
          <w:rFonts w:cs="Times New Roman"/>
        </w:rPr>
        <w:t>including other U</w:t>
      </w:r>
      <w:r w:rsidR="00F32CB0" w:rsidRPr="00DA2C5E">
        <w:rPr>
          <w:rFonts w:cs="Times New Roman"/>
        </w:rPr>
        <w:t>nited Nations</w:t>
      </w:r>
      <w:r w:rsidR="009564C3" w:rsidRPr="00DA2C5E">
        <w:rPr>
          <w:rFonts w:cs="Times New Roman"/>
        </w:rPr>
        <w:t xml:space="preserve"> entities and governments </w:t>
      </w:r>
      <w:r w:rsidR="00E55D78" w:rsidRPr="00DA2C5E">
        <w:rPr>
          <w:rFonts w:cs="Times New Roman"/>
        </w:rPr>
        <w:t xml:space="preserve">– </w:t>
      </w:r>
      <w:r w:rsidR="009564C3" w:rsidRPr="00DA2C5E">
        <w:rPr>
          <w:rFonts w:cs="Times New Roman"/>
        </w:rPr>
        <w:t>UNOPS continues to spotlight the need for inclusive</w:t>
      </w:r>
      <w:r w:rsidR="00EB64E9" w:rsidRPr="00DA2C5E">
        <w:rPr>
          <w:rFonts w:cs="Times New Roman"/>
        </w:rPr>
        <w:t>,</w:t>
      </w:r>
      <w:r w:rsidR="009564C3" w:rsidRPr="00DA2C5E">
        <w:rPr>
          <w:rFonts w:cs="Times New Roman"/>
        </w:rPr>
        <w:t xml:space="preserve"> gender-sensitive</w:t>
      </w:r>
      <w:r w:rsidR="00EB64E9" w:rsidRPr="00DA2C5E">
        <w:rPr>
          <w:rFonts w:cs="Times New Roman"/>
        </w:rPr>
        <w:t xml:space="preserve"> infrastructure</w:t>
      </w:r>
      <w:r w:rsidR="009564C3" w:rsidRPr="00DA2C5E">
        <w:rPr>
          <w:rFonts w:cs="Times New Roman"/>
        </w:rPr>
        <w:t>; and promotes and supports gender mainstreaming in all infrastructure projects.</w:t>
      </w:r>
    </w:p>
    <w:p w14:paraId="50425022" w14:textId="77777777" w:rsidR="008F0239" w:rsidRPr="00BD2147" w:rsidRDefault="008F0239" w:rsidP="00B7162D">
      <w:pPr>
        <w:pStyle w:val="Heading4"/>
        <w:rPr>
          <w:rFonts w:eastAsia="Times New Roman"/>
        </w:rPr>
      </w:pPr>
      <w:r w:rsidRPr="00BD2147">
        <w:rPr>
          <w:rFonts w:eastAsia="Times New Roman"/>
        </w:rPr>
        <w:t>Quality infrastructure and evidence-based approaches</w:t>
      </w:r>
    </w:p>
    <w:p w14:paraId="1B091B72" w14:textId="2277BB87" w:rsidR="008F0239" w:rsidRPr="00BD2147" w:rsidRDefault="008F0239" w:rsidP="008F0239">
      <w:pPr>
        <w:spacing w:after="120"/>
        <w:rPr>
          <w:rFonts w:eastAsia="Times New Roman" w:cs="Times New Roman"/>
          <w:color w:val="000000"/>
          <w:szCs w:val="20"/>
        </w:rPr>
      </w:pPr>
      <w:r w:rsidRPr="00BD2147">
        <w:rPr>
          <w:rFonts w:eastAsia="Times New Roman" w:cs="Times New Roman"/>
          <w:color w:val="000000"/>
          <w:szCs w:val="20"/>
        </w:rPr>
        <w:t>29.</w:t>
      </w:r>
      <w:r w:rsidRPr="00BD2147">
        <w:rPr>
          <w:rFonts w:eastAsia="Times New Roman" w:cs="Times New Roman"/>
          <w:color w:val="000000"/>
          <w:szCs w:val="20"/>
        </w:rPr>
        <w:tab/>
        <w:t>Over the biennium</w:t>
      </w:r>
      <w:r w:rsidR="00EB64E9" w:rsidRPr="00DA2C5E">
        <w:rPr>
          <w:rFonts w:eastAsia="Times New Roman" w:cs="Times New Roman"/>
          <w:color w:val="000000"/>
          <w:szCs w:val="20"/>
        </w:rPr>
        <w:t>,</w:t>
      </w:r>
      <w:r w:rsidRPr="00BD2147">
        <w:rPr>
          <w:rFonts w:eastAsia="Times New Roman" w:cs="Times New Roman"/>
          <w:color w:val="000000"/>
          <w:szCs w:val="20"/>
        </w:rPr>
        <w:t xml:space="preserve"> UNOPS developed and tested two tools to support evidence-based infrastructure: (a) the National Infrastructure Systems Model</w:t>
      </w:r>
      <w:r w:rsidR="00EB64E9" w:rsidRPr="00DA2C5E">
        <w:rPr>
          <w:rFonts w:eastAsia="Times New Roman" w:cs="Times New Roman"/>
          <w:color w:val="000000"/>
          <w:szCs w:val="20"/>
        </w:rPr>
        <w:t>,</w:t>
      </w:r>
      <w:r w:rsidRPr="00BD2147">
        <w:rPr>
          <w:rFonts w:eastAsia="Times New Roman" w:cs="Times New Roman"/>
          <w:color w:val="000000"/>
          <w:szCs w:val="20"/>
        </w:rPr>
        <w:t xml:space="preserve"> to support governments in making infrastructure planning decisions; and (b) the Capacity Assessment Tool for Infrastructure</w:t>
      </w:r>
      <w:r w:rsidR="00EB64E9" w:rsidRPr="00DA2C5E">
        <w:rPr>
          <w:rFonts w:eastAsia="Times New Roman" w:cs="Times New Roman"/>
          <w:color w:val="000000"/>
          <w:szCs w:val="20"/>
        </w:rPr>
        <w:t>,</w:t>
      </w:r>
      <w:r w:rsidRPr="00BD2147">
        <w:rPr>
          <w:rFonts w:eastAsia="Times New Roman" w:cs="Times New Roman"/>
          <w:color w:val="000000"/>
          <w:szCs w:val="20"/>
        </w:rPr>
        <w:t xml:space="preserve"> to support governments in assessing their capacity to effectively plan, deliver and manage infrastructure systems.</w:t>
      </w:r>
    </w:p>
    <w:p w14:paraId="476E97E4" w14:textId="4861DB05" w:rsidR="008F0239" w:rsidRPr="00BD2147" w:rsidRDefault="008F0239" w:rsidP="008F0239">
      <w:pPr>
        <w:spacing w:after="120"/>
        <w:rPr>
          <w:rFonts w:eastAsia="Times New Roman" w:cs="Times New Roman"/>
          <w:color w:val="000000"/>
          <w:szCs w:val="20"/>
        </w:rPr>
      </w:pPr>
      <w:r w:rsidRPr="00BD2147">
        <w:rPr>
          <w:rFonts w:eastAsia="Times New Roman" w:cs="Times New Roman"/>
          <w:color w:val="000000"/>
          <w:szCs w:val="20"/>
        </w:rPr>
        <w:t>30.</w:t>
      </w:r>
      <w:r w:rsidRPr="00BD2147">
        <w:rPr>
          <w:rFonts w:eastAsia="Times New Roman" w:cs="Times New Roman"/>
          <w:color w:val="000000"/>
          <w:szCs w:val="20"/>
        </w:rPr>
        <w:tab/>
        <w:t>To date, UNOPS has piloted the National Infrastructure Systems Model with the governments of Curaçao,</w:t>
      </w:r>
      <w:r w:rsidRPr="00BD2147">
        <w:rPr>
          <w:rStyle w:val="FootnoteReference"/>
          <w:rFonts w:eastAsia="Times New Roman" w:cs="Times New Roman"/>
          <w:color w:val="000000"/>
          <w:szCs w:val="20"/>
        </w:rPr>
        <w:footnoteReference w:id="4"/>
      </w:r>
      <w:r w:rsidRPr="00BD2147">
        <w:rPr>
          <w:rFonts w:eastAsia="Times New Roman" w:cs="Times New Roman"/>
          <w:color w:val="000000"/>
          <w:szCs w:val="20"/>
        </w:rPr>
        <w:t xml:space="preserve"> Palestine</w:t>
      </w:r>
      <w:r w:rsidRPr="00BD2147">
        <w:rPr>
          <w:rStyle w:val="FootnoteReference"/>
          <w:rFonts w:eastAsia="Times New Roman" w:cs="Times New Roman"/>
          <w:color w:val="000000"/>
          <w:szCs w:val="20"/>
        </w:rPr>
        <w:footnoteReference w:id="5"/>
      </w:r>
      <w:r w:rsidRPr="00BD2147">
        <w:rPr>
          <w:rFonts w:eastAsia="Times New Roman" w:cs="Times New Roman"/>
          <w:color w:val="000000"/>
          <w:szCs w:val="20"/>
        </w:rPr>
        <w:t xml:space="preserve"> and Saint Lucia. Furthermore, together with the Institute of Civil Engineers, UNOPS has issued guidance for policymakers on how to improve infrastructure planning and prioritization.</w:t>
      </w:r>
      <w:r w:rsidRPr="00BD2147">
        <w:rPr>
          <w:rStyle w:val="FootnoteReference"/>
          <w:rFonts w:eastAsia="Times New Roman" w:cs="Times New Roman"/>
          <w:color w:val="000000"/>
          <w:szCs w:val="20"/>
        </w:rPr>
        <w:footnoteReference w:id="6"/>
      </w:r>
    </w:p>
    <w:p w14:paraId="78C5D77F" w14:textId="5AC7D240" w:rsidR="008F0239" w:rsidRPr="00BD2147" w:rsidRDefault="008F0239" w:rsidP="008F0239">
      <w:pPr>
        <w:spacing w:after="120"/>
        <w:rPr>
          <w:rFonts w:eastAsia="Times New Roman" w:cs="Times New Roman"/>
          <w:color w:val="000000"/>
          <w:szCs w:val="20"/>
        </w:rPr>
      </w:pPr>
      <w:r w:rsidRPr="00BD2147">
        <w:rPr>
          <w:rFonts w:eastAsia="Times New Roman" w:cs="Times New Roman"/>
          <w:color w:val="000000"/>
          <w:szCs w:val="20"/>
        </w:rPr>
        <w:t>31.</w:t>
      </w:r>
      <w:r w:rsidRPr="00BD2147">
        <w:rPr>
          <w:rFonts w:eastAsia="Times New Roman" w:cs="Times New Roman"/>
          <w:color w:val="000000"/>
          <w:szCs w:val="20"/>
        </w:rPr>
        <w:tab/>
        <w:t>The Capacity Assessment Tool for Infrastructure has been piloted with the governments of Serbia</w:t>
      </w:r>
      <w:r w:rsidR="00EB64E9" w:rsidRPr="00DA2C5E">
        <w:rPr>
          <w:rFonts w:eastAsia="Times New Roman" w:cs="Times New Roman"/>
          <w:color w:val="000000"/>
          <w:szCs w:val="20"/>
        </w:rPr>
        <w:t>;</w:t>
      </w:r>
      <w:r w:rsidRPr="00BD2147">
        <w:rPr>
          <w:rFonts w:eastAsia="Times New Roman" w:cs="Times New Roman"/>
          <w:color w:val="000000"/>
          <w:szCs w:val="20"/>
        </w:rPr>
        <w:t xml:space="preserve"> Brazil</w:t>
      </w:r>
      <w:r w:rsidR="00C35DAC">
        <w:rPr>
          <w:rFonts w:eastAsia="Times New Roman" w:cs="Times New Roman"/>
          <w:color w:val="000000"/>
          <w:szCs w:val="20"/>
        </w:rPr>
        <w:t xml:space="preserve"> (</w:t>
      </w:r>
      <w:r w:rsidR="00C35DAC" w:rsidRPr="00BD2147">
        <w:rPr>
          <w:rFonts w:eastAsia="Times New Roman" w:cs="Times New Roman"/>
          <w:color w:val="000000"/>
          <w:szCs w:val="20"/>
        </w:rPr>
        <w:t>Mato Grosso</w:t>
      </w:r>
      <w:r w:rsidR="00C35DAC">
        <w:rPr>
          <w:rFonts w:eastAsia="Times New Roman" w:cs="Times New Roman"/>
          <w:color w:val="000000"/>
          <w:szCs w:val="20"/>
        </w:rPr>
        <w:t>)</w:t>
      </w:r>
      <w:r w:rsidR="00EB64E9" w:rsidRPr="00DA2C5E">
        <w:rPr>
          <w:rFonts w:eastAsia="Times New Roman" w:cs="Times New Roman"/>
          <w:color w:val="000000"/>
          <w:szCs w:val="20"/>
        </w:rPr>
        <w:t>;</w:t>
      </w:r>
      <w:r w:rsidRPr="00BD2147">
        <w:rPr>
          <w:rFonts w:eastAsia="Times New Roman" w:cs="Times New Roman"/>
          <w:color w:val="000000"/>
          <w:szCs w:val="20"/>
        </w:rPr>
        <w:t xml:space="preserve"> Grenada</w:t>
      </w:r>
      <w:r w:rsidR="00EB64E9" w:rsidRPr="00DA2C5E">
        <w:rPr>
          <w:rFonts w:eastAsia="Times New Roman" w:cs="Times New Roman"/>
          <w:color w:val="000000"/>
          <w:szCs w:val="20"/>
        </w:rPr>
        <w:t>;</w:t>
      </w:r>
      <w:r w:rsidRPr="00BD2147">
        <w:rPr>
          <w:rFonts w:eastAsia="Times New Roman" w:cs="Times New Roman"/>
          <w:color w:val="000000"/>
          <w:szCs w:val="20"/>
        </w:rPr>
        <w:t xml:space="preserve"> Kenya</w:t>
      </w:r>
      <w:r w:rsidR="00C35DAC">
        <w:rPr>
          <w:rFonts w:eastAsia="Times New Roman" w:cs="Times New Roman"/>
          <w:color w:val="000000"/>
          <w:szCs w:val="20"/>
        </w:rPr>
        <w:t xml:space="preserve"> (</w:t>
      </w:r>
      <w:r w:rsidR="00C35DAC" w:rsidRPr="00BD2147">
        <w:rPr>
          <w:rFonts w:eastAsia="Times New Roman" w:cs="Times New Roman"/>
          <w:color w:val="000000"/>
          <w:szCs w:val="20"/>
        </w:rPr>
        <w:t>Turkana</w:t>
      </w:r>
      <w:r w:rsidR="00C35DAC">
        <w:rPr>
          <w:rFonts w:eastAsia="Times New Roman" w:cs="Times New Roman"/>
          <w:color w:val="000000"/>
          <w:szCs w:val="20"/>
        </w:rPr>
        <w:t xml:space="preserve">); </w:t>
      </w:r>
      <w:r w:rsidR="00C35DAC" w:rsidRPr="00BD2147">
        <w:rPr>
          <w:rFonts w:eastAsia="Times New Roman" w:cs="Times New Roman"/>
          <w:color w:val="000000"/>
          <w:szCs w:val="20"/>
        </w:rPr>
        <w:t>Nepal</w:t>
      </w:r>
      <w:r w:rsidR="00C35DAC" w:rsidRPr="00DA2C5E">
        <w:rPr>
          <w:rFonts w:eastAsia="Times New Roman" w:cs="Times New Roman"/>
          <w:color w:val="000000"/>
          <w:szCs w:val="20"/>
        </w:rPr>
        <w:t>;</w:t>
      </w:r>
      <w:r w:rsidR="00C35DAC">
        <w:rPr>
          <w:rFonts w:eastAsia="Times New Roman" w:cs="Times New Roman"/>
          <w:color w:val="000000"/>
          <w:szCs w:val="20"/>
        </w:rPr>
        <w:t xml:space="preserve"> and Serbia.</w:t>
      </w:r>
    </w:p>
    <w:p w14:paraId="58E922E3" w14:textId="22E15C3C" w:rsidR="008F0239" w:rsidRPr="00BD2147" w:rsidRDefault="008F0239" w:rsidP="008F0239">
      <w:pPr>
        <w:spacing w:after="120"/>
        <w:rPr>
          <w:rFonts w:eastAsia="Times New Roman" w:cs="Times New Roman"/>
          <w:color w:val="000000"/>
          <w:szCs w:val="20"/>
        </w:rPr>
      </w:pPr>
      <w:r w:rsidRPr="00BD2147">
        <w:rPr>
          <w:rFonts w:eastAsia="Times New Roman" w:cs="Times New Roman"/>
          <w:color w:val="000000"/>
          <w:szCs w:val="20"/>
        </w:rPr>
        <w:t>32.</w:t>
      </w:r>
      <w:r w:rsidRPr="00BD2147">
        <w:rPr>
          <w:rFonts w:eastAsia="Times New Roman" w:cs="Times New Roman"/>
          <w:color w:val="000000"/>
          <w:szCs w:val="20"/>
        </w:rPr>
        <w:tab/>
        <w:t>UNOPS intends to build on th</w:t>
      </w:r>
      <w:r w:rsidR="00EB64E9" w:rsidRPr="00DA2C5E">
        <w:rPr>
          <w:rFonts w:eastAsia="Times New Roman" w:cs="Times New Roman"/>
          <w:color w:val="000000"/>
          <w:szCs w:val="20"/>
        </w:rPr>
        <w:t>o</w:t>
      </w:r>
      <w:r w:rsidRPr="00BD2147">
        <w:rPr>
          <w:rFonts w:eastAsia="Times New Roman" w:cs="Times New Roman"/>
          <w:color w:val="000000"/>
          <w:szCs w:val="20"/>
        </w:rPr>
        <w:t>se successful collaborations and work with government partners to plan, deliver and manage quality infrastructure, relying on evidence, conducting a rigorous evaluation of options and ensuring adaptability to future uncertainties.</w:t>
      </w:r>
    </w:p>
    <w:p w14:paraId="02EC5322" w14:textId="3A9C1DDF" w:rsidR="005A6344" w:rsidRPr="00DA2C5E" w:rsidRDefault="005A6344" w:rsidP="00B7162D">
      <w:pPr>
        <w:pStyle w:val="Heading4"/>
      </w:pPr>
      <w:r w:rsidRPr="00DA2C5E">
        <w:t xml:space="preserve">Sustainable public procurement </w:t>
      </w:r>
    </w:p>
    <w:p w14:paraId="3F3DEBB6" w14:textId="1C15FA4A" w:rsidR="005A6344" w:rsidRPr="00DA2C5E" w:rsidRDefault="005A6344" w:rsidP="005A6344">
      <w:pPr>
        <w:tabs>
          <w:tab w:val="clear" w:pos="425"/>
          <w:tab w:val="left" w:pos="426"/>
        </w:tabs>
        <w:spacing w:after="120"/>
        <w:rPr>
          <w:rFonts w:cs="Times New Roman"/>
        </w:rPr>
      </w:pPr>
      <w:r w:rsidRPr="00DA2C5E">
        <w:rPr>
          <w:rFonts w:cs="Times New Roman"/>
        </w:rPr>
        <w:t>33.</w:t>
      </w:r>
      <w:r w:rsidRPr="00DA2C5E">
        <w:rPr>
          <w:rFonts w:cs="Times New Roman"/>
        </w:rPr>
        <w:tab/>
      </w:r>
      <w:r w:rsidR="00EB64E9" w:rsidRPr="00DA2C5E">
        <w:rPr>
          <w:rFonts w:cs="Times New Roman"/>
        </w:rPr>
        <w:t xml:space="preserve">Sustainable Development Goal </w:t>
      </w:r>
      <w:r w:rsidRPr="00DA2C5E">
        <w:rPr>
          <w:rFonts w:cs="Times New Roman"/>
        </w:rPr>
        <w:t xml:space="preserve">12 </w:t>
      </w:r>
      <w:r w:rsidR="00EB64E9" w:rsidRPr="00DA2C5E">
        <w:rPr>
          <w:rFonts w:cs="Times New Roman"/>
        </w:rPr>
        <w:t>–</w:t>
      </w:r>
      <w:r w:rsidRPr="00DA2C5E">
        <w:rPr>
          <w:rFonts w:cs="Times New Roman"/>
        </w:rPr>
        <w:t xml:space="preserve"> responsible consumption and production</w:t>
      </w:r>
      <w:r w:rsidR="00EB64E9" w:rsidRPr="00DA2C5E">
        <w:rPr>
          <w:rFonts w:cs="Times New Roman"/>
        </w:rPr>
        <w:t xml:space="preserve"> –</w:t>
      </w:r>
      <w:r w:rsidRPr="00DA2C5E">
        <w:rPr>
          <w:rFonts w:cs="Times New Roman"/>
        </w:rPr>
        <w:t xml:space="preserve"> targets </w:t>
      </w:r>
      <w:r w:rsidR="00EB64E9" w:rsidRPr="00DA2C5E">
        <w:rPr>
          <w:rFonts w:cs="Times New Roman"/>
        </w:rPr>
        <w:t xml:space="preserve">the </w:t>
      </w:r>
      <w:r w:rsidRPr="00DA2C5E">
        <w:rPr>
          <w:rFonts w:cs="Times New Roman"/>
        </w:rPr>
        <w:t xml:space="preserve">promotion of sustainable public procurement practices and policies, which can have </w:t>
      </w:r>
      <w:r w:rsidR="00EB64E9" w:rsidRPr="00DA2C5E">
        <w:rPr>
          <w:rFonts w:cs="Times New Roman"/>
        </w:rPr>
        <w:t xml:space="preserve">a </w:t>
      </w:r>
      <w:r w:rsidRPr="00DA2C5E">
        <w:rPr>
          <w:rFonts w:cs="Times New Roman"/>
        </w:rPr>
        <w:t xml:space="preserve">significant impact on the ability to achieve many </w:t>
      </w:r>
      <w:r w:rsidR="009052BB" w:rsidRPr="00DA2C5E">
        <w:rPr>
          <w:rFonts w:cs="Times New Roman"/>
        </w:rPr>
        <w:t>of the g</w:t>
      </w:r>
      <w:r w:rsidR="00EB64E9" w:rsidRPr="00DA2C5E">
        <w:rPr>
          <w:rFonts w:cs="Times New Roman"/>
        </w:rPr>
        <w:t>oals</w:t>
      </w:r>
      <w:r w:rsidRPr="00DA2C5E">
        <w:rPr>
          <w:rFonts w:cs="Times New Roman"/>
        </w:rPr>
        <w:t>.</w:t>
      </w:r>
    </w:p>
    <w:p w14:paraId="45886CFA" w14:textId="40D04A72" w:rsidR="005A6344" w:rsidRPr="00DA2C5E" w:rsidRDefault="005A6344" w:rsidP="005A6344">
      <w:pPr>
        <w:spacing w:after="120"/>
        <w:rPr>
          <w:rFonts w:cs="Times New Roman"/>
        </w:rPr>
      </w:pPr>
      <w:r w:rsidRPr="00DA2C5E">
        <w:rPr>
          <w:rFonts w:cs="Times New Roman"/>
        </w:rPr>
        <w:t>34.</w:t>
      </w:r>
      <w:r w:rsidRPr="00DA2C5E">
        <w:rPr>
          <w:rFonts w:cs="Times New Roman"/>
        </w:rPr>
        <w:tab/>
        <w:t xml:space="preserve">A recent example of the UNOPS experience in sustainable public procurement </w:t>
      </w:r>
      <w:r w:rsidR="00EB64E9" w:rsidRPr="00DA2C5E">
        <w:rPr>
          <w:rFonts w:cs="Times New Roman"/>
        </w:rPr>
        <w:t>was</w:t>
      </w:r>
      <w:r w:rsidRPr="00DA2C5E">
        <w:rPr>
          <w:rFonts w:cs="Times New Roman"/>
        </w:rPr>
        <w:t xml:space="preserve"> the support it provid</w:t>
      </w:r>
      <w:r w:rsidR="00EB64E9" w:rsidRPr="00DA2C5E">
        <w:rPr>
          <w:rFonts w:cs="Times New Roman"/>
        </w:rPr>
        <w:t>ed</w:t>
      </w:r>
      <w:r w:rsidRPr="00DA2C5E">
        <w:rPr>
          <w:rFonts w:cs="Times New Roman"/>
        </w:rPr>
        <w:t xml:space="preserve"> to the Guatemala Social Security Institute, which</w:t>
      </w:r>
      <w:r w:rsidR="00EB64E9" w:rsidRPr="00DA2C5E">
        <w:rPr>
          <w:rFonts w:cs="Times New Roman"/>
        </w:rPr>
        <w:t>,</w:t>
      </w:r>
      <w:r w:rsidRPr="00DA2C5E">
        <w:rPr>
          <w:rFonts w:cs="Times New Roman"/>
        </w:rPr>
        <w:t xml:space="preserve"> by 2019</w:t>
      </w:r>
      <w:r w:rsidR="00EB64E9" w:rsidRPr="00DA2C5E">
        <w:rPr>
          <w:rFonts w:cs="Times New Roman"/>
        </w:rPr>
        <w:t>,</w:t>
      </w:r>
      <w:r w:rsidRPr="00DA2C5E">
        <w:rPr>
          <w:rFonts w:cs="Times New Roman"/>
        </w:rPr>
        <w:t xml:space="preserve"> had generated </w:t>
      </w:r>
      <w:r w:rsidR="00E103E9" w:rsidRPr="00DA2C5E">
        <w:rPr>
          <w:rFonts w:cs="Times New Roman"/>
        </w:rPr>
        <w:t xml:space="preserve">a </w:t>
      </w:r>
      <w:r w:rsidRPr="00DA2C5E">
        <w:rPr>
          <w:rFonts w:cs="Times New Roman"/>
        </w:rPr>
        <w:t>57</w:t>
      </w:r>
      <w:r w:rsidR="00EB64E9" w:rsidRPr="00DA2C5E">
        <w:rPr>
          <w:rFonts w:cs="Times New Roman"/>
        </w:rPr>
        <w:t> </w:t>
      </w:r>
      <w:r w:rsidRPr="00DA2C5E">
        <w:rPr>
          <w:rFonts w:cs="Times New Roman"/>
        </w:rPr>
        <w:t>per cent savings</w:t>
      </w:r>
      <w:r w:rsidR="00EB64E9" w:rsidRPr="00DA2C5E">
        <w:rPr>
          <w:rFonts w:cs="Times New Roman"/>
        </w:rPr>
        <w:t>,</w:t>
      </w:r>
      <w:r w:rsidRPr="00DA2C5E">
        <w:rPr>
          <w:rFonts w:cs="Times New Roman"/>
        </w:rPr>
        <w:t xml:space="preserve"> worth $270 million</w:t>
      </w:r>
      <w:r w:rsidR="00EB64E9" w:rsidRPr="00DA2C5E">
        <w:rPr>
          <w:rFonts w:cs="Times New Roman"/>
        </w:rPr>
        <w:t>,</w:t>
      </w:r>
      <w:r w:rsidRPr="00DA2C5E">
        <w:rPr>
          <w:rFonts w:cs="Times New Roman"/>
        </w:rPr>
        <w:t xml:space="preserve"> in purchasing medicines and supplies.</w:t>
      </w:r>
    </w:p>
    <w:p w14:paraId="1DC984B8" w14:textId="77777777" w:rsidR="00D12D37" w:rsidRPr="00DA2C5E" w:rsidRDefault="009564C3" w:rsidP="00A72413">
      <w:pPr>
        <w:spacing w:after="120"/>
        <w:rPr>
          <w:b/>
        </w:rPr>
      </w:pPr>
      <w:r w:rsidRPr="00DA2C5E">
        <w:rPr>
          <w:b/>
        </w:rPr>
        <w:t>Activities for purpose</w:t>
      </w:r>
    </w:p>
    <w:p w14:paraId="56F54EC6" w14:textId="3BE89114" w:rsidR="00D12D37" w:rsidRPr="00DA2C5E" w:rsidRDefault="008F0239" w:rsidP="00D12D37">
      <w:pPr>
        <w:spacing w:after="120"/>
        <w:rPr>
          <w:rFonts w:cs="Times New Roman"/>
        </w:rPr>
      </w:pPr>
      <w:r w:rsidRPr="00DA2C5E">
        <w:rPr>
          <w:rFonts w:cs="Times New Roman"/>
        </w:rPr>
        <w:t>3</w:t>
      </w:r>
      <w:r w:rsidR="005A6344" w:rsidRPr="00DA2C5E">
        <w:rPr>
          <w:rFonts w:cs="Times New Roman"/>
        </w:rPr>
        <w:t>5</w:t>
      </w:r>
      <w:r w:rsidR="00DB350A" w:rsidRPr="00DA2C5E">
        <w:rPr>
          <w:rFonts w:cs="Times New Roman"/>
        </w:rPr>
        <w:t>.</w:t>
      </w:r>
      <w:r w:rsidR="00DB350A" w:rsidRPr="00DA2C5E">
        <w:rPr>
          <w:rFonts w:cs="Times New Roman"/>
        </w:rPr>
        <w:tab/>
      </w:r>
      <w:r w:rsidR="00D12D37" w:rsidRPr="00DA2C5E">
        <w:rPr>
          <w:rFonts w:cs="Times New Roman"/>
        </w:rPr>
        <w:t>In preparing the midterm review</w:t>
      </w:r>
      <w:r w:rsidR="00EB64E9" w:rsidRPr="00DA2C5E">
        <w:rPr>
          <w:rFonts w:cs="Times New Roman"/>
        </w:rPr>
        <w:t>,</w:t>
      </w:r>
      <w:r w:rsidR="00D12D37" w:rsidRPr="00DA2C5E">
        <w:rPr>
          <w:rFonts w:cs="Times New Roman"/>
        </w:rPr>
        <w:t xml:space="preserve"> UNOPS conducted a detailed analysis of bi</w:t>
      </w:r>
      <w:r w:rsidR="00EE279C" w:rsidRPr="00DA2C5E">
        <w:rPr>
          <w:rFonts w:cs="Times New Roman"/>
        </w:rPr>
        <w:t>ennial activities across: (a</w:t>
      </w:r>
      <w:r w:rsidR="00D12D37" w:rsidRPr="00DA2C5E">
        <w:rPr>
          <w:rFonts w:cs="Times New Roman"/>
        </w:rPr>
        <w:t>) the three United Nations pillars, (</w:t>
      </w:r>
      <w:r w:rsidR="00EE279C" w:rsidRPr="00DA2C5E">
        <w:rPr>
          <w:rFonts w:cs="Times New Roman"/>
        </w:rPr>
        <w:t>b</w:t>
      </w:r>
      <w:r w:rsidR="00D12D37" w:rsidRPr="00DA2C5E">
        <w:rPr>
          <w:rFonts w:cs="Times New Roman"/>
        </w:rPr>
        <w:t>) the development sectors</w:t>
      </w:r>
      <w:r w:rsidR="00EB64E9" w:rsidRPr="00DA2C5E">
        <w:rPr>
          <w:rFonts w:cs="Times New Roman"/>
        </w:rPr>
        <w:t>;</w:t>
      </w:r>
      <w:r w:rsidR="00D12D37" w:rsidRPr="00DA2C5E">
        <w:rPr>
          <w:rFonts w:cs="Times New Roman"/>
        </w:rPr>
        <w:t xml:space="preserve"> and (</w:t>
      </w:r>
      <w:r w:rsidR="00EE279C" w:rsidRPr="00DA2C5E">
        <w:rPr>
          <w:rFonts w:cs="Times New Roman"/>
        </w:rPr>
        <w:t>c</w:t>
      </w:r>
      <w:r w:rsidR="00D12D37" w:rsidRPr="00DA2C5E">
        <w:rPr>
          <w:rFonts w:cs="Times New Roman"/>
        </w:rPr>
        <w:t xml:space="preserve">) </w:t>
      </w:r>
      <w:r w:rsidR="000D3D80" w:rsidRPr="00DA2C5E">
        <w:rPr>
          <w:rFonts w:cs="Times New Roman"/>
        </w:rPr>
        <w:t xml:space="preserve">support to countries’ achievement of </w:t>
      </w:r>
      <w:r w:rsidR="00EB64E9" w:rsidRPr="00DA2C5E">
        <w:rPr>
          <w:rFonts w:cs="Times New Roman"/>
        </w:rPr>
        <w:t>Sustainable Development Goal</w:t>
      </w:r>
      <w:r w:rsidR="000D3D80" w:rsidRPr="00DA2C5E">
        <w:rPr>
          <w:rFonts w:cs="Times New Roman"/>
        </w:rPr>
        <w:t>s</w:t>
      </w:r>
      <w:r w:rsidR="00D12D37" w:rsidRPr="00DA2C5E">
        <w:rPr>
          <w:rFonts w:cs="Times New Roman"/>
        </w:rPr>
        <w:t>.</w:t>
      </w:r>
      <w:r w:rsidR="00DB350A" w:rsidRPr="00DA2C5E">
        <w:rPr>
          <w:rFonts w:cs="Times New Roman"/>
        </w:rPr>
        <w:t xml:space="preserve"> </w:t>
      </w:r>
      <w:r w:rsidR="00D12D37" w:rsidRPr="00DA2C5E">
        <w:rPr>
          <w:rFonts w:cs="Times New Roman"/>
        </w:rPr>
        <w:t>The result</w:t>
      </w:r>
      <w:r w:rsidR="00EB64E9" w:rsidRPr="00DA2C5E">
        <w:rPr>
          <w:rFonts w:cs="Times New Roman"/>
        </w:rPr>
        <w:t>s</w:t>
      </w:r>
      <w:r w:rsidR="00D12D37" w:rsidRPr="00DA2C5E">
        <w:rPr>
          <w:rFonts w:cs="Times New Roman"/>
        </w:rPr>
        <w:t xml:space="preserve"> are summarized below</w:t>
      </w:r>
      <w:r w:rsidR="00DB350A" w:rsidRPr="00DA2C5E">
        <w:rPr>
          <w:rFonts w:cs="Times New Roman"/>
        </w:rPr>
        <w:t>.</w:t>
      </w:r>
    </w:p>
    <w:p w14:paraId="1BDBEA28" w14:textId="77777777" w:rsidR="009564C3" w:rsidRPr="00DA2C5E" w:rsidRDefault="009564C3" w:rsidP="00B7162D">
      <w:pPr>
        <w:pStyle w:val="Heading4"/>
      </w:pPr>
      <w:r w:rsidRPr="00DA2C5E">
        <w:t>United Nations pillars</w:t>
      </w:r>
    </w:p>
    <w:p w14:paraId="5EB2CD68" w14:textId="2E09164B" w:rsidR="009564C3" w:rsidRPr="00DA2C5E" w:rsidRDefault="00C040F4" w:rsidP="009564C3">
      <w:pPr>
        <w:tabs>
          <w:tab w:val="clear" w:pos="425"/>
          <w:tab w:val="left" w:pos="426"/>
        </w:tabs>
        <w:spacing w:after="120"/>
        <w:rPr>
          <w:rFonts w:cs="Times New Roman"/>
        </w:rPr>
      </w:pPr>
      <w:r w:rsidRPr="00DA2C5E">
        <w:rPr>
          <w:rFonts w:cs="Times New Roman"/>
        </w:rPr>
        <w:t>3</w:t>
      </w:r>
      <w:r w:rsidR="005A6344" w:rsidRPr="00DA2C5E">
        <w:rPr>
          <w:rFonts w:cs="Times New Roman"/>
        </w:rPr>
        <w:t>6</w:t>
      </w:r>
      <w:r w:rsidR="009564C3" w:rsidRPr="00DA2C5E">
        <w:rPr>
          <w:rFonts w:cs="Times New Roman"/>
        </w:rPr>
        <w:t>.</w:t>
      </w:r>
      <w:r w:rsidR="009564C3" w:rsidRPr="00DA2C5E">
        <w:rPr>
          <w:rFonts w:cs="Times New Roman"/>
        </w:rPr>
        <w:tab/>
        <w:t>The three pillars of the Charter are mutually reinforcing and essential to mitigating the risks of fragility</w:t>
      </w:r>
      <w:r w:rsidR="00EB64E9" w:rsidRPr="00DA2C5E">
        <w:rPr>
          <w:rFonts w:cs="Times New Roman"/>
        </w:rPr>
        <w:t>.</w:t>
      </w:r>
      <w:r w:rsidR="009564C3" w:rsidRPr="00DA2C5E">
        <w:rPr>
          <w:rFonts w:cs="Times New Roman"/>
        </w:rPr>
        <w:t xml:space="preserve"> </w:t>
      </w:r>
      <w:r w:rsidR="00EB64E9" w:rsidRPr="00DA2C5E">
        <w:rPr>
          <w:rFonts w:cs="Times New Roman"/>
        </w:rPr>
        <w:t>S</w:t>
      </w:r>
      <w:r w:rsidR="009564C3" w:rsidRPr="00DA2C5E">
        <w:rPr>
          <w:rFonts w:cs="Times New Roman"/>
        </w:rPr>
        <w:t>ustainable development underpins peace; sustained peace enables development; and societies are more resilient when they uphold the full breadth of human rights</w:t>
      </w:r>
      <w:r w:rsidR="00E10E93" w:rsidRPr="00DA2C5E">
        <w:rPr>
          <w:rFonts w:cs="Times New Roman"/>
        </w:rPr>
        <w:t>:</w:t>
      </w:r>
      <w:r w:rsidR="009564C3" w:rsidRPr="00DA2C5E">
        <w:rPr>
          <w:rFonts w:cs="Times New Roman"/>
        </w:rPr>
        <w:t xml:space="preserve"> gender equality and women’s empowerment</w:t>
      </w:r>
      <w:r w:rsidR="001835CC" w:rsidRPr="00DA2C5E">
        <w:rPr>
          <w:rFonts w:cs="Times New Roman"/>
        </w:rPr>
        <w:t>;</w:t>
      </w:r>
      <w:r w:rsidR="009564C3" w:rsidRPr="00DA2C5E">
        <w:rPr>
          <w:rFonts w:cs="Times New Roman"/>
        </w:rPr>
        <w:t xml:space="preserve"> rule of law</w:t>
      </w:r>
      <w:r w:rsidR="001835CC" w:rsidRPr="00DA2C5E">
        <w:rPr>
          <w:rFonts w:cs="Times New Roman"/>
        </w:rPr>
        <w:t>;</w:t>
      </w:r>
      <w:r w:rsidR="009564C3" w:rsidRPr="00DA2C5E">
        <w:rPr>
          <w:rFonts w:cs="Times New Roman"/>
        </w:rPr>
        <w:t xml:space="preserve"> </w:t>
      </w:r>
      <w:r w:rsidR="001835CC" w:rsidRPr="00DA2C5E">
        <w:rPr>
          <w:rFonts w:cs="Times New Roman"/>
        </w:rPr>
        <w:t xml:space="preserve">and </w:t>
      </w:r>
      <w:r w:rsidR="009564C3" w:rsidRPr="00DA2C5E">
        <w:rPr>
          <w:rFonts w:cs="Times New Roman"/>
        </w:rPr>
        <w:t>inclusion and diversity</w:t>
      </w:r>
      <w:r w:rsidR="00E10E93" w:rsidRPr="00DA2C5E">
        <w:rPr>
          <w:rFonts w:cs="Times New Roman"/>
        </w:rPr>
        <w:t xml:space="preserve"> – </w:t>
      </w:r>
      <w:r w:rsidR="009564C3" w:rsidRPr="00DA2C5E">
        <w:rPr>
          <w:rFonts w:cs="Times New Roman"/>
        </w:rPr>
        <w:t>as well as nurtur</w:t>
      </w:r>
      <w:r w:rsidR="001835CC" w:rsidRPr="00DA2C5E">
        <w:rPr>
          <w:rFonts w:cs="Times New Roman"/>
        </w:rPr>
        <w:t>ing</w:t>
      </w:r>
      <w:r w:rsidR="009564C3" w:rsidRPr="00DA2C5E">
        <w:rPr>
          <w:rFonts w:cs="Times New Roman"/>
        </w:rPr>
        <w:t xml:space="preserve"> their youth and children.</w:t>
      </w:r>
    </w:p>
    <w:p w14:paraId="0C7EF68F" w14:textId="392E57C4" w:rsidR="009564C3" w:rsidRPr="00DA2C5E" w:rsidRDefault="00C040F4" w:rsidP="009564C3">
      <w:pPr>
        <w:tabs>
          <w:tab w:val="clear" w:pos="425"/>
          <w:tab w:val="left" w:pos="426"/>
        </w:tabs>
        <w:spacing w:after="120"/>
        <w:rPr>
          <w:rFonts w:cs="Times New Roman"/>
        </w:rPr>
      </w:pPr>
      <w:r w:rsidRPr="00DA2C5E">
        <w:rPr>
          <w:rFonts w:cs="Times New Roman"/>
        </w:rPr>
        <w:t>3</w:t>
      </w:r>
      <w:r w:rsidR="005A6344" w:rsidRPr="00DA2C5E">
        <w:rPr>
          <w:rFonts w:cs="Times New Roman"/>
        </w:rPr>
        <w:t>7</w:t>
      </w:r>
      <w:r w:rsidR="009564C3" w:rsidRPr="00DA2C5E">
        <w:rPr>
          <w:rFonts w:cs="Times New Roman"/>
        </w:rPr>
        <w:t>.</w:t>
      </w:r>
      <w:r w:rsidR="009564C3" w:rsidRPr="00DA2C5E">
        <w:rPr>
          <w:rFonts w:cs="Times New Roman"/>
        </w:rPr>
        <w:tab/>
        <w:t>UNOPS continue</w:t>
      </w:r>
      <w:r w:rsidR="00AF1A6E" w:rsidRPr="00DA2C5E">
        <w:rPr>
          <w:rFonts w:cs="Times New Roman"/>
        </w:rPr>
        <w:t>d</w:t>
      </w:r>
      <w:r w:rsidR="009564C3" w:rsidRPr="00DA2C5E">
        <w:rPr>
          <w:rFonts w:cs="Times New Roman"/>
        </w:rPr>
        <w:t xml:space="preserve"> to support activities across the three pillars</w:t>
      </w:r>
      <w:r w:rsidR="001835CC" w:rsidRPr="00DA2C5E">
        <w:rPr>
          <w:rFonts w:cs="Times New Roman"/>
        </w:rPr>
        <w:t xml:space="preserve"> of the United Nations</w:t>
      </w:r>
      <w:r w:rsidR="009564C3" w:rsidRPr="00DA2C5E">
        <w:rPr>
          <w:rFonts w:cs="Times New Roman"/>
        </w:rPr>
        <w:t>. In 2018-2019 the distribution was: 69 per cent development, 18 per cent peace and security, and 13 per cent humanitarian.</w:t>
      </w:r>
    </w:p>
    <w:p w14:paraId="7DC59560" w14:textId="366B1BB6" w:rsidR="009564C3" w:rsidRPr="00DA2C5E" w:rsidRDefault="00AA5618" w:rsidP="009564C3">
      <w:pPr>
        <w:tabs>
          <w:tab w:val="clear" w:pos="425"/>
          <w:tab w:val="left" w:pos="426"/>
        </w:tabs>
        <w:spacing w:after="120"/>
        <w:rPr>
          <w:rFonts w:cs="Times New Roman"/>
        </w:rPr>
      </w:pPr>
      <w:r w:rsidRPr="00DA2C5E">
        <w:rPr>
          <w:rFonts w:cs="Times New Roman"/>
        </w:rPr>
        <w:t>3</w:t>
      </w:r>
      <w:r w:rsidR="005A6344" w:rsidRPr="00DA2C5E">
        <w:rPr>
          <w:rFonts w:cs="Times New Roman"/>
        </w:rPr>
        <w:t>8</w:t>
      </w:r>
      <w:r w:rsidR="009564C3" w:rsidRPr="00DA2C5E">
        <w:rPr>
          <w:rFonts w:cs="Times New Roman"/>
        </w:rPr>
        <w:t>.</w:t>
      </w:r>
      <w:r w:rsidR="009564C3" w:rsidRPr="00DA2C5E">
        <w:rPr>
          <w:rFonts w:cs="Times New Roman"/>
        </w:rPr>
        <w:tab/>
        <w:t xml:space="preserve">There </w:t>
      </w:r>
      <w:r w:rsidR="00AF1A6E" w:rsidRPr="00DA2C5E">
        <w:rPr>
          <w:rFonts w:cs="Times New Roman"/>
        </w:rPr>
        <w:t xml:space="preserve">was </w:t>
      </w:r>
      <w:r w:rsidR="009564C3" w:rsidRPr="00DA2C5E">
        <w:rPr>
          <w:rFonts w:cs="Times New Roman"/>
        </w:rPr>
        <w:t>growth under all pillars</w:t>
      </w:r>
      <w:r w:rsidR="001835CC" w:rsidRPr="00DA2C5E">
        <w:rPr>
          <w:rFonts w:cs="Times New Roman"/>
        </w:rPr>
        <w:t>,</w:t>
      </w:r>
      <w:r w:rsidR="009564C3" w:rsidRPr="00DA2C5E">
        <w:rPr>
          <w:rFonts w:cs="Times New Roman"/>
        </w:rPr>
        <w:t xml:space="preserve"> and the distribution across the three shifted </w:t>
      </w:r>
      <w:r w:rsidR="001835CC" w:rsidRPr="00DA2C5E">
        <w:rPr>
          <w:rFonts w:cs="Times New Roman"/>
        </w:rPr>
        <w:t xml:space="preserve">only </w:t>
      </w:r>
      <w:r w:rsidR="009564C3" w:rsidRPr="00DA2C5E">
        <w:rPr>
          <w:rFonts w:cs="Times New Roman"/>
        </w:rPr>
        <w:t xml:space="preserve">slightly. In absolute terms, biennial support for activities under the </w:t>
      </w:r>
      <w:r w:rsidR="00476310" w:rsidRPr="00DA2C5E">
        <w:rPr>
          <w:rFonts w:cs="Times New Roman"/>
        </w:rPr>
        <w:t>‘</w:t>
      </w:r>
      <w:r w:rsidR="009564C3" w:rsidRPr="00DA2C5E">
        <w:rPr>
          <w:rFonts w:cs="Times New Roman"/>
        </w:rPr>
        <w:t>development</w:t>
      </w:r>
      <w:r w:rsidR="00476310" w:rsidRPr="00DA2C5E">
        <w:rPr>
          <w:rFonts w:cs="Times New Roman"/>
        </w:rPr>
        <w:t>’</w:t>
      </w:r>
      <w:r w:rsidR="009564C3" w:rsidRPr="00DA2C5E">
        <w:rPr>
          <w:rFonts w:cs="Times New Roman"/>
        </w:rPr>
        <w:t xml:space="preserve"> pillar </w:t>
      </w:r>
      <w:r w:rsidR="00AF1A6E" w:rsidRPr="00DA2C5E">
        <w:rPr>
          <w:rFonts w:cs="Times New Roman"/>
        </w:rPr>
        <w:t>saw</w:t>
      </w:r>
      <w:r w:rsidR="009564C3" w:rsidRPr="00DA2C5E">
        <w:rPr>
          <w:rFonts w:cs="Times New Roman"/>
        </w:rPr>
        <w:t xml:space="preserve"> the largest growth of almost $840 million, </w:t>
      </w:r>
      <w:r w:rsidR="001835CC" w:rsidRPr="00DA2C5E">
        <w:rPr>
          <w:rFonts w:cs="Times New Roman"/>
        </w:rPr>
        <w:t>or</w:t>
      </w:r>
      <w:r w:rsidR="009564C3" w:rsidRPr="00DA2C5E">
        <w:rPr>
          <w:rFonts w:cs="Times New Roman"/>
        </w:rPr>
        <w:t xml:space="preserve"> 39 per cent. Activities under this pillar </w:t>
      </w:r>
      <w:r w:rsidR="00AF1A6E" w:rsidRPr="00DA2C5E">
        <w:rPr>
          <w:rFonts w:cs="Times New Roman"/>
        </w:rPr>
        <w:t xml:space="preserve">were </w:t>
      </w:r>
      <w:r w:rsidR="009564C3" w:rsidRPr="00DA2C5E">
        <w:rPr>
          <w:rFonts w:cs="Times New Roman"/>
        </w:rPr>
        <w:t>significant across all regions and</w:t>
      </w:r>
      <w:r w:rsidR="00AF1A6E" w:rsidRPr="00DA2C5E">
        <w:rPr>
          <w:rFonts w:cs="Times New Roman"/>
        </w:rPr>
        <w:t xml:space="preserve"> all</w:t>
      </w:r>
      <w:r w:rsidR="009564C3" w:rsidRPr="00DA2C5E">
        <w:rPr>
          <w:rFonts w:cs="Times New Roman"/>
        </w:rPr>
        <w:t xml:space="preserve"> types of countries.</w:t>
      </w:r>
    </w:p>
    <w:p w14:paraId="20008461" w14:textId="773A44F5" w:rsidR="009564C3" w:rsidRPr="00DA2C5E" w:rsidRDefault="005A6738" w:rsidP="009564C3">
      <w:pPr>
        <w:tabs>
          <w:tab w:val="clear" w:pos="425"/>
          <w:tab w:val="left" w:pos="426"/>
        </w:tabs>
        <w:spacing w:after="120"/>
        <w:rPr>
          <w:rFonts w:cs="Times New Roman"/>
        </w:rPr>
      </w:pPr>
      <w:r w:rsidRPr="00DA2C5E">
        <w:rPr>
          <w:rFonts w:cs="Times New Roman"/>
        </w:rPr>
        <w:t>3</w:t>
      </w:r>
      <w:r w:rsidR="005A6344" w:rsidRPr="00DA2C5E">
        <w:rPr>
          <w:rFonts w:cs="Times New Roman"/>
        </w:rPr>
        <w:t>9</w:t>
      </w:r>
      <w:r w:rsidR="009564C3" w:rsidRPr="00DA2C5E">
        <w:rPr>
          <w:rFonts w:cs="Times New Roman"/>
        </w:rPr>
        <w:t>.</w:t>
      </w:r>
      <w:r w:rsidR="009564C3" w:rsidRPr="00DA2C5E">
        <w:rPr>
          <w:rFonts w:cs="Times New Roman"/>
        </w:rPr>
        <w:tab/>
        <w:t xml:space="preserve">Support under the </w:t>
      </w:r>
      <w:r w:rsidR="00476310" w:rsidRPr="00DA2C5E">
        <w:rPr>
          <w:rFonts w:cs="Times New Roman"/>
        </w:rPr>
        <w:t>‘</w:t>
      </w:r>
      <w:r w:rsidR="009564C3" w:rsidRPr="00DA2C5E">
        <w:rPr>
          <w:rFonts w:cs="Times New Roman"/>
        </w:rPr>
        <w:t>peace and security</w:t>
      </w:r>
      <w:r w:rsidR="00476310" w:rsidRPr="00DA2C5E">
        <w:rPr>
          <w:rFonts w:cs="Times New Roman"/>
        </w:rPr>
        <w:t>’</w:t>
      </w:r>
      <w:r w:rsidR="009564C3" w:rsidRPr="00DA2C5E">
        <w:rPr>
          <w:rFonts w:cs="Times New Roman"/>
        </w:rPr>
        <w:t xml:space="preserve"> pillar increased by almost $130 million, a growth of 20</w:t>
      </w:r>
      <w:r w:rsidR="00E10E93" w:rsidRPr="00DA2C5E">
        <w:rPr>
          <w:rFonts w:cs="Times New Roman"/>
        </w:rPr>
        <w:t> </w:t>
      </w:r>
      <w:r w:rsidR="009564C3" w:rsidRPr="00DA2C5E">
        <w:rPr>
          <w:rFonts w:cs="Times New Roman"/>
        </w:rPr>
        <w:t>per</w:t>
      </w:r>
      <w:r w:rsidR="00E10E93" w:rsidRPr="00DA2C5E">
        <w:rPr>
          <w:rFonts w:cs="Times New Roman"/>
        </w:rPr>
        <w:t> </w:t>
      </w:r>
      <w:r w:rsidR="009564C3" w:rsidRPr="00DA2C5E">
        <w:rPr>
          <w:rFonts w:cs="Times New Roman"/>
        </w:rPr>
        <w:t>cent. Activities under this pillar are particularly significant in Africa and Western Asia, corresponding with the prevalence of countries in fragile situations.</w:t>
      </w:r>
    </w:p>
    <w:p w14:paraId="4EE3447F" w14:textId="584CCC6B" w:rsidR="009564C3" w:rsidRPr="00DA2C5E" w:rsidRDefault="005A6344" w:rsidP="009564C3">
      <w:pPr>
        <w:tabs>
          <w:tab w:val="clear" w:pos="425"/>
          <w:tab w:val="left" w:pos="426"/>
        </w:tabs>
        <w:spacing w:after="120"/>
        <w:rPr>
          <w:rFonts w:cs="Times New Roman"/>
        </w:rPr>
      </w:pPr>
      <w:r w:rsidRPr="00DA2C5E">
        <w:rPr>
          <w:rFonts w:cs="Times New Roman"/>
        </w:rPr>
        <w:t>40</w:t>
      </w:r>
      <w:r w:rsidR="009564C3" w:rsidRPr="00DA2C5E">
        <w:rPr>
          <w:rFonts w:cs="Times New Roman"/>
        </w:rPr>
        <w:t>.</w:t>
      </w:r>
      <w:r w:rsidR="009564C3" w:rsidRPr="00DA2C5E">
        <w:rPr>
          <w:rFonts w:cs="Times New Roman"/>
        </w:rPr>
        <w:tab/>
        <w:t xml:space="preserve">Biennial support under the </w:t>
      </w:r>
      <w:r w:rsidR="00476310" w:rsidRPr="00DA2C5E">
        <w:rPr>
          <w:rFonts w:cs="Times New Roman"/>
        </w:rPr>
        <w:t>‘</w:t>
      </w:r>
      <w:r w:rsidR="009564C3" w:rsidRPr="00DA2C5E">
        <w:rPr>
          <w:rFonts w:cs="Times New Roman"/>
        </w:rPr>
        <w:t>humanitarian</w:t>
      </w:r>
      <w:r w:rsidR="00476310" w:rsidRPr="00DA2C5E">
        <w:rPr>
          <w:rFonts w:cs="Times New Roman"/>
        </w:rPr>
        <w:t>’</w:t>
      </w:r>
      <w:r w:rsidR="009564C3" w:rsidRPr="00DA2C5E">
        <w:rPr>
          <w:rFonts w:cs="Times New Roman"/>
        </w:rPr>
        <w:t xml:space="preserve"> pillar increased by almost $241 million, a growth of 78</w:t>
      </w:r>
      <w:r w:rsidR="00E10E93" w:rsidRPr="00DA2C5E">
        <w:rPr>
          <w:rFonts w:cs="Times New Roman"/>
        </w:rPr>
        <w:t> </w:t>
      </w:r>
      <w:r w:rsidR="009564C3" w:rsidRPr="00DA2C5E">
        <w:rPr>
          <w:rFonts w:cs="Times New Roman"/>
        </w:rPr>
        <w:t>per</w:t>
      </w:r>
      <w:r w:rsidR="00E10E93" w:rsidRPr="00DA2C5E">
        <w:rPr>
          <w:rFonts w:cs="Times New Roman"/>
        </w:rPr>
        <w:t> </w:t>
      </w:r>
      <w:r w:rsidR="009564C3" w:rsidRPr="00DA2C5E">
        <w:rPr>
          <w:rFonts w:cs="Times New Roman"/>
        </w:rPr>
        <w:t xml:space="preserve">cent. Activities under this pillar have been in </w:t>
      </w:r>
      <w:r w:rsidR="00E10E93" w:rsidRPr="00DA2C5E">
        <w:rPr>
          <w:rFonts w:cs="Times New Roman"/>
        </w:rPr>
        <w:t xml:space="preserve">particular </w:t>
      </w:r>
      <w:r w:rsidR="009564C3" w:rsidRPr="00DA2C5E">
        <w:rPr>
          <w:rFonts w:cs="Times New Roman"/>
        </w:rPr>
        <w:t>demand in Western and Southern Asia.</w:t>
      </w:r>
    </w:p>
    <w:p w14:paraId="7FC78C02" w14:textId="77777777" w:rsidR="009564C3" w:rsidRPr="00DA2C5E" w:rsidRDefault="009564C3" w:rsidP="00B7162D">
      <w:pPr>
        <w:pStyle w:val="Heading4"/>
      </w:pPr>
      <w:r w:rsidRPr="00DA2C5E">
        <w:t>Development sectors</w:t>
      </w:r>
    </w:p>
    <w:p w14:paraId="25531AB2" w14:textId="0D387C50" w:rsidR="009564C3" w:rsidRPr="00DA2C5E" w:rsidRDefault="005A6344" w:rsidP="009564C3">
      <w:pPr>
        <w:tabs>
          <w:tab w:val="clear" w:pos="425"/>
          <w:tab w:val="left" w:pos="426"/>
        </w:tabs>
        <w:spacing w:after="120"/>
        <w:rPr>
          <w:rFonts w:cs="Times New Roman"/>
        </w:rPr>
      </w:pPr>
      <w:r w:rsidRPr="00DA2C5E">
        <w:rPr>
          <w:rFonts w:cs="Times New Roman"/>
        </w:rPr>
        <w:t>41</w:t>
      </w:r>
      <w:r w:rsidR="009564C3" w:rsidRPr="00DA2C5E">
        <w:rPr>
          <w:rFonts w:cs="Times New Roman"/>
        </w:rPr>
        <w:t>.</w:t>
      </w:r>
      <w:r w:rsidR="009564C3" w:rsidRPr="00DA2C5E">
        <w:rPr>
          <w:rFonts w:cs="Times New Roman"/>
        </w:rPr>
        <w:tab/>
        <w:t xml:space="preserve">The UNOPS portfolio of projects is diverse. The technical expertise and support services </w:t>
      </w:r>
      <w:r w:rsidR="00AF1A6E" w:rsidRPr="00DA2C5E">
        <w:rPr>
          <w:rFonts w:cs="Times New Roman"/>
        </w:rPr>
        <w:t xml:space="preserve">that </w:t>
      </w:r>
      <w:r w:rsidR="009564C3" w:rsidRPr="00DA2C5E">
        <w:rPr>
          <w:rFonts w:cs="Times New Roman"/>
        </w:rPr>
        <w:t>it contribute</w:t>
      </w:r>
      <w:r w:rsidR="00476310" w:rsidRPr="00DA2C5E">
        <w:rPr>
          <w:rFonts w:cs="Times New Roman"/>
        </w:rPr>
        <w:t>d</w:t>
      </w:r>
      <w:r w:rsidR="009564C3" w:rsidRPr="00DA2C5E">
        <w:rPr>
          <w:rFonts w:cs="Times New Roman"/>
        </w:rPr>
        <w:t xml:space="preserve"> </w:t>
      </w:r>
      <w:r w:rsidR="00E10E93" w:rsidRPr="00DA2C5E">
        <w:rPr>
          <w:rFonts w:cs="Times New Roman"/>
        </w:rPr>
        <w:t xml:space="preserve">over the biennium </w:t>
      </w:r>
      <w:r w:rsidR="009564C3" w:rsidRPr="00DA2C5E">
        <w:rPr>
          <w:rFonts w:cs="Times New Roman"/>
        </w:rPr>
        <w:t>expand</w:t>
      </w:r>
      <w:r w:rsidR="00AF1A6E" w:rsidRPr="00DA2C5E">
        <w:rPr>
          <w:rFonts w:cs="Times New Roman"/>
        </w:rPr>
        <w:t>ed</w:t>
      </w:r>
      <w:r w:rsidR="009564C3" w:rsidRPr="00DA2C5E">
        <w:rPr>
          <w:rFonts w:cs="Times New Roman"/>
        </w:rPr>
        <w:t xml:space="preserve"> implementation capacity within a number of sectors. </w:t>
      </w:r>
      <w:r w:rsidR="00E10E93" w:rsidRPr="00DA2C5E">
        <w:rPr>
          <w:rFonts w:cs="Times New Roman"/>
        </w:rPr>
        <w:t>W</w:t>
      </w:r>
      <w:r w:rsidR="009564C3" w:rsidRPr="00DA2C5E">
        <w:rPr>
          <w:rFonts w:cs="Times New Roman"/>
        </w:rPr>
        <w:t xml:space="preserve">ork in the </w:t>
      </w:r>
      <w:r w:rsidR="00476310" w:rsidRPr="00DA2C5E">
        <w:rPr>
          <w:rFonts w:cs="Times New Roman"/>
        </w:rPr>
        <w:t>‘</w:t>
      </w:r>
      <w:r w:rsidR="009564C3" w:rsidRPr="00DA2C5E">
        <w:rPr>
          <w:rFonts w:cs="Times New Roman"/>
        </w:rPr>
        <w:t>social infrastructure and service</w:t>
      </w:r>
      <w:r w:rsidR="00E10E93" w:rsidRPr="00DA2C5E">
        <w:rPr>
          <w:rFonts w:cs="Times New Roman"/>
        </w:rPr>
        <w:t>s</w:t>
      </w:r>
      <w:r w:rsidR="00476310" w:rsidRPr="00DA2C5E">
        <w:rPr>
          <w:rFonts w:cs="Times New Roman"/>
        </w:rPr>
        <w:t>’</w:t>
      </w:r>
      <w:r w:rsidR="009564C3" w:rsidRPr="00DA2C5E">
        <w:rPr>
          <w:rFonts w:cs="Times New Roman"/>
        </w:rPr>
        <w:t xml:space="preserve">, and </w:t>
      </w:r>
      <w:r w:rsidR="00476310" w:rsidRPr="00DA2C5E">
        <w:rPr>
          <w:rFonts w:cs="Times New Roman"/>
        </w:rPr>
        <w:t>‘</w:t>
      </w:r>
      <w:r w:rsidR="009564C3" w:rsidRPr="00DA2C5E">
        <w:rPr>
          <w:rFonts w:cs="Times New Roman"/>
        </w:rPr>
        <w:t>humanitarian aid</w:t>
      </w:r>
      <w:r w:rsidR="00476310" w:rsidRPr="00DA2C5E">
        <w:rPr>
          <w:rFonts w:cs="Times New Roman"/>
        </w:rPr>
        <w:t>’</w:t>
      </w:r>
      <w:r w:rsidR="009564C3" w:rsidRPr="00DA2C5E">
        <w:rPr>
          <w:rFonts w:cs="Times New Roman"/>
        </w:rPr>
        <w:t xml:space="preserve"> </w:t>
      </w:r>
      <w:r w:rsidR="00E10E93" w:rsidRPr="00DA2C5E">
        <w:rPr>
          <w:rFonts w:cs="Times New Roman"/>
        </w:rPr>
        <w:t xml:space="preserve">sectors </w:t>
      </w:r>
      <w:r w:rsidR="009564C3" w:rsidRPr="00DA2C5E">
        <w:rPr>
          <w:rFonts w:cs="Times New Roman"/>
        </w:rPr>
        <w:t>saw significant demand. Together they comprised 75 per cent of activities and represented 85 per cent of growth.</w:t>
      </w:r>
    </w:p>
    <w:p w14:paraId="0033DCC9" w14:textId="1875BE71" w:rsidR="009564C3" w:rsidRPr="00DA2C5E" w:rsidRDefault="008F0239" w:rsidP="009564C3">
      <w:pPr>
        <w:tabs>
          <w:tab w:val="clear" w:pos="425"/>
          <w:tab w:val="left" w:pos="426"/>
        </w:tabs>
        <w:spacing w:after="120"/>
        <w:rPr>
          <w:rFonts w:cs="Times New Roman"/>
        </w:rPr>
      </w:pPr>
      <w:r w:rsidRPr="00DA2C5E">
        <w:rPr>
          <w:rFonts w:cs="Times New Roman"/>
        </w:rPr>
        <w:t>4</w:t>
      </w:r>
      <w:r w:rsidR="005A6344" w:rsidRPr="00DA2C5E">
        <w:rPr>
          <w:rFonts w:cs="Times New Roman"/>
        </w:rPr>
        <w:t>2</w:t>
      </w:r>
      <w:r w:rsidR="009564C3" w:rsidRPr="00DA2C5E">
        <w:rPr>
          <w:rFonts w:cs="Times New Roman"/>
        </w:rPr>
        <w:t>.</w:t>
      </w:r>
      <w:r w:rsidR="009564C3" w:rsidRPr="00DA2C5E">
        <w:rPr>
          <w:rFonts w:cs="Times New Roman"/>
        </w:rPr>
        <w:tab/>
        <w:t xml:space="preserve">Across all regions and country types the </w:t>
      </w:r>
      <w:r w:rsidR="00E10E93" w:rsidRPr="00DA2C5E">
        <w:rPr>
          <w:rFonts w:cs="Times New Roman"/>
        </w:rPr>
        <w:t>‘</w:t>
      </w:r>
      <w:r w:rsidR="009564C3" w:rsidRPr="00DA2C5E">
        <w:rPr>
          <w:rFonts w:cs="Times New Roman"/>
        </w:rPr>
        <w:t>social infrastructure and services</w:t>
      </w:r>
      <w:r w:rsidR="00E10E93" w:rsidRPr="00DA2C5E">
        <w:rPr>
          <w:rFonts w:cs="Times New Roman"/>
        </w:rPr>
        <w:t>’</w:t>
      </w:r>
      <w:r w:rsidR="009564C3" w:rsidRPr="00DA2C5E">
        <w:rPr>
          <w:rFonts w:cs="Times New Roman"/>
        </w:rPr>
        <w:t xml:space="preserve"> sector comprise</w:t>
      </w:r>
      <w:r w:rsidR="00476310" w:rsidRPr="00DA2C5E">
        <w:rPr>
          <w:rFonts w:cs="Times New Roman"/>
        </w:rPr>
        <w:t>d</w:t>
      </w:r>
      <w:r w:rsidR="009564C3" w:rsidRPr="00DA2C5E">
        <w:rPr>
          <w:rFonts w:cs="Times New Roman"/>
        </w:rPr>
        <w:t xml:space="preserve"> more than half of all activities. Within the sector, the subsectors ‘health’ and ‘conflict, peace and security’ remained the largest. They comprised 41 per cent of all activities, and demand for both continued to grow. Other subsectors included ‘social protection,’ ‘culture and recreation,’ ‘education’ and ‘water supply and sanitation.’</w:t>
      </w:r>
    </w:p>
    <w:p w14:paraId="60A9AE62" w14:textId="347359B5" w:rsidR="009564C3" w:rsidRPr="00DA2C5E" w:rsidRDefault="008F0239" w:rsidP="009564C3">
      <w:pPr>
        <w:tabs>
          <w:tab w:val="clear" w:pos="425"/>
          <w:tab w:val="left" w:pos="426"/>
        </w:tabs>
        <w:spacing w:after="120"/>
        <w:rPr>
          <w:rFonts w:cs="Times New Roman"/>
        </w:rPr>
      </w:pPr>
      <w:r w:rsidRPr="00DA2C5E">
        <w:rPr>
          <w:rFonts w:cs="Times New Roman"/>
        </w:rPr>
        <w:t>4</w:t>
      </w:r>
      <w:r w:rsidR="005A6344" w:rsidRPr="00DA2C5E">
        <w:rPr>
          <w:rFonts w:cs="Times New Roman"/>
        </w:rPr>
        <w:t>3</w:t>
      </w:r>
      <w:r w:rsidR="009564C3" w:rsidRPr="00DA2C5E">
        <w:rPr>
          <w:rFonts w:cs="Times New Roman"/>
        </w:rPr>
        <w:t>.</w:t>
      </w:r>
      <w:r w:rsidR="009564C3" w:rsidRPr="00DA2C5E">
        <w:rPr>
          <w:rFonts w:cs="Times New Roman"/>
        </w:rPr>
        <w:tab/>
        <w:t xml:space="preserve">In the </w:t>
      </w:r>
      <w:r w:rsidR="00E10E93" w:rsidRPr="00DA2C5E">
        <w:rPr>
          <w:rFonts w:cs="Times New Roman"/>
        </w:rPr>
        <w:t>‘</w:t>
      </w:r>
      <w:r w:rsidR="009564C3" w:rsidRPr="00DA2C5E">
        <w:rPr>
          <w:rFonts w:cs="Times New Roman"/>
        </w:rPr>
        <w:t>humanitarian aid</w:t>
      </w:r>
      <w:r w:rsidR="00E10E93" w:rsidRPr="00DA2C5E">
        <w:rPr>
          <w:rFonts w:cs="Times New Roman"/>
        </w:rPr>
        <w:t>’</w:t>
      </w:r>
      <w:r w:rsidR="009564C3" w:rsidRPr="00DA2C5E">
        <w:rPr>
          <w:rFonts w:cs="Times New Roman"/>
        </w:rPr>
        <w:t xml:space="preserve"> sector</w:t>
      </w:r>
      <w:r w:rsidR="00476310" w:rsidRPr="00DA2C5E">
        <w:rPr>
          <w:rFonts w:cs="Times New Roman"/>
        </w:rPr>
        <w:t>,</w:t>
      </w:r>
      <w:r w:rsidR="009564C3" w:rsidRPr="00DA2C5E">
        <w:rPr>
          <w:rFonts w:cs="Times New Roman"/>
        </w:rPr>
        <w:t xml:space="preserve"> demand for support for ‘emergency response’ remained strong, and there was strong growth in the subsectors of ‘reconstruction relief and rehabilitation,’ and ‘disaster prevention preparedness.’ The latter was in particular demand in </w:t>
      </w:r>
      <w:r w:rsidR="00A61777">
        <w:rPr>
          <w:rFonts w:cs="Times New Roman"/>
        </w:rPr>
        <w:t>S</w:t>
      </w:r>
      <w:r w:rsidR="009564C3" w:rsidRPr="00DA2C5E">
        <w:rPr>
          <w:rFonts w:cs="Times New Roman"/>
        </w:rPr>
        <w:t xml:space="preserve">outhern Asia, whereas demand for the former </w:t>
      </w:r>
      <w:r w:rsidR="00E10E93" w:rsidRPr="00DA2C5E">
        <w:rPr>
          <w:rFonts w:cs="Times New Roman"/>
        </w:rPr>
        <w:t xml:space="preserve">two </w:t>
      </w:r>
      <w:r w:rsidR="009564C3" w:rsidRPr="00DA2C5E">
        <w:rPr>
          <w:rFonts w:cs="Times New Roman"/>
        </w:rPr>
        <w:t xml:space="preserve">was </w:t>
      </w:r>
      <w:r w:rsidR="00E10E93" w:rsidRPr="00DA2C5E">
        <w:rPr>
          <w:rFonts w:cs="Times New Roman"/>
        </w:rPr>
        <w:t xml:space="preserve">especially </w:t>
      </w:r>
      <w:r w:rsidR="00476310" w:rsidRPr="00DA2C5E">
        <w:rPr>
          <w:rFonts w:cs="Times New Roman"/>
        </w:rPr>
        <w:t xml:space="preserve">robust </w:t>
      </w:r>
      <w:r w:rsidR="009564C3" w:rsidRPr="00DA2C5E">
        <w:rPr>
          <w:rFonts w:cs="Times New Roman"/>
        </w:rPr>
        <w:t xml:space="preserve">in </w:t>
      </w:r>
      <w:r w:rsidR="00A61777">
        <w:rPr>
          <w:rFonts w:cs="Times New Roman"/>
        </w:rPr>
        <w:t>W</w:t>
      </w:r>
      <w:r w:rsidR="009564C3" w:rsidRPr="00DA2C5E">
        <w:rPr>
          <w:rFonts w:cs="Times New Roman"/>
        </w:rPr>
        <w:t>estern Asia.</w:t>
      </w:r>
    </w:p>
    <w:p w14:paraId="6893DB9D" w14:textId="77777777" w:rsidR="009564C3" w:rsidRPr="00DA2C5E" w:rsidRDefault="009564C3" w:rsidP="00B7162D">
      <w:pPr>
        <w:pStyle w:val="Heading4"/>
      </w:pPr>
      <w:r w:rsidRPr="00DA2C5E">
        <w:t>Sustainable development goals</w:t>
      </w:r>
    </w:p>
    <w:p w14:paraId="0B5D017C" w14:textId="7D244FFE" w:rsidR="009564C3" w:rsidRPr="00DA2C5E" w:rsidRDefault="008F0239" w:rsidP="009564C3">
      <w:pPr>
        <w:spacing w:after="120"/>
      </w:pPr>
      <w:r w:rsidRPr="00DA2C5E">
        <w:t>4</w:t>
      </w:r>
      <w:r w:rsidR="005A6344" w:rsidRPr="00DA2C5E">
        <w:t>4</w:t>
      </w:r>
      <w:r w:rsidR="009564C3" w:rsidRPr="00DA2C5E">
        <w:t>.</w:t>
      </w:r>
      <w:r w:rsidR="009564C3" w:rsidRPr="00DA2C5E">
        <w:tab/>
        <w:t xml:space="preserve">The 17 </w:t>
      </w:r>
      <w:r w:rsidR="00476310" w:rsidRPr="00DA2C5E">
        <w:rPr>
          <w:rFonts w:cs="Times New Roman"/>
        </w:rPr>
        <w:t>Sustainable Development Goals</w:t>
      </w:r>
      <w:r w:rsidR="009564C3" w:rsidRPr="00DA2C5E">
        <w:t xml:space="preserve"> and 169 targets are universal, mutually reinforcing and interdependent. Countries achieve and report on them, and the United Nations system provides support based on mandates, expertise and comparative advantage.</w:t>
      </w:r>
    </w:p>
    <w:p w14:paraId="0A0EB7A9" w14:textId="213D2060" w:rsidR="009564C3" w:rsidRPr="00DA2C5E" w:rsidRDefault="008F0239" w:rsidP="009564C3">
      <w:pPr>
        <w:tabs>
          <w:tab w:val="clear" w:pos="425"/>
          <w:tab w:val="left" w:pos="426"/>
        </w:tabs>
        <w:spacing w:after="120"/>
      </w:pPr>
      <w:r w:rsidRPr="00DA2C5E">
        <w:t>4</w:t>
      </w:r>
      <w:r w:rsidR="005A6344" w:rsidRPr="00DA2C5E">
        <w:t>5</w:t>
      </w:r>
      <w:r w:rsidR="009564C3" w:rsidRPr="00DA2C5E">
        <w:t>.</w:t>
      </w:r>
      <w:r w:rsidR="009564C3" w:rsidRPr="00DA2C5E">
        <w:tab/>
        <w:t>With its implementation mandate UNOPS can</w:t>
      </w:r>
      <w:r w:rsidR="00476310" w:rsidRPr="00DA2C5E">
        <w:t>,</w:t>
      </w:r>
      <w:r w:rsidR="009564C3" w:rsidRPr="00DA2C5E">
        <w:t xml:space="preserve"> </w:t>
      </w:r>
      <w:r w:rsidR="000D3D80" w:rsidRPr="00DA2C5E">
        <w:t>in principle</w:t>
      </w:r>
      <w:r w:rsidR="00476310" w:rsidRPr="00DA2C5E">
        <w:t>,</w:t>
      </w:r>
      <w:r w:rsidR="000D3D80" w:rsidRPr="00DA2C5E">
        <w:t xml:space="preserve"> provide d</w:t>
      </w:r>
      <w:r w:rsidR="009564C3" w:rsidRPr="00DA2C5E">
        <w:t xml:space="preserve">irect and indirect </w:t>
      </w:r>
      <w:r w:rsidR="000D3D80" w:rsidRPr="00DA2C5E">
        <w:t xml:space="preserve">support for countries’ </w:t>
      </w:r>
      <w:r w:rsidR="009564C3" w:rsidRPr="00DA2C5E">
        <w:t>achievement of all the goals</w:t>
      </w:r>
      <w:r w:rsidR="00181B72" w:rsidRPr="00DA2C5E">
        <w:t xml:space="preserve"> – </w:t>
      </w:r>
      <w:r w:rsidR="009564C3" w:rsidRPr="00DA2C5E">
        <w:t>yet partners appear to find UNOPS services and expertise more attractive in relation to some than others.</w:t>
      </w:r>
    </w:p>
    <w:p w14:paraId="71A8780D" w14:textId="1EE47661" w:rsidR="009564C3" w:rsidRPr="00DA2C5E" w:rsidRDefault="00C040F4" w:rsidP="009564C3">
      <w:pPr>
        <w:tabs>
          <w:tab w:val="clear" w:pos="425"/>
          <w:tab w:val="left" w:pos="426"/>
        </w:tabs>
        <w:spacing w:after="120"/>
        <w:rPr>
          <w:rFonts w:cs="Times New Roman"/>
        </w:rPr>
      </w:pPr>
      <w:r w:rsidRPr="00DA2C5E">
        <w:rPr>
          <w:rFonts w:cs="Times New Roman"/>
        </w:rPr>
        <w:t>4</w:t>
      </w:r>
      <w:r w:rsidR="005A6344" w:rsidRPr="00DA2C5E">
        <w:rPr>
          <w:rFonts w:cs="Times New Roman"/>
        </w:rPr>
        <w:t>6</w:t>
      </w:r>
      <w:r w:rsidR="009564C3" w:rsidRPr="00DA2C5E">
        <w:rPr>
          <w:rFonts w:cs="Times New Roman"/>
        </w:rPr>
        <w:t>.</w:t>
      </w:r>
      <w:r w:rsidR="009564C3" w:rsidRPr="00DA2C5E">
        <w:rPr>
          <w:rFonts w:cs="Times New Roman"/>
        </w:rPr>
        <w:tab/>
        <w:t>With its self-financed business model</w:t>
      </w:r>
      <w:r w:rsidR="00181B72" w:rsidRPr="00DA2C5E">
        <w:rPr>
          <w:rFonts w:cs="Times New Roman"/>
        </w:rPr>
        <w:t>,</w:t>
      </w:r>
      <w:r w:rsidR="009564C3" w:rsidRPr="00DA2C5E">
        <w:rPr>
          <w:rFonts w:cs="Times New Roman"/>
        </w:rPr>
        <w:t xml:space="preserve"> </w:t>
      </w:r>
      <w:r w:rsidR="00A61777">
        <w:rPr>
          <w:rFonts w:cs="Times New Roman"/>
        </w:rPr>
        <w:t xml:space="preserve">all </w:t>
      </w:r>
      <w:r w:rsidR="009564C3" w:rsidRPr="00DA2C5E">
        <w:rPr>
          <w:rFonts w:cs="Times New Roman"/>
        </w:rPr>
        <w:t xml:space="preserve">UNOPS activities </w:t>
      </w:r>
      <w:r w:rsidR="00181B72" w:rsidRPr="00DA2C5E">
        <w:rPr>
          <w:rFonts w:cs="Times New Roman"/>
        </w:rPr>
        <w:t xml:space="preserve">could </w:t>
      </w:r>
      <w:r w:rsidR="00A61777">
        <w:rPr>
          <w:rFonts w:cs="Times New Roman"/>
        </w:rPr>
        <w:t xml:space="preserve">in principle be considered as </w:t>
      </w:r>
      <w:r w:rsidR="009564C3" w:rsidRPr="00DA2C5E">
        <w:rPr>
          <w:rFonts w:cs="Times New Roman"/>
        </w:rPr>
        <w:t>contribut</w:t>
      </w:r>
      <w:r w:rsidR="00A61777">
        <w:rPr>
          <w:rFonts w:cs="Times New Roman"/>
        </w:rPr>
        <w:t xml:space="preserve">ing </w:t>
      </w:r>
      <w:r w:rsidR="009564C3" w:rsidRPr="00DA2C5E">
        <w:rPr>
          <w:rFonts w:cs="Times New Roman"/>
        </w:rPr>
        <w:t xml:space="preserve">to </w:t>
      </w:r>
      <w:r w:rsidR="003B7E93">
        <w:rPr>
          <w:rFonts w:cs="Times New Roman"/>
        </w:rPr>
        <w:t xml:space="preserve">Goal </w:t>
      </w:r>
      <w:r w:rsidR="009564C3" w:rsidRPr="00DA2C5E">
        <w:rPr>
          <w:rFonts w:cs="Times New Roman"/>
        </w:rPr>
        <w:t>17 ‘partnership</w:t>
      </w:r>
      <w:r w:rsidR="00476310" w:rsidRPr="00DA2C5E">
        <w:rPr>
          <w:rFonts w:cs="Times New Roman"/>
        </w:rPr>
        <w:t>s</w:t>
      </w:r>
      <w:r w:rsidR="009564C3" w:rsidRPr="00DA2C5E">
        <w:rPr>
          <w:rFonts w:cs="Times New Roman"/>
        </w:rPr>
        <w:t xml:space="preserve"> for the goals,’ while at the same time contributing to the achievement of a number of other goals.</w:t>
      </w:r>
    </w:p>
    <w:p w14:paraId="67128AA0" w14:textId="0267304C" w:rsidR="009564C3" w:rsidRPr="00DA2C5E" w:rsidRDefault="00C040F4" w:rsidP="009564C3">
      <w:pPr>
        <w:tabs>
          <w:tab w:val="clear" w:pos="425"/>
          <w:tab w:val="left" w:pos="426"/>
        </w:tabs>
        <w:spacing w:after="120"/>
        <w:rPr>
          <w:rFonts w:cs="Times New Roman"/>
        </w:rPr>
      </w:pPr>
      <w:r w:rsidRPr="00DA2C5E">
        <w:rPr>
          <w:rFonts w:cs="Times New Roman"/>
        </w:rPr>
        <w:t>4</w:t>
      </w:r>
      <w:r w:rsidR="005A6344" w:rsidRPr="00DA2C5E">
        <w:rPr>
          <w:rFonts w:cs="Times New Roman"/>
        </w:rPr>
        <w:t>7</w:t>
      </w:r>
      <w:r w:rsidR="009564C3" w:rsidRPr="00DA2C5E">
        <w:rPr>
          <w:rFonts w:cs="Times New Roman"/>
        </w:rPr>
        <w:t>.</w:t>
      </w:r>
      <w:r w:rsidR="009564C3" w:rsidRPr="00DA2C5E">
        <w:rPr>
          <w:rFonts w:cs="Times New Roman"/>
        </w:rPr>
        <w:tab/>
        <w:t xml:space="preserve">Similar to </w:t>
      </w:r>
      <w:r w:rsidR="00476310" w:rsidRPr="00DA2C5E">
        <w:rPr>
          <w:rFonts w:cs="Times New Roman"/>
        </w:rPr>
        <w:t xml:space="preserve">the way </w:t>
      </w:r>
      <w:r w:rsidR="009564C3" w:rsidRPr="00DA2C5E">
        <w:rPr>
          <w:rFonts w:cs="Times New Roman"/>
        </w:rPr>
        <w:t xml:space="preserve">demand is particularly strong in specific sectors, there are also specific </w:t>
      </w:r>
      <w:r w:rsidR="009052BB" w:rsidRPr="00DA2C5E">
        <w:rPr>
          <w:rFonts w:cs="Times New Roman"/>
        </w:rPr>
        <w:t>g</w:t>
      </w:r>
      <w:r w:rsidR="009564C3" w:rsidRPr="00DA2C5E">
        <w:rPr>
          <w:rFonts w:cs="Times New Roman"/>
        </w:rPr>
        <w:t xml:space="preserve">oals for which demand </w:t>
      </w:r>
      <w:r w:rsidR="00476310" w:rsidRPr="00DA2C5E">
        <w:rPr>
          <w:rFonts w:cs="Times New Roman"/>
        </w:rPr>
        <w:t xml:space="preserve">was </w:t>
      </w:r>
      <w:r w:rsidR="009564C3" w:rsidRPr="00DA2C5E">
        <w:rPr>
          <w:rFonts w:cs="Times New Roman"/>
        </w:rPr>
        <w:t xml:space="preserve">particularly strong. </w:t>
      </w:r>
      <w:r w:rsidR="00476310" w:rsidRPr="00DA2C5E">
        <w:rPr>
          <w:rFonts w:cs="Times New Roman"/>
        </w:rPr>
        <w:t>D</w:t>
      </w:r>
      <w:r w:rsidR="009564C3" w:rsidRPr="00DA2C5E">
        <w:t>ue to the mutually reinforcing nature of the goals, activities supporting one goal can also support several others, i</w:t>
      </w:r>
      <w:r w:rsidR="009564C3" w:rsidRPr="00DA2C5E">
        <w:rPr>
          <w:rFonts w:cs="Times New Roman"/>
        </w:rPr>
        <w:t xml:space="preserve">ncluding cross-cutting goals such as gender equality and climate action. </w:t>
      </w:r>
      <w:r w:rsidR="008151CA">
        <w:rPr>
          <w:rFonts w:cs="Times New Roman"/>
        </w:rPr>
        <w:t>In order to avoid double-counting</w:t>
      </w:r>
      <w:r w:rsidR="00C35DAC">
        <w:rPr>
          <w:rFonts w:cs="Times New Roman"/>
        </w:rPr>
        <w:t>,</w:t>
      </w:r>
      <w:r w:rsidR="008151CA">
        <w:rPr>
          <w:rFonts w:cs="Times New Roman"/>
        </w:rPr>
        <w:t xml:space="preserve"> a</w:t>
      </w:r>
      <w:r w:rsidR="009564C3" w:rsidRPr="00DA2C5E">
        <w:rPr>
          <w:rFonts w:cs="Times New Roman"/>
        </w:rPr>
        <w:t xml:space="preserve">n overview of the </w:t>
      </w:r>
      <w:r w:rsidR="008151CA">
        <w:rPr>
          <w:rFonts w:cs="Times New Roman"/>
        </w:rPr>
        <w:t>‘</w:t>
      </w:r>
      <w:r w:rsidR="009564C3" w:rsidRPr="00DA2C5E">
        <w:rPr>
          <w:rFonts w:cs="Times New Roman"/>
        </w:rPr>
        <w:t>main goals</w:t>
      </w:r>
      <w:r w:rsidR="008151CA">
        <w:rPr>
          <w:rFonts w:cs="Times New Roman"/>
        </w:rPr>
        <w:t>’</w:t>
      </w:r>
      <w:r w:rsidR="009564C3" w:rsidRPr="00DA2C5E">
        <w:rPr>
          <w:rFonts w:cs="Times New Roman"/>
        </w:rPr>
        <w:t xml:space="preserve"> towards which </w:t>
      </w:r>
      <w:r w:rsidR="008151CA">
        <w:rPr>
          <w:rFonts w:cs="Times New Roman"/>
        </w:rPr>
        <w:t xml:space="preserve">projects supported by </w:t>
      </w:r>
      <w:r w:rsidR="009564C3" w:rsidRPr="00DA2C5E">
        <w:rPr>
          <w:rFonts w:cs="Times New Roman"/>
        </w:rPr>
        <w:t>UNOPS ha</w:t>
      </w:r>
      <w:r w:rsidR="008151CA">
        <w:rPr>
          <w:rFonts w:cs="Times New Roman"/>
        </w:rPr>
        <w:t>ve</w:t>
      </w:r>
      <w:r w:rsidR="009564C3" w:rsidRPr="00DA2C5E">
        <w:rPr>
          <w:rFonts w:cs="Times New Roman"/>
        </w:rPr>
        <w:t xml:space="preserve"> contributed</w:t>
      </w:r>
      <w:r w:rsidR="00C35DAC">
        <w:rPr>
          <w:rFonts w:cs="Times New Roman"/>
        </w:rPr>
        <w:t xml:space="preserve"> follows below</w:t>
      </w:r>
      <w:r w:rsidR="009564C3" w:rsidRPr="00DA2C5E">
        <w:rPr>
          <w:rFonts w:cs="Times New Roman"/>
        </w:rPr>
        <w:t>.</w:t>
      </w:r>
    </w:p>
    <w:p w14:paraId="4D5CF85C" w14:textId="241E0C07" w:rsidR="009564C3" w:rsidRPr="00DA2C5E" w:rsidRDefault="00AA5618" w:rsidP="009564C3">
      <w:pPr>
        <w:tabs>
          <w:tab w:val="clear" w:pos="425"/>
          <w:tab w:val="left" w:pos="426"/>
        </w:tabs>
        <w:spacing w:after="120"/>
        <w:rPr>
          <w:rFonts w:cs="Times New Roman"/>
        </w:rPr>
      </w:pPr>
      <w:r w:rsidRPr="00DA2C5E">
        <w:rPr>
          <w:rFonts w:cs="Times New Roman"/>
        </w:rPr>
        <w:t>4</w:t>
      </w:r>
      <w:r w:rsidR="005A6344" w:rsidRPr="00DA2C5E">
        <w:rPr>
          <w:rFonts w:cs="Times New Roman"/>
        </w:rPr>
        <w:t>8</w:t>
      </w:r>
      <w:r w:rsidR="009564C3" w:rsidRPr="00DA2C5E">
        <w:rPr>
          <w:rFonts w:cs="Times New Roman"/>
        </w:rPr>
        <w:t>.</w:t>
      </w:r>
      <w:r w:rsidR="009564C3" w:rsidRPr="00DA2C5E">
        <w:rPr>
          <w:rFonts w:cs="Times New Roman"/>
        </w:rPr>
        <w:tab/>
        <w:t xml:space="preserve">In 2018-2019, demand for activities supporting achievement of Goals 3, 11, 16 and 17 remained particularly strong. Support for the four goals accounted for 65 per cent of gross delivery and 58 per cent of growth. In </w:t>
      </w:r>
      <w:r w:rsidR="00476310" w:rsidRPr="00DA2C5E">
        <w:t>least developed countries, landlocked least developed countries, small island developing States</w:t>
      </w:r>
      <w:r w:rsidR="009564C3" w:rsidRPr="00DA2C5E">
        <w:rPr>
          <w:rFonts w:cs="Times New Roman"/>
        </w:rPr>
        <w:t xml:space="preserve"> and other countries in fragile situations, the same four goals accounted for 72 per cent of demand.</w:t>
      </w:r>
    </w:p>
    <w:p w14:paraId="02B0D245" w14:textId="009C26B5" w:rsidR="009564C3" w:rsidRPr="00DA2C5E" w:rsidRDefault="005A6738" w:rsidP="009564C3">
      <w:pPr>
        <w:tabs>
          <w:tab w:val="clear" w:pos="425"/>
          <w:tab w:val="left" w:pos="426"/>
        </w:tabs>
        <w:spacing w:after="120"/>
        <w:rPr>
          <w:rFonts w:cs="Times New Roman"/>
        </w:rPr>
      </w:pPr>
      <w:r w:rsidRPr="00DA2C5E">
        <w:rPr>
          <w:rFonts w:cs="Times New Roman"/>
        </w:rPr>
        <w:t>4</w:t>
      </w:r>
      <w:r w:rsidR="005A6344" w:rsidRPr="00DA2C5E">
        <w:rPr>
          <w:rFonts w:cs="Times New Roman"/>
        </w:rPr>
        <w:t>9</w:t>
      </w:r>
      <w:r w:rsidR="009564C3" w:rsidRPr="00DA2C5E">
        <w:rPr>
          <w:rFonts w:cs="Times New Roman"/>
        </w:rPr>
        <w:t>.</w:t>
      </w:r>
      <w:r w:rsidR="009564C3" w:rsidRPr="00DA2C5E">
        <w:rPr>
          <w:rFonts w:cs="Times New Roman"/>
        </w:rPr>
        <w:tab/>
        <w:t>In Africa</w:t>
      </w:r>
      <w:r w:rsidR="00476310" w:rsidRPr="00DA2C5E">
        <w:rPr>
          <w:rFonts w:cs="Times New Roman"/>
        </w:rPr>
        <w:t>,</w:t>
      </w:r>
      <w:r w:rsidR="009564C3" w:rsidRPr="00DA2C5E">
        <w:rPr>
          <w:rFonts w:cs="Times New Roman"/>
        </w:rPr>
        <w:t xml:space="preserve"> the goal towards which most activities contributed was </w:t>
      </w:r>
      <w:r w:rsidR="00181B72" w:rsidRPr="00DA2C5E">
        <w:rPr>
          <w:rFonts w:cs="Times New Roman"/>
        </w:rPr>
        <w:t xml:space="preserve">Goal </w:t>
      </w:r>
      <w:r w:rsidR="009564C3" w:rsidRPr="00DA2C5E">
        <w:rPr>
          <w:rFonts w:cs="Times New Roman"/>
        </w:rPr>
        <w:t>16</w:t>
      </w:r>
      <w:r w:rsidR="00476310" w:rsidRPr="00DA2C5E">
        <w:rPr>
          <w:rFonts w:cs="Times New Roman"/>
        </w:rPr>
        <w:t>,</w:t>
      </w:r>
      <w:r w:rsidR="009564C3" w:rsidRPr="00DA2C5E">
        <w:rPr>
          <w:rFonts w:cs="Times New Roman"/>
        </w:rPr>
        <w:t xml:space="preserve"> ‘peace justice and strong institutions’</w:t>
      </w:r>
      <w:r w:rsidR="00476310" w:rsidRPr="00DA2C5E">
        <w:rPr>
          <w:rFonts w:cs="Times New Roman"/>
        </w:rPr>
        <w:t>.</w:t>
      </w:r>
      <w:r w:rsidR="009564C3" w:rsidRPr="00DA2C5E">
        <w:rPr>
          <w:rFonts w:cs="Times New Roman"/>
        </w:rPr>
        <w:t xml:space="preserve"> Demand for </w:t>
      </w:r>
      <w:r w:rsidR="000D3D80" w:rsidRPr="00DA2C5E">
        <w:rPr>
          <w:rFonts w:cs="Times New Roman"/>
        </w:rPr>
        <w:t xml:space="preserve">support of this </w:t>
      </w:r>
      <w:r w:rsidR="009564C3" w:rsidRPr="00DA2C5E">
        <w:rPr>
          <w:rFonts w:cs="Times New Roman"/>
        </w:rPr>
        <w:t>goal was significant in all regions. In Asia and Europe</w:t>
      </w:r>
      <w:r w:rsidR="00476310" w:rsidRPr="00DA2C5E">
        <w:rPr>
          <w:rFonts w:cs="Times New Roman"/>
        </w:rPr>
        <w:t>,</w:t>
      </w:r>
      <w:r w:rsidR="009564C3" w:rsidRPr="00DA2C5E">
        <w:rPr>
          <w:rFonts w:cs="Times New Roman"/>
        </w:rPr>
        <w:t xml:space="preserve"> </w:t>
      </w:r>
      <w:r w:rsidR="008A05ED" w:rsidRPr="00DA2C5E">
        <w:rPr>
          <w:rFonts w:cs="Times New Roman"/>
        </w:rPr>
        <w:t xml:space="preserve">support for achievement of </w:t>
      </w:r>
      <w:r w:rsidR="00476310" w:rsidRPr="00DA2C5E">
        <w:rPr>
          <w:rFonts w:cs="Times New Roman"/>
        </w:rPr>
        <w:t>G</w:t>
      </w:r>
      <w:r w:rsidR="009564C3" w:rsidRPr="00DA2C5E">
        <w:rPr>
          <w:rFonts w:cs="Times New Roman"/>
        </w:rPr>
        <w:t>oal 3</w:t>
      </w:r>
      <w:r w:rsidR="00181B72" w:rsidRPr="00DA2C5E">
        <w:rPr>
          <w:rFonts w:cs="Times New Roman"/>
        </w:rPr>
        <w:t>,</w:t>
      </w:r>
      <w:r w:rsidR="009564C3" w:rsidRPr="00DA2C5E">
        <w:rPr>
          <w:rFonts w:cs="Times New Roman"/>
        </w:rPr>
        <w:t xml:space="preserve"> ‘good health and well-being’</w:t>
      </w:r>
      <w:r w:rsidR="00476310" w:rsidRPr="00DA2C5E">
        <w:rPr>
          <w:rFonts w:cs="Times New Roman"/>
        </w:rPr>
        <w:t>,</w:t>
      </w:r>
      <w:r w:rsidR="009564C3" w:rsidRPr="00DA2C5E">
        <w:rPr>
          <w:rFonts w:cs="Times New Roman"/>
        </w:rPr>
        <w:t xml:space="preserve"> saw the </w:t>
      </w:r>
      <w:r w:rsidR="00476310" w:rsidRPr="00DA2C5E">
        <w:rPr>
          <w:rFonts w:cs="Times New Roman"/>
        </w:rPr>
        <w:t xml:space="preserve">largest </w:t>
      </w:r>
      <w:r w:rsidR="009564C3" w:rsidRPr="00DA2C5E">
        <w:rPr>
          <w:rFonts w:cs="Times New Roman"/>
        </w:rPr>
        <w:t xml:space="preserve">demand; in the Americas it was </w:t>
      </w:r>
      <w:r w:rsidR="008A05ED" w:rsidRPr="00DA2C5E">
        <w:rPr>
          <w:rFonts w:cs="Times New Roman"/>
        </w:rPr>
        <w:t xml:space="preserve">support for achievement of </w:t>
      </w:r>
      <w:r w:rsidR="009052BB" w:rsidRPr="00DA2C5E">
        <w:rPr>
          <w:rFonts w:cs="Times New Roman"/>
        </w:rPr>
        <w:t>G</w:t>
      </w:r>
      <w:r w:rsidR="008A05ED" w:rsidRPr="00DA2C5E">
        <w:rPr>
          <w:rFonts w:cs="Times New Roman"/>
        </w:rPr>
        <w:t>oal</w:t>
      </w:r>
      <w:r w:rsidR="009564C3" w:rsidRPr="00DA2C5E">
        <w:rPr>
          <w:rFonts w:cs="Times New Roman"/>
        </w:rPr>
        <w:t xml:space="preserve"> 11</w:t>
      </w:r>
      <w:r w:rsidR="00181B72" w:rsidRPr="00DA2C5E">
        <w:rPr>
          <w:rFonts w:cs="Times New Roman"/>
        </w:rPr>
        <w:t>,</w:t>
      </w:r>
      <w:r w:rsidR="009564C3" w:rsidRPr="00DA2C5E">
        <w:rPr>
          <w:rFonts w:cs="Times New Roman"/>
        </w:rPr>
        <w:t xml:space="preserve"> ‘sustainable cities and communities’</w:t>
      </w:r>
      <w:r w:rsidR="00F20945" w:rsidRPr="00DA2C5E">
        <w:rPr>
          <w:rFonts w:cs="Times New Roman"/>
        </w:rPr>
        <w:t>;</w:t>
      </w:r>
      <w:r w:rsidR="009564C3" w:rsidRPr="00DA2C5E">
        <w:rPr>
          <w:rFonts w:cs="Times New Roman"/>
        </w:rPr>
        <w:t xml:space="preserve"> </w:t>
      </w:r>
      <w:r w:rsidR="00F20945" w:rsidRPr="00DA2C5E">
        <w:rPr>
          <w:rFonts w:cs="Times New Roman"/>
        </w:rPr>
        <w:t xml:space="preserve">while </w:t>
      </w:r>
      <w:r w:rsidR="009564C3" w:rsidRPr="00DA2C5E">
        <w:rPr>
          <w:rFonts w:cs="Times New Roman"/>
        </w:rPr>
        <w:t xml:space="preserve">in Oceania </w:t>
      </w:r>
      <w:r w:rsidR="008A05ED" w:rsidRPr="00DA2C5E">
        <w:rPr>
          <w:rFonts w:cs="Times New Roman"/>
        </w:rPr>
        <w:t xml:space="preserve">support for </w:t>
      </w:r>
      <w:r w:rsidR="009564C3" w:rsidRPr="00DA2C5E">
        <w:rPr>
          <w:rFonts w:cs="Times New Roman"/>
        </w:rPr>
        <w:t xml:space="preserve">achievement of </w:t>
      </w:r>
      <w:r w:rsidR="00F20945" w:rsidRPr="00DA2C5E">
        <w:rPr>
          <w:rFonts w:cs="Times New Roman"/>
        </w:rPr>
        <w:t>G</w:t>
      </w:r>
      <w:r w:rsidR="009564C3" w:rsidRPr="00DA2C5E">
        <w:rPr>
          <w:rFonts w:cs="Times New Roman"/>
        </w:rPr>
        <w:t>oal 13</w:t>
      </w:r>
      <w:r w:rsidR="00181B72" w:rsidRPr="00DA2C5E">
        <w:rPr>
          <w:rFonts w:cs="Times New Roman"/>
        </w:rPr>
        <w:t>,</w:t>
      </w:r>
      <w:r w:rsidR="009564C3" w:rsidRPr="00DA2C5E">
        <w:rPr>
          <w:rFonts w:cs="Times New Roman"/>
        </w:rPr>
        <w:t xml:space="preserve"> ‘climate action’</w:t>
      </w:r>
      <w:r w:rsidR="0035613F" w:rsidRPr="00DA2C5E">
        <w:rPr>
          <w:rFonts w:cs="Times New Roman"/>
        </w:rPr>
        <w:t xml:space="preserve"> was in highest demand.</w:t>
      </w:r>
    </w:p>
    <w:p w14:paraId="547F434F" w14:textId="21F0F70F" w:rsidR="009564C3" w:rsidRPr="00DA2C5E" w:rsidRDefault="005A6344" w:rsidP="009564C3">
      <w:pPr>
        <w:tabs>
          <w:tab w:val="clear" w:pos="425"/>
          <w:tab w:val="left" w:pos="426"/>
        </w:tabs>
        <w:spacing w:after="120"/>
        <w:rPr>
          <w:rFonts w:cs="Times New Roman"/>
        </w:rPr>
      </w:pPr>
      <w:r w:rsidRPr="00DA2C5E">
        <w:rPr>
          <w:rFonts w:cs="Times New Roman"/>
        </w:rPr>
        <w:t>50</w:t>
      </w:r>
      <w:r w:rsidR="009564C3" w:rsidRPr="00DA2C5E">
        <w:rPr>
          <w:rFonts w:cs="Times New Roman"/>
        </w:rPr>
        <w:t>.</w:t>
      </w:r>
      <w:r w:rsidR="009564C3" w:rsidRPr="00DA2C5E">
        <w:rPr>
          <w:rFonts w:cs="Times New Roman"/>
        </w:rPr>
        <w:tab/>
      </w:r>
      <w:r w:rsidR="00E90920" w:rsidRPr="00DA2C5E">
        <w:rPr>
          <w:rFonts w:cs="Times New Roman"/>
        </w:rPr>
        <w:t>Commensurate with the previous partner survey, t</w:t>
      </w:r>
      <w:r w:rsidR="009564C3" w:rsidRPr="00DA2C5E">
        <w:rPr>
          <w:rFonts w:cs="Times New Roman"/>
        </w:rPr>
        <w:t xml:space="preserve">he 2018-2019 survey highlighted that partners consider UNOPS a partner of choice for support </w:t>
      </w:r>
      <w:r w:rsidR="00F20945" w:rsidRPr="00DA2C5E">
        <w:rPr>
          <w:rFonts w:cs="Times New Roman"/>
        </w:rPr>
        <w:t>in achieving</w:t>
      </w:r>
      <w:r w:rsidR="0035613F" w:rsidRPr="00DA2C5E">
        <w:rPr>
          <w:rFonts w:cs="Times New Roman"/>
        </w:rPr>
        <w:t xml:space="preserve"> many </w:t>
      </w:r>
      <w:r w:rsidR="00F20945" w:rsidRPr="00DA2C5E">
        <w:rPr>
          <w:rFonts w:cs="Times New Roman"/>
        </w:rPr>
        <w:t>of the Sustainable Development Goals</w:t>
      </w:r>
      <w:r w:rsidR="00D12D37" w:rsidRPr="00DA2C5E">
        <w:rPr>
          <w:rFonts w:cs="Times New Roman"/>
        </w:rPr>
        <w:t xml:space="preserve">. </w:t>
      </w:r>
      <w:r w:rsidR="009564C3" w:rsidRPr="00DA2C5E">
        <w:rPr>
          <w:rFonts w:cs="Times New Roman"/>
        </w:rPr>
        <w:t>At the same time</w:t>
      </w:r>
      <w:r w:rsidR="00F20945" w:rsidRPr="00DA2C5E">
        <w:rPr>
          <w:rFonts w:cs="Times New Roman"/>
        </w:rPr>
        <w:t>,</w:t>
      </w:r>
      <w:r w:rsidR="009564C3" w:rsidRPr="00DA2C5E">
        <w:rPr>
          <w:rFonts w:cs="Times New Roman"/>
        </w:rPr>
        <w:t xml:space="preserve"> it illustrated that partners’ priorities </w:t>
      </w:r>
      <w:r w:rsidR="00F20945" w:rsidRPr="00DA2C5E">
        <w:rPr>
          <w:rFonts w:cs="Times New Roman"/>
        </w:rPr>
        <w:t xml:space="preserve">differ </w:t>
      </w:r>
      <w:r w:rsidR="009564C3" w:rsidRPr="00DA2C5E">
        <w:rPr>
          <w:rFonts w:cs="Times New Roman"/>
        </w:rPr>
        <w:t xml:space="preserve">in relation to specific </w:t>
      </w:r>
      <w:r w:rsidR="009052BB" w:rsidRPr="00DA2C5E">
        <w:rPr>
          <w:rFonts w:cs="Times New Roman"/>
        </w:rPr>
        <w:t>g</w:t>
      </w:r>
      <w:r w:rsidR="00F20945" w:rsidRPr="00DA2C5E">
        <w:rPr>
          <w:rFonts w:cs="Times New Roman"/>
        </w:rPr>
        <w:t>oal</w:t>
      </w:r>
      <w:r w:rsidR="009564C3" w:rsidRPr="00DA2C5E">
        <w:rPr>
          <w:rFonts w:cs="Times New Roman"/>
        </w:rPr>
        <w:t>s. It reconfirm</w:t>
      </w:r>
      <w:r w:rsidR="00052268" w:rsidRPr="00DA2C5E">
        <w:rPr>
          <w:rFonts w:cs="Times New Roman"/>
        </w:rPr>
        <w:t>ed</w:t>
      </w:r>
      <w:r w:rsidR="009564C3" w:rsidRPr="00DA2C5E">
        <w:rPr>
          <w:rFonts w:cs="Times New Roman"/>
        </w:rPr>
        <w:t xml:space="preserve"> that partner demand for UNOPS expertise and perception of its relevance is stronger in relation to some goals than others.</w:t>
      </w:r>
    </w:p>
    <w:p w14:paraId="6E63A299" w14:textId="7931C92F" w:rsidR="00E70382" w:rsidRPr="00DA2C5E" w:rsidRDefault="005A6344" w:rsidP="00E70382">
      <w:pPr>
        <w:tabs>
          <w:tab w:val="clear" w:pos="425"/>
          <w:tab w:val="left" w:pos="426"/>
        </w:tabs>
        <w:spacing w:after="240"/>
        <w:rPr>
          <w:rFonts w:cs="Times New Roman"/>
        </w:rPr>
      </w:pPr>
      <w:r w:rsidRPr="00DA2C5E">
        <w:rPr>
          <w:rFonts w:cs="Times New Roman"/>
        </w:rPr>
        <w:t>51</w:t>
      </w:r>
      <w:r w:rsidR="009564C3" w:rsidRPr="00DA2C5E">
        <w:rPr>
          <w:rFonts w:cs="Times New Roman"/>
        </w:rPr>
        <w:t>.</w:t>
      </w:r>
      <w:r w:rsidR="009564C3" w:rsidRPr="00DA2C5E">
        <w:rPr>
          <w:rFonts w:cs="Times New Roman"/>
        </w:rPr>
        <w:tab/>
        <w:t>The survey results indicate</w:t>
      </w:r>
      <w:r w:rsidR="00F20945" w:rsidRPr="00DA2C5E">
        <w:rPr>
          <w:rFonts w:cs="Times New Roman"/>
        </w:rPr>
        <w:t>d</w:t>
      </w:r>
      <w:r w:rsidR="009564C3" w:rsidRPr="00DA2C5E">
        <w:rPr>
          <w:rFonts w:cs="Times New Roman"/>
        </w:rPr>
        <w:t xml:space="preserve"> strong recognition in relation to </w:t>
      </w:r>
      <w:r w:rsidR="009052BB" w:rsidRPr="00DA2C5E">
        <w:rPr>
          <w:rFonts w:cs="Times New Roman"/>
        </w:rPr>
        <w:t>G</w:t>
      </w:r>
      <w:r w:rsidR="009564C3" w:rsidRPr="00DA2C5E">
        <w:rPr>
          <w:rFonts w:cs="Times New Roman"/>
        </w:rPr>
        <w:t xml:space="preserve">oals </w:t>
      </w:r>
      <w:r w:rsidR="009564C3" w:rsidRPr="00DA2C5E">
        <w:rPr>
          <w:szCs w:val="20"/>
        </w:rPr>
        <w:t xml:space="preserve">3, 9, 11, 16 and 17; and increasing </w:t>
      </w:r>
      <w:r w:rsidR="003B7E93">
        <w:rPr>
          <w:szCs w:val="20"/>
        </w:rPr>
        <w:t xml:space="preserve">recognition of </w:t>
      </w:r>
      <w:r w:rsidR="009564C3" w:rsidRPr="00DA2C5E">
        <w:rPr>
          <w:szCs w:val="20"/>
        </w:rPr>
        <w:t xml:space="preserve">expertise in relation to </w:t>
      </w:r>
      <w:r w:rsidR="009052BB" w:rsidRPr="00DA2C5E">
        <w:rPr>
          <w:szCs w:val="20"/>
        </w:rPr>
        <w:t>G</w:t>
      </w:r>
      <w:r w:rsidR="009564C3" w:rsidRPr="00DA2C5E">
        <w:rPr>
          <w:szCs w:val="20"/>
        </w:rPr>
        <w:t xml:space="preserve">oals 1, 6, 7, 8 and 13. The survey </w:t>
      </w:r>
      <w:r w:rsidR="009564C3" w:rsidRPr="00DA2C5E">
        <w:rPr>
          <w:color w:val="27251F"/>
          <w:szCs w:val="20"/>
        </w:rPr>
        <w:t>also reveal</w:t>
      </w:r>
      <w:r w:rsidR="00F20945" w:rsidRPr="00DA2C5E">
        <w:rPr>
          <w:color w:val="27251F"/>
          <w:szCs w:val="20"/>
        </w:rPr>
        <w:t>ed</w:t>
      </w:r>
      <w:r w:rsidR="009564C3" w:rsidRPr="00DA2C5E">
        <w:rPr>
          <w:color w:val="27251F"/>
          <w:szCs w:val="20"/>
        </w:rPr>
        <w:t xml:space="preserve"> that more than half of the respondents attach</w:t>
      </w:r>
      <w:r w:rsidR="00A23699" w:rsidRPr="00DA2C5E">
        <w:rPr>
          <w:color w:val="27251F"/>
          <w:szCs w:val="20"/>
        </w:rPr>
        <w:t>ed</w:t>
      </w:r>
      <w:r w:rsidR="009564C3" w:rsidRPr="00DA2C5E">
        <w:rPr>
          <w:color w:val="27251F"/>
          <w:szCs w:val="20"/>
        </w:rPr>
        <w:t xml:space="preserve"> particular priority to </w:t>
      </w:r>
      <w:r w:rsidR="009052BB" w:rsidRPr="00DA2C5E">
        <w:rPr>
          <w:color w:val="27251F"/>
          <w:szCs w:val="20"/>
        </w:rPr>
        <w:t>G</w:t>
      </w:r>
      <w:r w:rsidR="009564C3" w:rsidRPr="00DA2C5E">
        <w:rPr>
          <w:color w:val="27251F"/>
          <w:szCs w:val="20"/>
        </w:rPr>
        <w:t xml:space="preserve">oal 5 </w:t>
      </w:r>
      <w:r w:rsidR="00052268" w:rsidRPr="00DA2C5E">
        <w:rPr>
          <w:color w:val="27251F"/>
          <w:szCs w:val="20"/>
        </w:rPr>
        <w:t>‘gender equality</w:t>
      </w:r>
      <w:r w:rsidR="00F20945" w:rsidRPr="00DA2C5E">
        <w:rPr>
          <w:color w:val="27251F"/>
          <w:szCs w:val="20"/>
        </w:rPr>
        <w:t>’,</w:t>
      </w:r>
      <w:r w:rsidR="00052268" w:rsidRPr="00DA2C5E">
        <w:rPr>
          <w:color w:val="27251F"/>
          <w:szCs w:val="20"/>
        </w:rPr>
        <w:t xml:space="preserve"> </w:t>
      </w:r>
      <w:r w:rsidR="009564C3" w:rsidRPr="00DA2C5E">
        <w:rPr>
          <w:color w:val="27251F"/>
          <w:szCs w:val="20"/>
        </w:rPr>
        <w:t>confirming the relevance attached by UNOPS to gender mainstreaming in its implementation projects.</w:t>
      </w:r>
    </w:p>
    <w:p w14:paraId="7F61B307" w14:textId="77777777" w:rsidR="00E70382" w:rsidRPr="00DA2C5E" w:rsidRDefault="00E70382" w:rsidP="00E70382">
      <w:pPr>
        <w:tabs>
          <w:tab w:val="clear" w:pos="425"/>
          <w:tab w:val="left" w:pos="426"/>
        </w:tabs>
        <w:spacing w:after="60"/>
        <w:rPr>
          <w:rFonts w:cs="Times New Roman"/>
        </w:rPr>
      </w:pPr>
      <w:r w:rsidRPr="00DA2C5E">
        <w:rPr>
          <w:rFonts w:cs="Times New Roman"/>
        </w:rPr>
        <w:br w:type="page"/>
      </w:r>
    </w:p>
    <w:tbl>
      <w:tblPr>
        <w:tblW w:w="8799" w:type="dxa"/>
        <w:tblInd w:w="-10" w:type="dxa"/>
        <w:tblLook w:val="04A0" w:firstRow="1" w:lastRow="0" w:firstColumn="1" w:lastColumn="0" w:noHBand="0" w:noVBand="1"/>
      </w:tblPr>
      <w:tblGrid>
        <w:gridCol w:w="284"/>
        <w:gridCol w:w="279"/>
        <w:gridCol w:w="3018"/>
        <w:gridCol w:w="539"/>
        <w:gridCol w:w="539"/>
        <w:gridCol w:w="931"/>
        <w:gridCol w:w="930"/>
        <w:gridCol w:w="2279"/>
      </w:tblGrid>
      <w:tr w:rsidR="00E70382" w:rsidRPr="00DA2C5E" w14:paraId="18D31604" w14:textId="77777777" w:rsidTr="002F08E7">
        <w:trPr>
          <w:trHeight w:val="46"/>
        </w:trPr>
        <w:tc>
          <w:tcPr>
            <w:tcW w:w="8799" w:type="dxa"/>
            <w:gridSpan w:val="8"/>
            <w:tcBorders>
              <w:bottom w:val="single" w:sz="4" w:space="0" w:color="auto"/>
            </w:tcBorders>
            <w:shd w:val="clear" w:color="auto" w:fill="auto"/>
            <w:noWrap/>
            <w:vAlign w:val="center"/>
            <w:hideMark/>
          </w:tcPr>
          <w:p w14:paraId="621DFFAA" w14:textId="77777777" w:rsidR="00E70382" w:rsidRPr="00E00EA6" w:rsidRDefault="00E70382" w:rsidP="002F08E7">
            <w:pPr>
              <w:rPr>
                <w:rFonts w:eastAsia="Times New Roman" w:cs="Times New Roman"/>
                <w:b/>
                <w:bCs/>
                <w:color w:val="000000"/>
                <w:szCs w:val="20"/>
              </w:rPr>
            </w:pPr>
            <w:r w:rsidRPr="00E00EA6">
              <w:rPr>
                <w:rFonts w:eastAsia="Times New Roman" w:cs="Times New Roman"/>
                <w:b/>
                <w:bCs/>
                <w:color w:val="000000"/>
                <w:szCs w:val="20"/>
              </w:rPr>
              <w:t>Table 1: Framework for sustainable implementation approaches</w:t>
            </w:r>
          </w:p>
          <w:p w14:paraId="33E5FACB" w14:textId="77777777" w:rsidR="00E70382" w:rsidRPr="00DA2C5E" w:rsidRDefault="00E70382" w:rsidP="002F08E7">
            <w:pPr>
              <w:rPr>
                <w:rFonts w:eastAsia="Times New Roman" w:cs="Times New Roman"/>
                <w:b/>
                <w:bCs/>
                <w:color w:val="000000"/>
                <w:sz w:val="16"/>
                <w:szCs w:val="16"/>
              </w:rPr>
            </w:pPr>
          </w:p>
        </w:tc>
      </w:tr>
      <w:tr w:rsidR="00E70382" w:rsidRPr="00DA2C5E" w14:paraId="0CCC0B1C" w14:textId="77777777" w:rsidTr="002F08E7">
        <w:trPr>
          <w:trHeight w:val="66"/>
        </w:trPr>
        <w:tc>
          <w:tcPr>
            <w:tcW w:w="3581" w:type="dxa"/>
            <w:gridSpan w:val="3"/>
            <w:tcBorders>
              <w:top w:val="single" w:sz="4" w:space="0" w:color="auto"/>
              <w:left w:val="single" w:sz="8" w:space="0" w:color="000000"/>
              <w:bottom w:val="nil"/>
              <w:right w:val="nil"/>
            </w:tcBorders>
            <w:shd w:val="clear" w:color="auto" w:fill="auto"/>
            <w:noWrap/>
            <w:vAlign w:val="bottom"/>
          </w:tcPr>
          <w:p w14:paraId="750049E1" w14:textId="77777777" w:rsidR="00E70382" w:rsidRPr="00DA2C5E" w:rsidRDefault="00E70382" w:rsidP="002F08E7">
            <w:pPr>
              <w:rPr>
                <w:rFonts w:eastAsia="Times New Roman" w:cs="Times New Roman"/>
                <w:b/>
                <w:i/>
                <w:iCs/>
                <w:color w:val="000000"/>
                <w:sz w:val="16"/>
                <w:szCs w:val="16"/>
              </w:rPr>
            </w:pPr>
            <w:r w:rsidRPr="00DA2C5E">
              <w:rPr>
                <w:rFonts w:eastAsia="Times New Roman" w:cs="Times New Roman"/>
                <w:b/>
                <w:i/>
                <w:iCs/>
                <w:color w:val="000000"/>
                <w:sz w:val="16"/>
                <w:szCs w:val="16"/>
              </w:rPr>
              <w:t>Dimensions of sustainability</w:t>
            </w:r>
          </w:p>
        </w:tc>
        <w:tc>
          <w:tcPr>
            <w:tcW w:w="539" w:type="dxa"/>
            <w:tcBorders>
              <w:top w:val="single" w:sz="4" w:space="0" w:color="auto"/>
              <w:left w:val="nil"/>
              <w:bottom w:val="nil"/>
              <w:right w:val="nil"/>
            </w:tcBorders>
            <w:shd w:val="clear" w:color="auto" w:fill="auto"/>
            <w:noWrap/>
            <w:vAlign w:val="bottom"/>
          </w:tcPr>
          <w:p w14:paraId="271F1FF2" w14:textId="77777777" w:rsidR="00E70382" w:rsidRPr="00DA2C5E" w:rsidRDefault="00E70382" w:rsidP="002F08E7">
            <w:pPr>
              <w:rPr>
                <w:rFonts w:eastAsia="Times New Roman" w:cs="Times New Roman"/>
                <w:i/>
                <w:iCs/>
                <w:color w:val="000000"/>
                <w:sz w:val="16"/>
                <w:szCs w:val="16"/>
              </w:rPr>
            </w:pPr>
          </w:p>
        </w:tc>
        <w:tc>
          <w:tcPr>
            <w:tcW w:w="539" w:type="dxa"/>
            <w:tcBorders>
              <w:top w:val="single" w:sz="4" w:space="0" w:color="auto"/>
              <w:left w:val="nil"/>
              <w:bottom w:val="nil"/>
              <w:right w:val="nil"/>
            </w:tcBorders>
            <w:shd w:val="clear" w:color="auto" w:fill="auto"/>
            <w:noWrap/>
            <w:vAlign w:val="bottom"/>
          </w:tcPr>
          <w:p w14:paraId="70194D45" w14:textId="77777777" w:rsidR="00E70382" w:rsidRPr="00DA2C5E" w:rsidRDefault="00E70382" w:rsidP="002F08E7">
            <w:pPr>
              <w:rPr>
                <w:rFonts w:eastAsia="Times New Roman" w:cs="Times New Roman"/>
                <w:sz w:val="16"/>
                <w:szCs w:val="16"/>
              </w:rPr>
            </w:pPr>
          </w:p>
        </w:tc>
        <w:tc>
          <w:tcPr>
            <w:tcW w:w="931" w:type="dxa"/>
            <w:tcBorders>
              <w:top w:val="single" w:sz="4" w:space="0" w:color="auto"/>
              <w:left w:val="nil"/>
              <w:bottom w:val="nil"/>
              <w:right w:val="nil"/>
            </w:tcBorders>
            <w:shd w:val="clear" w:color="auto" w:fill="auto"/>
            <w:noWrap/>
            <w:vAlign w:val="bottom"/>
          </w:tcPr>
          <w:p w14:paraId="15B63F6A" w14:textId="77777777" w:rsidR="00E70382" w:rsidRPr="00DA2C5E" w:rsidRDefault="00E70382" w:rsidP="002F08E7">
            <w:pPr>
              <w:rPr>
                <w:rFonts w:eastAsia="Times New Roman" w:cs="Times New Roman"/>
                <w:sz w:val="16"/>
                <w:szCs w:val="16"/>
              </w:rPr>
            </w:pPr>
          </w:p>
        </w:tc>
        <w:tc>
          <w:tcPr>
            <w:tcW w:w="930" w:type="dxa"/>
            <w:tcBorders>
              <w:top w:val="single" w:sz="4" w:space="0" w:color="auto"/>
              <w:left w:val="nil"/>
              <w:bottom w:val="nil"/>
              <w:right w:val="nil"/>
            </w:tcBorders>
            <w:shd w:val="clear" w:color="auto" w:fill="auto"/>
            <w:noWrap/>
            <w:vAlign w:val="bottom"/>
          </w:tcPr>
          <w:p w14:paraId="0BAB75FD" w14:textId="77777777" w:rsidR="00E70382" w:rsidRPr="00DA2C5E" w:rsidRDefault="00E70382" w:rsidP="002F08E7">
            <w:pPr>
              <w:rPr>
                <w:rFonts w:eastAsia="Times New Roman" w:cs="Times New Roman"/>
                <w:sz w:val="16"/>
                <w:szCs w:val="16"/>
              </w:rPr>
            </w:pPr>
          </w:p>
        </w:tc>
        <w:tc>
          <w:tcPr>
            <w:tcW w:w="2279" w:type="dxa"/>
            <w:tcBorders>
              <w:top w:val="single" w:sz="4" w:space="0" w:color="auto"/>
              <w:left w:val="nil"/>
              <w:bottom w:val="nil"/>
              <w:right w:val="single" w:sz="8" w:space="0" w:color="000000"/>
            </w:tcBorders>
            <w:shd w:val="clear" w:color="auto" w:fill="auto"/>
            <w:noWrap/>
            <w:vAlign w:val="bottom"/>
          </w:tcPr>
          <w:p w14:paraId="4BDA3264" w14:textId="77777777" w:rsidR="00E70382" w:rsidRPr="00DA2C5E" w:rsidRDefault="00E70382" w:rsidP="002F08E7">
            <w:pPr>
              <w:rPr>
                <w:rFonts w:ascii="Calibri" w:eastAsia="Times New Roman" w:hAnsi="Calibri" w:cs="Calibri"/>
                <w:color w:val="000000"/>
                <w:sz w:val="16"/>
                <w:szCs w:val="16"/>
              </w:rPr>
            </w:pPr>
          </w:p>
        </w:tc>
      </w:tr>
      <w:tr w:rsidR="00E70382" w:rsidRPr="00DA2C5E" w14:paraId="46B58627" w14:textId="77777777" w:rsidTr="002F08E7">
        <w:trPr>
          <w:trHeight w:val="66"/>
        </w:trPr>
        <w:tc>
          <w:tcPr>
            <w:tcW w:w="284" w:type="dxa"/>
            <w:tcBorders>
              <w:top w:val="nil"/>
              <w:left w:val="single" w:sz="8" w:space="0" w:color="000000"/>
              <w:bottom w:val="nil"/>
              <w:right w:val="nil"/>
            </w:tcBorders>
            <w:shd w:val="clear" w:color="auto" w:fill="auto"/>
            <w:noWrap/>
            <w:vAlign w:val="bottom"/>
            <w:hideMark/>
          </w:tcPr>
          <w:p w14:paraId="0AD2F06A" w14:textId="77777777" w:rsidR="00E70382" w:rsidRPr="00DA2C5E" w:rsidRDefault="00E70382" w:rsidP="002F08E7">
            <w:pPr>
              <w:rPr>
                <w:rFonts w:ascii="Calibri" w:eastAsia="Times New Roman" w:hAnsi="Calibri" w:cs="Calibri"/>
                <w:color w:val="000000"/>
                <w:sz w:val="16"/>
                <w:szCs w:val="16"/>
              </w:rPr>
            </w:pPr>
            <w:r w:rsidRPr="00DA2C5E">
              <w:rPr>
                <w:rFonts w:ascii="Calibri" w:eastAsia="Times New Roman" w:hAnsi="Calibri" w:cs="Calibri"/>
                <w:color w:val="000000"/>
                <w:sz w:val="16"/>
                <w:szCs w:val="16"/>
              </w:rPr>
              <w:t> </w:t>
            </w:r>
          </w:p>
        </w:tc>
        <w:tc>
          <w:tcPr>
            <w:tcW w:w="3297" w:type="dxa"/>
            <w:gridSpan w:val="2"/>
            <w:tcBorders>
              <w:top w:val="nil"/>
              <w:left w:val="nil"/>
              <w:bottom w:val="nil"/>
              <w:right w:val="nil"/>
            </w:tcBorders>
            <w:shd w:val="clear" w:color="auto" w:fill="auto"/>
            <w:noWrap/>
            <w:vAlign w:val="center"/>
            <w:hideMark/>
          </w:tcPr>
          <w:p w14:paraId="595DD1AC" w14:textId="77777777" w:rsidR="00E70382" w:rsidRPr="00DA2C5E" w:rsidRDefault="00E70382" w:rsidP="002F08E7">
            <w:pPr>
              <w:rPr>
                <w:rFonts w:eastAsia="Times New Roman" w:cs="Times New Roman"/>
                <w:i/>
                <w:iCs/>
                <w:color w:val="000000"/>
                <w:sz w:val="16"/>
                <w:szCs w:val="16"/>
              </w:rPr>
            </w:pPr>
            <w:r w:rsidRPr="00DA2C5E">
              <w:rPr>
                <w:rFonts w:eastAsia="Times New Roman" w:cs="Times New Roman"/>
                <w:i/>
                <w:iCs/>
                <w:color w:val="000000"/>
                <w:sz w:val="16"/>
                <w:szCs w:val="16"/>
              </w:rPr>
              <w:t>Sub-dimensions of sustainability</w:t>
            </w:r>
          </w:p>
        </w:tc>
        <w:tc>
          <w:tcPr>
            <w:tcW w:w="539" w:type="dxa"/>
            <w:tcBorders>
              <w:top w:val="nil"/>
              <w:left w:val="nil"/>
              <w:bottom w:val="nil"/>
              <w:right w:val="nil"/>
            </w:tcBorders>
            <w:shd w:val="clear" w:color="auto" w:fill="auto"/>
            <w:noWrap/>
            <w:vAlign w:val="bottom"/>
            <w:hideMark/>
          </w:tcPr>
          <w:p w14:paraId="7F41920A" w14:textId="77777777" w:rsidR="00E70382" w:rsidRPr="00DA2C5E" w:rsidRDefault="00E70382" w:rsidP="002F08E7">
            <w:pPr>
              <w:rPr>
                <w:rFonts w:eastAsia="Times New Roman" w:cs="Times New Roman"/>
                <w:i/>
                <w:iCs/>
                <w:color w:val="000000"/>
                <w:sz w:val="16"/>
                <w:szCs w:val="16"/>
              </w:rPr>
            </w:pPr>
          </w:p>
        </w:tc>
        <w:tc>
          <w:tcPr>
            <w:tcW w:w="539" w:type="dxa"/>
            <w:tcBorders>
              <w:top w:val="nil"/>
              <w:left w:val="nil"/>
              <w:bottom w:val="nil"/>
              <w:right w:val="nil"/>
            </w:tcBorders>
            <w:shd w:val="clear" w:color="auto" w:fill="auto"/>
            <w:noWrap/>
            <w:vAlign w:val="bottom"/>
            <w:hideMark/>
          </w:tcPr>
          <w:p w14:paraId="118C92AE" w14:textId="77777777" w:rsidR="00E70382" w:rsidRPr="00DA2C5E" w:rsidRDefault="00E70382" w:rsidP="002F08E7">
            <w:pPr>
              <w:rPr>
                <w:rFonts w:eastAsia="Times New Roman" w:cs="Times New Roman"/>
                <w:sz w:val="16"/>
                <w:szCs w:val="16"/>
              </w:rPr>
            </w:pPr>
          </w:p>
        </w:tc>
        <w:tc>
          <w:tcPr>
            <w:tcW w:w="931" w:type="dxa"/>
            <w:tcBorders>
              <w:top w:val="nil"/>
              <w:left w:val="nil"/>
              <w:bottom w:val="nil"/>
              <w:right w:val="nil"/>
            </w:tcBorders>
            <w:shd w:val="clear" w:color="auto" w:fill="auto"/>
            <w:noWrap/>
            <w:vAlign w:val="bottom"/>
            <w:hideMark/>
          </w:tcPr>
          <w:p w14:paraId="58E3D93A" w14:textId="77777777" w:rsidR="00E70382" w:rsidRPr="00DA2C5E" w:rsidRDefault="00E70382" w:rsidP="002F08E7">
            <w:pPr>
              <w:rPr>
                <w:rFonts w:eastAsia="Times New Roman" w:cs="Times New Roman"/>
                <w:sz w:val="16"/>
                <w:szCs w:val="16"/>
              </w:rPr>
            </w:pPr>
          </w:p>
        </w:tc>
        <w:tc>
          <w:tcPr>
            <w:tcW w:w="930" w:type="dxa"/>
            <w:tcBorders>
              <w:top w:val="nil"/>
              <w:left w:val="nil"/>
              <w:bottom w:val="nil"/>
              <w:right w:val="nil"/>
            </w:tcBorders>
            <w:shd w:val="clear" w:color="auto" w:fill="auto"/>
            <w:noWrap/>
            <w:vAlign w:val="bottom"/>
            <w:hideMark/>
          </w:tcPr>
          <w:p w14:paraId="381172DE" w14:textId="77777777" w:rsidR="00E70382" w:rsidRPr="00DA2C5E" w:rsidRDefault="00E70382" w:rsidP="002F08E7">
            <w:pPr>
              <w:rPr>
                <w:rFonts w:eastAsia="Times New Roman" w:cs="Times New Roman"/>
                <w:sz w:val="16"/>
                <w:szCs w:val="16"/>
              </w:rPr>
            </w:pPr>
          </w:p>
        </w:tc>
        <w:tc>
          <w:tcPr>
            <w:tcW w:w="2279" w:type="dxa"/>
            <w:tcBorders>
              <w:top w:val="nil"/>
              <w:left w:val="nil"/>
              <w:bottom w:val="nil"/>
              <w:right w:val="single" w:sz="8" w:space="0" w:color="000000"/>
            </w:tcBorders>
            <w:shd w:val="clear" w:color="auto" w:fill="auto"/>
            <w:noWrap/>
            <w:vAlign w:val="bottom"/>
            <w:hideMark/>
          </w:tcPr>
          <w:p w14:paraId="10707E9A" w14:textId="77777777" w:rsidR="00E70382" w:rsidRPr="00DA2C5E" w:rsidRDefault="00E70382" w:rsidP="002F08E7">
            <w:pPr>
              <w:rPr>
                <w:rFonts w:ascii="Calibri" w:eastAsia="Times New Roman" w:hAnsi="Calibri" w:cs="Calibri"/>
                <w:color w:val="000000"/>
                <w:sz w:val="16"/>
                <w:szCs w:val="16"/>
              </w:rPr>
            </w:pPr>
            <w:r w:rsidRPr="00DA2C5E">
              <w:rPr>
                <w:rFonts w:ascii="Calibri" w:eastAsia="Times New Roman" w:hAnsi="Calibri" w:cs="Calibri"/>
                <w:color w:val="000000"/>
                <w:sz w:val="16"/>
                <w:szCs w:val="16"/>
              </w:rPr>
              <w:t> </w:t>
            </w:r>
          </w:p>
        </w:tc>
      </w:tr>
      <w:tr w:rsidR="00E70382" w:rsidRPr="00DA2C5E" w14:paraId="285C96E8" w14:textId="77777777" w:rsidTr="002F08E7">
        <w:trPr>
          <w:trHeight w:val="66"/>
        </w:trPr>
        <w:tc>
          <w:tcPr>
            <w:tcW w:w="284" w:type="dxa"/>
            <w:tcBorders>
              <w:top w:val="nil"/>
              <w:left w:val="single" w:sz="8" w:space="0" w:color="000000"/>
              <w:bottom w:val="single" w:sz="8" w:space="0" w:color="000000"/>
              <w:right w:val="nil"/>
            </w:tcBorders>
            <w:shd w:val="clear" w:color="auto" w:fill="auto"/>
            <w:noWrap/>
            <w:vAlign w:val="bottom"/>
            <w:hideMark/>
          </w:tcPr>
          <w:p w14:paraId="3CE86674" w14:textId="77777777" w:rsidR="00E70382" w:rsidRPr="00DA2C5E" w:rsidRDefault="00E70382" w:rsidP="002F08E7">
            <w:pPr>
              <w:rPr>
                <w:rFonts w:ascii="Calibri" w:eastAsia="Times New Roman" w:hAnsi="Calibri" w:cs="Calibri"/>
                <w:color w:val="000000"/>
                <w:sz w:val="16"/>
                <w:szCs w:val="16"/>
              </w:rPr>
            </w:pPr>
            <w:r w:rsidRPr="00DA2C5E">
              <w:rPr>
                <w:rFonts w:ascii="Calibri" w:eastAsia="Times New Roman" w:hAnsi="Calibri" w:cs="Calibri"/>
                <w:color w:val="000000"/>
                <w:sz w:val="16"/>
                <w:szCs w:val="16"/>
              </w:rPr>
              <w:t> </w:t>
            </w:r>
          </w:p>
        </w:tc>
        <w:tc>
          <w:tcPr>
            <w:tcW w:w="279" w:type="dxa"/>
            <w:tcBorders>
              <w:top w:val="nil"/>
              <w:left w:val="nil"/>
              <w:bottom w:val="single" w:sz="8" w:space="0" w:color="000000"/>
              <w:right w:val="nil"/>
            </w:tcBorders>
            <w:shd w:val="clear" w:color="auto" w:fill="auto"/>
            <w:noWrap/>
            <w:vAlign w:val="center"/>
            <w:hideMark/>
          </w:tcPr>
          <w:p w14:paraId="3AAF3347" w14:textId="77777777" w:rsidR="00E70382" w:rsidRPr="00DA2C5E" w:rsidRDefault="00E70382" w:rsidP="002F08E7">
            <w:pPr>
              <w:rPr>
                <w:rFonts w:eastAsia="Times New Roman" w:cs="Times New Roman"/>
                <w:color w:val="000000"/>
                <w:sz w:val="16"/>
                <w:szCs w:val="16"/>
              </w:rPr>
            </w:pPr>
            <w:r w:rsidRPr="00DA2C5E">
              <w:rPr>
                <w:rFonts w:eastAsia="Times New Roman" w:cs="Times New Roman"/>
                <w:color w:val="000000"/>
                <w:sz w:val="16"/>
                <w:szCs w:val="16"/>
              </w:rPr>
              <w:t> </w:t>
            </w:r>
          </w:p>
        </w:tc>
        <w:tc>
          <w:tcPr>
            <w:tcW w:w="3018" w:type="dxa"/>
            <w:tcBorders>
              <w:top w:val="nil"/>
              <w:left w:val="nil"/>
              <w:bottom w:val="single" w:sz="8" w:space="0" w:color="000000"/>
              <w:right w:val="nil"/>
            </w:tcBorders>
            <w:shd w:val="clear" w:color="auto" w:fill="auto"/>
            <w:noWrap/>
            <w:vAlign w:val="center"/>
            <w:hideMark/>
          </w:tcPr>
          <w:p w14:paraId="6E4EFB0A" w14:textId="77777777" w:rsidR="00E70382" w:rsidRPr="00DA2C5E" w:rsidRDefault="00E70382" w:rsidP="002F08E7">
            <w:pPr>
              <w:rPr>
                <w:rFonts w:eastAsia="Times New Roman" w:cs="Times New Roman"/>
                <w:color w:val="000000"/>
                <w:sz w:val="16"/>
                <w:szCs w:val="16"/>
              </w:rPr>
            </w:pPr>
            <w:r w:rsidRPr="00DA2C5E">
              <w:rPr>
                <w:rFonts w:eastAsia="Times New Roman" w:cs="Times New Roman"/>
                <w:color w:val="000000"/>
                <w:sz w:val="16"/>
                <w:szCs w:val="16"/>
              </w:rPr>
              <w:t>Indicators, baselines and ambitions</w:t>
            </w:r>
          </w:p>
        </w:tc>
        <w:tc>
          <w:tcPr>
            <w:tcW w:w="539" w:type="dxa"/>
            <w:tcBorders>
              <w:top w:val="nil"/>
              <w:left w:val="nil"/>
              <w:bottom w:val="single" w:sz="8" w:space="0" w:color="000000"/>
              <w:right w:val="nil"/>
            </w:tcBorders>
            <w:shd w:val="clear" w:color="auto" w:fill="auto"/>
            <w:vAlign w:val="center"/>
          </w:tcPr>
          <w:p w14:paraId="67019D13" w14:textId="77777777" w:rsidR="00E70382" w:rsidRPr="00DA2C5E" w:rsidRDefault="00E70382" w:rsidP="002F08E7">
            <w:pPr>
              <w:jc w:val="center"/>
              <w:rPr>
                <w:rFonts w:eastAsia="Times New Roman" w:cs="Times New Roman"/>
                <w:i/>
                <w:iCs/>
                <w:sz w:val="16"/>
                <w:szCs w:val="16"/>
              </w:rPr>
            </w:pPr>
          </w:p>
        </w:tc>
        <w:tc>
          <w:tcPr>
            <w:tcW w:w="539" w:type="dxa"/>
            <w:tcBorders>
              <w:top w:val="nil"/>
              <w:left w:val="nil"/>
              <w:bottom w:val="single" w:sz="8" w:space="0" w:color="000000"/>
              <w:right w:val="nil"/>
            </w:tcBorders>
            <w:shd w:val="clear" w:color="auto" w:fill="auto"/>
            <w:vAlign w:val="center"/>
          </w:tcPr>
          <w:p w14:paraId="43F3D837" w14:textId="77777777" w:rsidR="00E70382" w:rsidRPr="00DA2C5E" w:rsidRDefault="00E70382" w:rsidP="002F08E7">
            <w:pPr>
              <w:jc w:val="center"/>
              <w:rPr>
                <w:rFonts w:eastAsia="Times New Roman" w:cs="Times New Roman"/>
                <w:i/>
                <w:iCs/>
                <w:sz w:val="16"/>
                <w:szCs w:val="16"/>
              </w:rPr>
            </w:pPr>
          </w:p>
        </w:tc>
        <w:tc>
          <w:tcPr>
            <w:tcW w:w="931" w:type="dxa"/>
            <w:tcBorders>
              <w:top w:val="nil"/>
              <w:left w:val="nil"/>
              <w:bottom w:val="single" w:sz="8" w:space="0" w:color="000000"/>
              <w:right w:val="nil"/>
            </w:tcBorders>
            <w:shd w:val="clear" w:color="auto" w:fill="auto"/>
            <w:vAlign w:val="center"/>
            <w:hideMark/>
          </w:tcPr>
          <w:p w14:paraId="7CBA888C" w14:textId="77777777" w:rsidR="00E70382" w:rsidRPr="00DA2C5E" w:rsidRDefault="00E70382" w:rsidP="002F08E7">
            <w:pPr>
              <w:jc w:val="center"/>
              <w:rPr>
                <w:rFonts w:eastAsia="Times New Roman" w:cs="Times New Roman"/>
                <w:i/>
                <w:iCs/>
                <w:color w:val="000000"/>
                <w:sz w:val="16"/>
                <w:szCs w:val="16"/>
              </w:rPr>
            </w:pPr>
            <w:r w:rsidRPr="00DA2C5E">
              <w:rPr>
                <w:rFonts w:eastAsia="Times New Roman" w:cs="Times New Roman"/>
                <w:i/>
                <w:iCs/>
                <w:color w:val="000000"/>
                <w:sz w:val="16"/>
                <w:szCs w:val="16"/>
              </w:rPr>
              <w:t>2019 baseline</w:t>
            </w:r>
          </w:p>
        </w:tc>
        <w:tc>
          <w:tcPr>
            <w:tcW w:w="930" w:type="dxa"/>
            <w:tcBorders>
              <w:top w:val="nil"/>
              <w:left w:val="nil"/>
              <w:bottom w:val="single" w:sz="8" w:space="0" w:color="000000"/>
              <w:right w:val="nil"/>
            </w:tcBorders>
            <w:shd w:val="clear" w:color="auto" w:fill="auto"/>
            <w:vAlign w:val="center"/>
            <w:hideMark/>
          </w:tcPr>
          <w:p w14:paraId="1B156982" w14:textId="77777777" w:rsidR="00E70382" w:rsidRPr="00DA2C5E" w:rsidRDefault="00E70382" w:rsidP="002F08E7">
            <w:pPr>
              <w:jc w:val="center"/>
              <w:rPr>
                <w:rFonts w:eastAsia="Times New Roman" w:cs="Times New Roman"/>
                <w:i/>
                <w:iCs/>
                <w:color w:val="000000"/>
                <w:sz w:val="16"/>
                <w:szCs w:val="16"/>
              </w:rPr>
            </w:pPr>
            <w:r w:rsidRPr="00DA2C5E">
              <w:rPr>
                <w:rFonts w:eastAsia="Times New Roman" w:cs="Times New Roman"/>
                <w:i/>
                <w:iCs/>
                <w:color w:val="000000"/>
                <w:sz w:val="16"/>
                <w:szCs w:val="16"/>
              </w:rPr>
              <w:t>2020-2021 ambition</w:t>
            </w:r>
          </w:p>
        </w:tc>
        <w:tc>
          <w:tcPr>
            <w:tcW w:w="2279" w:type="dxa"/>
            <w:tcBorders>
              <w:top w:val="nil"/>
              <w:left w:val="nil"/>
              <w:bottom w:val="single" w:sz="8" w:space="0" w:color="000000"/>
              <w:right w:val="single" w:sz="8" w:space="0" w:color="000000"/>
            </w:tcBorders>
            <w:shd w:val="clear" w:color="auto" w:fill="auto"/>
            <w:vAlign w:val="center"/>
            <w:hideMark/>
          </w:tcPr>
          <w:p w14:paraId="1F7D6371" w14:textId="77777777" w:rsidR="00E70382" w:rsidRPr="00DA2C5E" w:rsidRDefault="00E70382" w:rsidP="002F08E7">
            <w:pPr>
              <w:jc w:val="center"/>
              <w:rPr>
                <w:rFonts w:eastAsia="Times New Roman" w:cs="Times New Roman"/>
                <w:i/>
                <w:iCs/>
                <w:color w:val="000000"/>
                <w:sz w:val="16"/>
                <w:szCs w:val="16"/>
              </w:rPr>
            </w:pPr>
            <w:r w:rsidRPr="00DA2C5E">
              <w:rPr>
                <w:rFonts w:eastAsia="Times New Roman" w:cs="Times New Roman"/>
                <w:i/>
                <w:iCs/>
                <w:color w:val="000000"/>
                <w:sz w:val="16"/>
                <w:szCs w:val="16"/>
              </w:rPr>
              <w:t>Reporting standards</w:t>
            </w:r>
          </w:p>
        </w:tc>
      </w:tr>
      <w:tr w:rsidR="00E70382" w:rsidRPr="00DA2C5E" w14:paraId="48F1F58E" w14:textId="77777777" w:rsidTr="002F08E7">
        <w:trPr>
          <w:trHeight w:val="46"/>
        </w:trPr>
        <w:tc>
          <w:tcPr>
            <w:tcW w:w="3581" w:type="dxa"/>
            <w:gridSpan w:val="3"/>
            <w:tcBorders>
              <w:top w:val="single" w:sz="8" w:space="0" w:color="000000"/>
              <w:left w:val="single" w:sz="8" w:space="0" w:color="000000"/>
              <w:bottom w:val="nil"/>
              <w:right w:val="nil"/>
            </w:tcBorders>
            <w:shd w:val="clear" w:color="auto" w:fill="auto"/>
            <w:noWrap/>
            <w:vAlign w:val="center"/>
            <w:hideMark/>
          </w:tcPr>
          <w:p w14:paraId="0316063F" w14:textId="77777777" w:rsidR="00E70382" w:rsidRPr="00E00EA6" w:rsidRDefault="00E70382" w:rsidP="002F08E7">
            <w:pPr>
              <w:jc w:val="left"/>
              <w:rPr>
                <w:rFonts w:eastAsia="Times New Roman" w:cs="Times New Roman"/>
                <w:b/>
                <w:bCs/>
                <w:i/>
                <w:color w:val="000000"/>
                <w:sz w:val="4"/>
                <w:szCs w:val="4"/>
              </w:rPr>
            </w:pPr>
          </w:p>
          <w:p w14:paraId="7EFA48B1" w14:textId="77777777" w:rsidR="00E70382" w:rsidRPr="00DA2C5E" w:rsidRDefault="00E70382" w:rsidP="002F08E7">
            <w:pPr>
              <w:jc w:val="left"/>
              <w:rPr>
                <w:rFonts w:eastAsia="Times New Roman" w:cs="Times New Roman"/>
                <w:b/>
                <w:bCs/>
                <w:i/>
                <w:color w:val="000000"/>
                <w:sz w:val="16"/>
                <w:szCs w:val="16"/>
              </w:rPr>
            </w:pPr>
            <w:r w:rsidRPr="00DA2C5E">
              <w:rPr>
                <w:rFonts w:eastAsia="Times New Roman" w:cs="Times New Roman"/>
                <w:b/>
                <w:bCs/>
                <w:i/>
                <w:color w:val="000000"/>
                <w:sz w:val="16"/>
                <w:szCs w:val="16"/>
              </w:rPr>
              <w:t>(a) Equitable economic growth</w:t>
            </w:r>
          </w:p>
        </w:tc>
        <w:tc>
          <w:tcPr>
            <w:tcW w:w="539" w:type="dxa"/>
            <w:tcBorders>
              <w:top w:val="nil"/>
              <w:left w:val="nil"/>
              <w:bottom w:val="nil"/>
              <w:right w:val="nil"/>
            </w:tcBorders>
            <w:shd w:val="clear" w:color="auto" w:fill="auto"/>
            <w:noWrap/>
            <w:vAlign w:val="center"/>
            <w:hideMark/>
          </w:tcPr>
          <w:p w14:paraId="62C3BC24" w14:textId="77777777" w:rsidR="00E70382" w:rsidRPr="00DA2C5E" w:rsidRDefault="00E70382" w:rsidP="002F08E7">
            <w:pPr>
              <w:jc w:val="left"/>
              <w:rPr>
                <w:rFonts w:eastAsia="Times New Roman" w:cs="Times New Roman"/>
                <w:b/>
                <w:bCs/>
                <w:sz w:val="16"/>
                <w:szCs w:val="16"/>
              </w:rPr>
            </w:pPr>
            <w:r w:rsidRPr="00DA2C5E">
              <w:rPr>
                <w:rFonts w:eastAsia="Times New Roman" w:cs="Times New Roman"/>
                <w:b/>
                <w:bCs/>
                <w:sz w:val="16"/>
                <w:szCs w:val="16"/>
              </w:rPr>
              <w:t> </w:t>
            </w:r>
          </w:p>
        </w:tc>
        <w:tc>
          <w:tcPr>
            <w:tcW w:w="539" w:type="dxa"/>
            <w:tcBorders>
              <w:top w:val="nil"/>
              <w:left w:val="nil"/>
              <w:bottom w:val="nil"/>
              <w:right w:val="nil"/>
            </w:tcBorders>
            <w:shd w:val="clear" w:color="auto" w:fill="auto"/>
            <w:noWrap/>
            <w:vAlign w:val="center"/>
            <w:hideMark/>
          </w:tcPr>
          <w:p w14:paraId="0A159C01" w14:textId="77777777" w:rsidR="00E70382" w:rsidRPr="00DA2C5E" w:rsidRDefault="00E70382" w:rsidP="002F08E7">
            <w:pPr>
              <w:jc w:val="left"/>
              <w:rPr>
                <w:rFonts w:eastAsia="Times New Roman" w:cs="Times New Roman"/>
                <w:b/>
                <w:bCs/>
                <w:i/>
                <w:iCs/>
                <w:sz w:val="16"/>
                <w:szCs w:val="16"/>
              </w:rPr>
            </w:pPr>
            <w:r w:rsidRPr="00DA2C5E">
              <w:rPr>
                <w:rFonts w:eastAsia="Times New Roman" w:cs="Times New Roman"/>
                <w:b/>
                <w:bCs/>
                <w:i/>
                <w:iCs/>
                <w:sz w:val="16"/>
                <w:szCs w:val="16"/>
              </w:rPr>
              <w:t> </w:t>
            </w:r>
          </w:p>
        </w:tc>
        <w:tc>
          <w:tcPr>
            <w:tcW w:w="931" w:type="dxa"/>
            <w:tcBorders>
              <w:top w:val="nil"/>
              <w:left w:val="nil"/>
              <w:bottom w:val="nil"/>
              <w:right w:val="nil"/>
            </w:tcBorders>
            <w:shd w:val="clear" w:color="auto" w:fill="auto"/>
            <w:noWrap/>
            <w:vAlign w:val="center"/>
            <w:hideMark/>
          </w:tcPr>
          <w:p w14:paraId="7A0E8D8E" w14:textId="77777777" w:rsidR="00E70382" w:rsidRPr="00DA2C5E" w:rsidRDefault="00E70382" w:rsidP="002F08E7">
            <w:pPr>
              <w:jc w:val="left"/>
              <w:rPr>
                <w:rFonts w:eastAsia="Times New Roman" w:cs="Times New Roman"/>
                <w:b/>
                <w:bCs/>
                <w:color w:val="000000"/>
                <w:sz w:val="16"/>
                <w:szCs w:val="16"/>
              </w:rPr>
            </w:pPr>
            <w:r w:rsidRPr="00DA2C5E">
              <w:rPr>
                <w:rFonts w:eastAsia="Times New Roman" w:cs="Times New Roman"/>
                <w:b/>
                <w:bCs/>
                <w:color w:val="000000"/>
                <w:sz w:val="16"/>
                <w:szCs w:val="16"/>
              </w:rPr>
              <w:t> </w:t>
            </w:r>
          </w:p>
        </w:tc>
        <w:tc>
          <w:tcPr>
            <w:tcW w:w="930" w:type="dxa"/>
            <w:tcBorders>
              <w:top w:val="nil"/>
              <w:left w:val="nil"/>
              <w:bottom w:val="nil"/>
              <w:right w:val="nil"/>
            </w:tcBorders>
            <w:shd w:val="clear" w:color="auto" w:fill="auto"/>
            <w:noWrap/>
            <w:vAlign w:val="center"/>
            <w:hideMark/>
          </w:tcPr>
          <w:p w14:paraId="1B596D76" w14:textId="77777777" w:rsidR="00E70382" w:rsidRPr="00DA2C5E" w:rsidRDefault="00E70382" w:rsidP="002F08E7">
            <w:pPr>
              <w:jc w:val="left"/>
              <w:rPr>
                <w:rFonts w:eastAsia="Times New Roman" w:cs="Times New Roman"/>
                <w:b/>
                <w:bCs/>
                <w:color w:val="000000"/>
                <w:sz w:val="16"/>
                <w:szCs w:val="16"/>
              </w:rPr>
            </w:pPr>
            <w:r w:rsidRPr="00DA2C5E">
              <w:rPr>
                <w:rFonts w:eastAsia="Times New Roman" w:cs="Times New Roman"/>
                <w:b/>
                <w:bCs/>
                <w:color w:val="000000"/>
                <w:sz w:val="16"/>
                <w:szCs w:val="16"/>
              </w:rPr>
              <w:t> </w:t>
            </w:r>
          </w:p>
        </w:tc>
        <w:tc>
          <w:tcPr>
            <w:tcW w:w="2279" w:type="dxa"/>
            <w:tcBorders>
              <w:top w:val="nil"/>
              <w:left w:val="nil"/>
              <w:bottom w:val="nil"/>
              <w:right w:val="single" w:sz="8" w:space="0" w:color="000000"/>
            </w:tcBorders>
            <w:shd w:val="clear" w:color="auto" w:fill="auto"/>
            <w:noWrap/>
            <w:vAlign w:val="center"/>
            <w:hideMark/>
          </w:tcPr>
          <w:p w14:paraId="50C8F87F" w14:textId="77777777" w:rsidR="00E70382" w:rsidRPr="00DA2C5E" w:rsidRDefault="00E70382" w:rsidP="002F08E7">
            <w:pPr>
              <w:jc w:val="left"/>
              <w:rPr>
                <w:rFonts w:eastAsia="Times New Roman" w:cs="Times New Roman"/>
                <w:b/>
                <w:bCs/>
                <w:color w:val="000000"/>
                <w:sz w:val="16"/>
                <w:szCs w:val="16"/>
              </w:rPr>
            </w:pPr>
            <w:r w:rsidRPr="00DA2C5E">
              <w:rPr>
                <w:rFonts w:eastAsia="Times New Roman" w:cs="Times New Roman"/>
                <w:b/>
                <w:bCs/>
                <w:color w:val="000000"/>
                <w:sz w:val="16"/>
                <w:szCs w:val="16"/>
              </w:rPr>
              <w:t> </w:t>
            </w:r>
          </w:p>
        </w:tc>
      </w:tr>
      <w:tr w:rsidR="00E70382" w:rsidRPr="00DA2C5E" w14:paraId="4CA9F185" w14:textId="77777777" w:rsidTr="002F08E7">
        <w:trPr>
          <w:trHeight w:val="288"/>
        </w:trPr>
        <w:tc>
          <w:tcPr>
            <w:tcW w:w="284" w:type="dxa"/>
            <w:tcBorders>
              <w:top w:val="single" w:sz="4" w:space="0" w:color="000000"/>
              <w:left w:val="single" w:sz="8" w:space="0" w:color="000000"/>
              <w:bottom w:val="nil"/>
              <w:right w:val="nil"/>
            </w:tcBorders>
            <w:shd w:val="clear" w:color="auto" w:fill="auto"/>
            <w:noWrap/>
            <w:vAlign w:val="bottom"/>
            <w:hideMark/>
          </w:tcPr>
          <w:p w14:paraId="05662520" w14:textId="77777777" w:rsidR="00E70382" w:rsidRPr="00DA2C5E" w:rsidRDefault="00E70382" w:rsidP="002F08E7">
            <w:pPr>
              <w:jc w:val="left"/>
              <w:rPr>
                <w:rFonts w:ascii="Calibri" w:eastAsia="Times New Roman" w:hAnsi="Calibri" w:cs="Calibri"/>
                <w:color w:val="000000"/>
                <w:sz w:val="16"/>
                <w:szCs w:val="16"/>
              </w:rPr>
            </w:pPr>
            <w:r w:rsidRPr="00DA2C5E">
              <w:rPr>
                <w:rFonts w:ascii="Calibri" w:eastAsia="Times New Roman" w:hAnsi="Calibri" w:cs="Calibri"/>
                <w:color w:val="000000"/>
                <w:sz w:val="16"/>
                <w:szCs w:val="16"/>
              </w:rPr>
              <w:t> </w:t>
            </w:r>
          </w:p>
        </w:tc>
        <w:tc>
          <w:tcPr>
            <w:tcW w:w="8515" w:type="dxa"/>
            <w:gridSpan w:val="7"/>
            <w:tcBorders>
              <w:top w:val="single" w:sz="4" w:space="0" w:color="000000"/>
              <w:left w:val="nil"/>
              <w:bottom w:val="nil"/>
              <w:right w:val="single" w:sz="8" w:space="0" w:color="000000"/>
            </w:tcBorders>
            <w:shd w:val="clear" w:color="auto" w:fill="auto"/>
            <w:vAlign w:val="center"/>
            <w:hideMark/>
          </w:tcPr>
          <w:p w14:paraId="3AAAFC9D" w14:textId="77777777" w:rsidR="00E70382" w:rsidRPr="00DA2C5E" w:rsidRDefault="00E70382" w:rsidP="002F08E7">
            <w:pPr>
              <w:jc w:val="left"/>
              <w:rPr>
                <w:rFonts w:eastAsia="Times New Roman" w:cs="Times New Roman"/>
                <w:i/>
                <w:iCs/>
                <w:color w:val="000000"/>
                <w:sz w:val="16"/>
                <w:szCs w:val="16"/>
              </w:rPr>
            </w:pPr>
            <w:r w:rsidRPr="00DA2C5E">
              <w:rPr>
                <w:rFonts w:eastAsia="Times New Roman" w:cs="Times New Roman"/>
                <w:i/>
                <w:iCs/>
                <w:color w:val="000000"/>
                <w:sz w:val="16"/>
                <w:szCs w:val="16"/>
              </w:rPr>
              <w:t>(i) Ensuring optimum value for money by pursuing effective management practices and investment strategies, upholding the principles of transparency and accountability, and considering appropriate exit strategies</w:t>
            </w:r>
          </w:p>
        </w:tc>
      </w:tr>
      <w:tr w:rsidR="00E70382" w:rsidRPr="00DA2C5E" w14:paraId="11C59D04" w14:textId="77777777" w:rsidTr="002F08E7">
        <w:trPr>
          <w:trHeight w:val="252"/>
        </w:trPr>
        <w:tc>
          <w:tcPr>
            <w:tcW w:w="284" w:type="dxa"/>
            <w:tcBorders>
              <w:top w:val="nil"/>
              <w:left w:val="single" w:sz="8" w:space="0" w:color="000000"/>
              <w:bottom w:val="nil"/>
              <w:right w:val="nil"/>
            </w:tcBorders>
            <w:shd w:val="clear" w:color="auto" w:fill="auto"/>
            <w:noWrap/>
            <w:vAlign w:val="center"/>
            <w:hideMark/>
          </w:tcPr>
          <w:p w14:paraId="2EA35708"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279" w:type="dxa"/>
            <w:vMerge w:val="restart"/>
            <w:tcBorders>
              <w:top w:val="nil"/>
              <w:left w:val="nil"/>
              <w:bottom w:val="single" w:sz="4" w:space="0" w:color="000000"/>
              <w:right w:val="nil"/>
            </w:tcBorders>
            <w:shd w:val="clear" w:color="auto" w:fill="auto"/>
            <w:noWrap/>
            <w:vAlign w:val="center"/>
            <w:hideMark/>
          </w:tcPr>
          <w:p w14:paraId="4B4E8DF8" w14:textId="77777777" w:rsidR="00E70382" w:rsidRPr="00DA2C5E" w:rsidRDefault="00E70382" w:rsidP="002F08E7">
            <w:pPr>
              <w:jc w:val="left"/>
              <w:rPr>
                <w:rFonts w:eastAsia="Times New Roman" w:cs="Times New Roman"/>
                <w:color w:val="000000"/>
                <w:sz w:val="16"/>
                <w:szCs w:val="16"/>
              </w:rPr>
            </w:pPr>
          </w:p>
        </w:tc>
        <w:tc>
          <w:tcPr>
            <w:tcW w:w="4096" w:type="dxa"/>
            <w:gridSpan w:val="3"/>
            <w:tcBorders>
              <w:top w:val="nil"/>
              <w:left w:val="nil"/>
              <w:bottom w:val="nil"/>
              <w:right w:val="nil"/>
            </w:tcBorders>
            <w:shd w:val="clear" w:color="auto" w:fill="auto"/>
            <w:vAlign w:val="center"/>
            <w:hideMark/>
          </w:tcPr>
          <w:p w14:paraId="1FA9488D" w14:textId="77777777" w:rsidR="00E70382" w:rsidRPr="00DA2C5E" w:rsidRDefault="00E70382" w:rsidP="002F08E7">
            <w:pPr>
              <w:jc w:val="left"/>
              <w:rPr>
                <w:rFonts w:eastAsia="Times New Roman" w:cs="Times New Roman"/>
                <w:sz w:val="16"/>
                <w:szCs w:val="16"/>
              </w:rPr>
            </w:pPr>
            <w:r w:rsidRPr="00DA2C5E">
              <w:rPr>
                <w:rFonts w:eastAsia="Times New Roman" w:cs="Times New Roman"/>
                <w:color w:val="000000"/>
                <w:sz w:val="16"/>
                <w:szCs w:val="16"/>
              </w:rPr>
              <w:t>Share of infrastructure projects generating labour days</w:t>
            </w:r>
          </w:p>
        </w:tc>
        <w:tc>
          <w:tcPr>
            <w:tcW w:w="931" w:type="dxa"/>
            <w:tcBorders>
              <w:top w:val="nil"/>
              <w:left w:val="nil"/>
              <w:bottom w:val="nil"/>
              <w:right w:val="nil"/>
            </w:tcBorders>
            <w:shd w:val="clear" w:color="auto" w:fill="auto"/>
            <w:noWrap/>
            <w:vAlign w:val="center"/>
            <w:hideMark/>
          </w:tcPr>
          <w:p w14:paraId="3C50FA73"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90%</w:t>
            </w:r>
          </w:p>
        </w:tc>
        <w:tc>
          <w:tcPr>
            <w:tcW w:w="930" w:type="dxa"/>
            <w:tcBorders>
              <w:top w:val="nil"/>
              <w:left w:val="nil"/>
              <w:bottom w:val="nil"/>
              <w:right w:val="nil"/>
            </w:tcBorders>
            <w:shd w:val="clear" w:color="auto" w:fill="auto"/>
            <w:noWrap/>
            <w:vAlign w:val="center"/>
            <w:hideMark/>
          </w:tcPr>
          <w:p w14:paraId="09A4F495"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90%</w:t>
            </w:r>
          </w:p>
        </w:tc>
        <w:tc>
          <w:tcPr>
            <w:tcW w:w="2279" w:type="dxa"/>
            <w:vMerge w:val="restart"/>
            <w:tcBorders>
              <w:top w:val="nil"/>
              <w:left w:val="nil"/>
              <w:bottom w:val="single" w:sz="4" w:space="0" w:color="000000"/>
              <w:right w:val="single" w:sz="8" w:space="0" w:color="000000"/>
            </w:tcBorders>
            <w:shd w:val="clear" w:color="auto" w:fill="auto"/>
            <w:vAlign w:val="center"/>
            <w:hideMark/>
          </w:tcPr>
          <w:p w14:paraId="1847B3B3"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Global reporting Initiative (GRI) 203-2. Significant indirect economic impacts</w:t>
            </w:r>
          </w:p>
        </w:tc>
      </w:tr>
      <w:tr w:rsidR="00E70382" w:rsidRPr="00DA2C5E" w14:paraId="60FC8212" w14:textId="77777777" w:rsidTr="002F08E7">
        <w:trPr>
          <w:trHeight w:val="260"/>
        </w:trPr>
        <w:tc>
          <w:tcPr>
            <w:tcW w:w="284" w:type="dxa"/>
            <w:tcBorders>
              <w:top w:val="nil"/>
              <w:left w:val="single" w:sz="8" w:space="0" w:color="000000"/>
              <w:bottom w:val="single" w:sz="4" w:space="0" w:color="000000"/>
              <w:right w:val="nil"/>
            </w:tcBorders>
            <w:shd w:val="clear" w:color="auto" w:fill="auto"/>
            <w:noWrap/>
            <w:vAlign w:val="center"/>
            <w:hideMark/>
          </w:tcPr>
          <w:p w14:paraId="652564C3"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279" w:type="dxa"/>
            <w:vMerge/>
            <w:tcBorders>
              <w:top w:val="nil"/>
              <w:left w:val="nil"/>
              <w:bottom w:val="single" w:sz="4" w:space="0" w:color="000000"/>
              <w:right w:val="nil"/>
            </w:tcBorders>
            <w:vAlign w:val="center"/>
            <w:hideMark/>
          </w:tcPr>
          <w:p w14:paraId="66978386" w14:textId="77777777" w:rsidR="00E70382" w:rsidRPr="00DA2C5E" w:rsidRDefault="00E70382" w:rsidP="002F08E7">
            <w:pPr>
              <w:jc w:val="left"/>
              <w:rPr>
                <w:rFonts w:eastAsia="Times New Roman" w:cs="Times New Roman"/>
                <w:color w:val="000000"/>
                <w:sz w:val="16"/>
                <w:szCs w:val="16"/>
              </w:rPr>
            </w:pPr>
          </w:p>
        </w:tc>
        <w:tc>
          <w:tcPr>
            <w:tcW w:w="4096" w:type="dxa"/>
            <w:gridSpan w:val="3"/>
            <w:tcBorders>
              <w:top w:val="nil"/>
              <w:left w:val="nil"/>
              <w:bottom w:val="single" w:sz="4" w:space="0" w:color="000000"/>
              <w:right w:val="nil"/>
            </w:tcBorders>
            <w:shd w:val="clear" w:color="auto" w:fill="auto"/>
            <w:vAlign w:val="center"/>
            <w:hideMark/>
          </w:tcPr>
          <w:p w14:paraId="5D9DA117" w14:textId="77777777" w:rsidR="00E70382" w:rsidRPr="00DA2C5E" w:rsidRDefault="00E70382" w:rsidP="002F08E7">
            <w:pPr>
              <w:jc w:val="left"/>
              <w:rPr>
                <w:rFonts w:eastAsia="Times New Roman" w:cs="Times New Roman"/>
                <w:sz w:val="16"/>
                <w:szCs w:val="16"/>
              </w:rPr>
            </w:pPr>
            <w:r w:rsidRPr="00DA2C5E">
              <w:rPr>
                <w:rFonts w:eastAsia="Times New Roman" w:cs="Times New Roman"/>
                <w:color w:val="000000"/>
                <w:sz w:val="16"/>
                <w:szCs w:val="16"/>
              </w:rPr>
              <w:t>Number of labour days created for local workers</w:t>
            </w:r>
          </w:p>
        </w:tc>
        <w:tc>
          <w:tcPr>
            <w:tcW w:w="931" w:type="dxa"/>
            <w:tcBorders>
              <w:top w:val="nil"/>
              <w:left w:val="nil"/>
              <w:bottom w:val="single" w:sz="4" w:space="0" w:color="000000"/>
              <w:right w:val="nil"/>
            </w:tcBorders>
            <w:shd w:val="clear" w:color="auto" w:fill="auto"/>
            <w:noWrap/>
            <w:vAlign w:val="center"/>
            <w:hideMark/>
          </w:tcPr>
          <w:p w14:paraId="0339E166"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5 million</w:t>
            </w:r>
          </w:p>
        </w:tc>
        <w:tc>
          <w:tcPr>
            <w:tcW w:w="930" w:type="dxa"/>
            <w:tcBorders>
              <w:top w:val="nil"/>
              <w:left w:val="nil"/>
              <w:bottom w:val="single" w:sz="4" w:space="0" w:color="000000"/>
              <w:right w:val="nil"/>
            </w:tcBorders>
            <w:shd w:val="clear" w:color="auto" w:fill="auto"/>
            <w:noWrap/>
            <w:vAlign w:val="center"/>
            <w:hideMark/>
          </w:tcPr>
          <w:p w14:paraId="5E88CB10"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5 million</w:t>
            </w:r>
          </w:p>
        </w:tc>
        <w:tc>
          <w:tcPr>
            <w:tcW w:w="2279" w:type="dxa"/>
            <w:vMerge/>
            <w:tcBorders>
              <w:top w:val="nil"/>
              <w:left w:val="nil"/>
              <w:bottom w:val="single" w:sz="4" w:space="0" w:color="000000"/>
              <w:right w:val="single" w:sz="8" w:space="0" w:color="000000"/>
            </w:tcBorders>
            <w:vAlign w:val="center"/>
            <w:hideMark/>
          </w:tcPr>
          <w:p w14:paraId="40E309D2" w14:textId="77777777" w:rsidR="00E70382" w:rsidRPr="00DA2C5E" w:rsidRDefault="00E70382" w:rsidP="002F08E7">
            <w:pPr>
              <w:jc w:val="left"/>
              <w:rPr>
                <w:rFonts w:eastAsia="Times New Roman" w:cs="Times New Roman"/>
                <w:color w:val="000000"/>
                <w:sz w:val="16"/>
                <w:szCs w:val="16"/>
              </w:rPr>
            </w:pPr>
          </w:p>
        </w:tc>
      </w:tr>
      <w:tr w:rsidR="00E70382" w:rsidRPr="00DA2C5E" w14:paraId="0E9CEE45" w14:textId="77777777" w:rsidTr="002F08E7">
        <w:trPr>
          <w:trHeight w:val="106"/>
        </w:trPr>
        <w:tc>
          <w:tcPr>
            <w:tcW w:w="284" w:type="dxa"/>
            <w:tcBorders>
              <w:top w:val="nil"/>
              <w:left w:val="single" w:sz="8" w:space="0" w:color="000000"/>
              <w:bottom w:val="nil"/>
              <w:right w:val="nil"/>
            </w:tcBorders>
            <w:shd w:val="clear" w:color="auto" w:fill="auto"/>
            <w:noWrap/>
            <w:vAlign w:val="bottom"/>
            <w:hideMark/>
          </w:tcPr>
          <w:p w14:paraId="5216E300" w14:textId="77777777" w:rsidR="00E70382" w:rsidRPr="00DA2C5E" w:rsidRDefault="00E70382" w:rsidP="002F08E7">
            <w:pPr>
              <w:jc w:val="left"/>
              <w:rPr>
                <w:rFonts w:ascii="Calibri" w:eastAsia="Times New Roman" w:hAnsi="Calibri" w:cs="Calibri"/>
                <w:color w:val="000000"/>
                <w:sz w:val="16"/>
                <w:szCs w:val="16"/>
              </w:rPr>
            </w:pPr>
            <w:r w:rsidRPr="00DA2C5E">
              <w:rPr>
                <w:rFonts w:ascii="Calibri" w:eastAsia="Times New Roman" w:hAnsi="Calibri" w:cs="Calibri"/>
                <w:color w:val="000000"/>
                <w:sz w:val="16"/>
                <w:szCs w:val="16"/>
              </w:rPr>
              <w:t> </w:t>
            </w:r>
          </w:p>
        </w:tc>
        <w:tc>
          <w:tcPr>
            <w:tcW w:w="8515" w:type="dxa"/>
            <w:gridSpan w:val="7"/>
            <w:tcBorders>
              <w:top w:val="nil"/>
              <w:left w:val="nil"/>
              <w:bottom w:val="nil"/>
              <w:right w:val="single" w:sz="8" w:space="0" w:color="000000"/>
            </w:tcBorders>
            <w:shd w:val="clear" w:color="auto" w:fill="auto"/>
            <w:vAlign w:val="center"/>
            <w:hideMark/>
          </w:tcPr>
          <w:p w14:paraId="530F5782" w14:textId="77777777" w:rsidR="00E70382" w:rsidRPr="00DA2C5E" w:rsidRDefault="00E70382" w:rsidP="002F08E7">
            <w:pPr>
              <w:jc w:val="left"/>
              <w:rPr>
                <w:rFonts w:eastAsia="Times New Roman" w:cs="Times New Roman"/>
                <w:i/>
                <w:iCs/>
                <w:color w:val="000000"/>
                <w:sz w:val="16"/>
                <w:szCs w:val="16"/>
              </w:rPr>
            </w:pPr>
            <w:r w:rsidRPr="00DA2C5E">
              <w:rPr>
                <w:rFonts w:eastAsia="Times New Roman" w:cs="Times New Roman"/>
                <w:i/>
                <w:iCs/>
                <w:color w:val="000000"/>
                <w:sz w:val="16"/>
                <w:szCs w:val="16"/>
              </w:rPr>
              <w:t>(ii) Contributing to improved livelihoods through equitable employment opportunities for local workforces</w:t>
            </w:r>
          </w:p>
        </w:tc>
      </w:tr>
      <w:tr w:rsidR="00E70382" w:rsidRPr="00DA2C5E" w14:paraId="32ECE7A6" w14:textId="77777777" w:rsidTr="002F08E7">
        <w:trPr>
          <w:trHeight w:val="232"/>
        </w:trPr>
        <w:tc>
          <w:tcPr>
            <w:tcW w:w="284" w:type="dxa"/>
            <w:tcBorders>
              <w:top w:val="nil"/>
              <w:left w:val="single" w:sz="8" w:space="0" w:color="000000"/>
              <w:bottom w:val="nil"/>
              <w:right w:val="nil"/>
            </w:tcBorders>
            <w:shd w:val="clear" w:color="auto" w:fill="auto"/>
            <w:noWrap/>
            <w:vAlign w:val="center"/>
            <w:hideMark/>
          </w:tcPr>
          <w:p w14:paraId="356D90F4"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279" w:type="dxa"/>
            <w:vMerge w:val="restart"/>
            <w:tcBorders>
              <w:top w:val="nil"/>
              <w:left w:val="nil"/>
              <w:bottom w:val="nil"/>
              <w:right w:val="nil"/>
            </w:tcBorders>
            <w:shd w:val="clear" w:color="auto" w:fill="auto"/>
            <w:noWrap/>
            <w:vAlign w:val="center"/>
            <w:hideMark/>
          </w:tcPr>
          <w:p w14:paraId="475EA9D8" w14:textId="77777777" w:rsidR="00E70382" w:rsidRPr="00DA2C5E" w:rsidRDefault="00E70382" w:rsidP="002F08E7">
            <w:pPr>
              <w:jc w:val="left"/>
              <w:rPr>
                <w:rFonts w:eastAsia="Times New Roman" w:cs="Times New Roman"/>
                <w:color w:val="000000"/>
                <w:sz w:val="16"/>
                <w:szCs w:val="16"/>
              </w:rPr>
            </w:pPr>
          </w:p>
        </w:tc>
        <w:tc>
          <w:tcPr>
            <w:tcW w:w="4096" w:type="dxa"/>
            <w:gridSpan w:val="3"/>
            <w:tcBorders>
              <w:top w:val="nil"/>
              <w:left w:val="nil"/>
              <w:bottom w:val="nil"/>
              <w:right w:val="nil"/>
            </w:tcBorders>
            <w:shd w:val="clear" w:color="auto" w:fill="auto"/>
            <w:vAlign w:val="center"/>
            <w:hideMark/>
          </w:tcPr>
          <w:p w14:paraId="15A6AF12" w14:textId="77777777" w:rsidR="00E70382" w:rsidRPr="00DA2C5E" w:rsidRDefault="00E70382" w:rsidP="002F08E7">
            <w:pPr>
              <w:jc w:val="left"/>
              <w:rPr>
                <w:rFonts w:eastAsia="Times New Roman" w:cs="Times New Roman"/>
                <w:sz w:val="16"/>
                <w:szCs w:val="16"/>
              </w:rPr>
            </w:pPr>
            <w:r w:rsidRPr="00DA2C5E">
              <w:rPr>
                <w:rFonts w:eastAsia="Times New Roman" w:cs="Times New Roman"/>
                <w:color w:val="000000"/>
                <w:sz w:val="16"/>
                <w:szCs w:val="16"/>
              </w:rPr>
              <w:t>Number of labour days created for local women workers*</w:t>
            </w:r>
          </w:p>
        </w:tc>
        <w:tc>
          <w:tcPr>
            <w:tcW w:w="931" w:type="dxa"/>
            <w:tcBorders>
              <w:top w:val="nil"/>
              <w:left w:val="nil"/>
              <w:bottom w:val="nil"/>
              <w:right w:val="nil"/>
            </w:tcBorders>
            <w:shd w:val="clear" w:color="auto" w:fill="auto"/>
            <w:noWrap/>
            <w:vAlign w:val="center"/>
            <w:hideMark/>
          </w:tcPr>
          <w:p w14:paraId="3696F2B9"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0.9 million</w:t>
            </w:r>
          </w:p>
        </w:tc>
        <w:tc>
          <w:tcPr>
            <w:tcW w:w="930" w:type="dxa"/>
            <w:tcBorders>
              <w:top w:val="nil"/>
              <w:left w:val="nil"/>
              <w:bottom w:val="nil"/>
              <w:right w:val="nil"/>
            </w:tcBorders>
            <w:shd w:val="clear" w:color="auto" w:fill="auto"/>
            <w:noWrap/>
            <w:vAlign w:val="center"/>
            <w:hideMark/>
          </w:tcPr>
          <w:p w14:paraId="57EA6AFD"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1 million</w:t>
            </w:r>
          </w:p>
        </w:tc>
        <w:tc>
          <w:tcPr>
            <w:tcW w:w="2279" w:type="dxa"/>
            <w:vMerge w:val="restart"/>
            <w:tcBorders>
              <w:top w:val="nil"/>
              <w:left w:val="nil"/>
              <w:bottom w:val="nil"/>
              <w:right w:val="single" w:sz="8" w:space="0" w:color="000000"/>
            </w:tcBorders>
            <w:shd w:val="clear" w:color="auto" w:fill="auto"/>
            <w:vAlign w:val="center"/>
            <w:hideMark/>
          </w:tcPr>
          <w:p w14:paraId="57174633"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GRI 203-2. Significant indirect economic impacts</w:t>
            </w:r>
          </w:p>
        </w:tc>
      </w:tr>
      <w:tr w:rsidR="00E70382" w:rsidRPr="00DA2C5E" w14:paraId="6877E4D4" w14:textId="77777777" w:rsidTr="002F08E7">
        <w:trPr>
          <w:trHeight w:val="334"/>
        </w:trPr>
        <w:tc>
          <w:tcPr>
            <w:tcW w:w="284" w:type="dxa"/>
            <w:tcBorders>
              <w:top w:val="nil"/>
              <w:left w:val="single" w:sz="8" w:space="0" w:color="000000"/>
              <w:bottom w:val="nil"/>
              <w:right w:val="nil"/>
            </w:tcBorders>
            <w:shd w:val="clear" w:color="auto" w:fill="auto"/>
            <w:noWrap/>
            <w:vAlign w:val="center"/>
            <w:hideMark/>
          </w:tcPr>
          <w:p w14:paraId="457F8BF8"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279" w:type="dxa"/>
            <w:vMerge/>
            <w:tcBorders>
              <w:top w:val="nil"/>
              <w:left w:val="nil"/>
              <w:bottom w:val="nil"/>
              <w:right w:val="nil"/>
            </w:tcBorders>
            <w:vAlign w:val="center"/>
            <w:hideMark/>
          </w:tcPr>
          <w:p w14:paraId="49297991" w14:textId="77777777" w:rsidR="00E70382" w:rsidRPr="00DA2C5E" w:rsidRDefault="00E70382" w:rsidP="002F08E7">
            <w:pPr>
              <w:jc w:val="left"/>
              <w:rPr>
                <w:rFonts w:eastAsia="Times New Roman" w:cs="Times New Roman"/>
                <w:color w:val="000000"/>
                <w:sz w:val="16"/>
                <w:szCs w:val="16"/>
              </w:rPr>
            </w:pPr>
          </w:p>
        </w:tc>
        <w:tc>
          <w:tcPr>
            <w:tcW w:w="4096" w:type="dxa"/>
            <w:gridSpan w:val="3"/>
            <w:tcBorders>
              <w:top w:val="nil"/>
              <w:left w:val="nil"/>
              <w:bottom w:val="nil"/>
              <w:right w:val="nil"/>
            </w:tcBorders>
            <w:shd w:val="clear" w:color="auto" w:fill="auto"/>
            <w:vAlign w:val="center"/>
            <w:hideMark/>
          </w:tcPr>
          <w:p w14:paraId="57298CA9" w14:textId="77777777" w:rsidR="00E70382" w:rsidRPr="00DA2C5E" w:rsidRDefault="00E70382" w:rsidP="002F08E7">
            <w:pPr>
              <w:jc w:val="left"/>
              <w:rPr>
                <w:rFonts w:eastAsia="Times New Roman" w:cs="Times New Roman"/>
                <w:sz w:val="16"/>
                <w:szCs w:val="16"/>
              </w:rPr>
            </w:pPr>
            <w:r w:rsidRPr="00DA2C5E">
              <w:rPr>
                <w:rFonts w:eastAsia="Times New Roman" w:cs="Times New Roman"/>
                <w:color w:val="000000"/>
                <w:sz w:val="16"/>
                <w:szCs w:val="16"/>
              </w:rPr>
              <w:t>Number of labour days created for young local workers</w:t>
            </w:r>
          </w:p>
        </w:tc>
        <w:tc>
          <w:tcPr>
            <w:tcW w:w="931" w:type="dxa"/>
            <w:tcBorders>
              <w:top w:val="nil"/>
              <w:left w:val="nil"/>
              <w:bottom w:val="nil"/>
              <w:right w:val="nil"/>
            </w:tcBorders>
            <w:shd w:val="clear" w:color="auto" w:fill="auto"/>
            <w:noWrap/>
            <w:vAlign w:val="center"/>
            <w:hideMark/>
          </w:tcPr>
          <w:p w14:paraId="70061931"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0.7 million</w:t>
            </w:r>
          </w:p>
        </w:tc>
        <w:tc>
          <w:tcPr>
            <w:tcW w:w="930" w:type="dxa"/>
            <w:tcBorders>
              <w:top w:val="nil"/>
              <w:left w:val="nil"/>
              <w:bottom w:val="nil"/>
              <w:right w:val="nil"/>
            </w:tcBorders>
            <w:shd w:val="clear" w:color="auto" w:fill="auto"/>
            <w:noWrap/>
            <w:vAlign w:val="center"/>
            <w:hideMark/>
          </w:tcPr>
          <w:p w14:paraId="350158EC"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1 million</w:t>
            </w:r>
          </w:p>
        </w:tc>
        <w:tc>
          <w:tcPr>
            <w:tcW w:w="2279" w:type="dxa"/>
            <w:vMerge/>
            <w:tcBorders>
              <w:top w:val="nil"/>
              <w:left w:val="nil"/>
              <w:bottom w:val="nil"/>
              <w:right w:val="single" w:sz="8" w:space="0" w:color="000000"/>
            </w:tcBorders>
            <w:vAlign w:val="center"/>
            <w:hideMark/>
          </w:tcPr>
          <w:p w14:paraId="0FBD33C6" w14:textId="77777777" w:rsidR="00E70382" w:rsidRPr="00DA2C5E" w:rsidRDefault="00E70382" w:rsidP="002F08E7">
            <w:pPr>
              <w:jc w:val="left"/>
              <w:rPr>
                <w:rFonts w:eastAsia="Times New Roman" w:cs="Times New Roman"/>
                <w:color w:val="000000"/>
                <w:sz w:val="16"/>
                <w:szCs w:val="16"/>
              </w:rPr>
            </w:pPr>
          </w:p>
        </w:tc>
      </w:tr>
      <w:tr w:rsidR="00E70382" w:rsidRPr="00DA2C5E" w14:paraId="0EFB6760" w14:textId="77777777" w:rsidTr="002F08E7">
        <w:trPr>
          <w:trHeight w:val="56"/>
        </w:trPr>
        <w:tc>
          <w:tcPr>
            <w:tcW w:w="284" w:type="dxa"/>
            <w:tcBorders>
              <w:top w:val="single" w:sz="4" w:space="0" w:color="000000"/>
              <w:left w:val="single" w:sz="8" w:space="0" w:color="000000"/>
              <w:bottom w:val="nil"/>
              <w:right w:val="nil"/>
            </w:tcBorders>
            <w:shd w:val="clear" w:color="auto" w:fill="auto"/>
            <w:noWrap/>
            <w:vAlign w:val="bottom"/>
            <w:hideMark/>
          </w:tcPr>
          <w:p w14:paraId="5A92982B" w14:textId="77777777" w:rsidR="00E70382" w:rsidRPr="00DA2C5E" w:rsidRDefault="00E70382" w:rsidP="002F08E7">
            <w:pPr>
              <w:jc w:val="left"/>
              <w:rPr>
                <w:rFonts w:ascii="Calibri" w:eastAsia="Times New Roman" w:hAnsi="Calibri" w:cs="Calibri"/>
                <w:color w:val="000000"/>
                <w:sz w:val="16"/>
                <w:szCs w:val="16"/>
              </w:rPr>
            </w:pPr>
            <w:r w:rsidRPr="00DA2C5E">
              <w:rPr>
                <w:rFonts w:ascii="Calibri" w:eastAsia="Times New Roman" w:hAnsi="Calibri" w:cs="Calibri"/>
                <w:color w:val="000000"/>
                <w:sz w:val="16"/>
                <w:szCs w:val="16"/>
              </w:rPr>
              <w:t> </w:t>
            </w:r>
          </w:p>
        </w:tc>
        <w:tc>
          <w:tcPr>
            <w:tcW w:w="8515" w:type="dxa"/>
            <w:gridSpan w:val="7"/>
            <w:tcBorders>
              <w:top w:val="single" w:sz="4" w:space="0" w:color="000000"/>
              <w:left w:val="nil"/>
              <w:bottom w:val="nil"/>
              <w:right w:val="single" w:sz="8" w:space="0" w:color="000000"/>
            </w:tcBorders>
            <w:shd w:val="clear" w:color="auto" w:fill="auto"/>
            <w:vAlign w:val="center"/>
            <w:hideMark/>
          </w:tcPr>
          <w:p w14:paraId="44E48CD4" w14:textId="77777777" w:rsidR="00E70382" w:rsidRPr="00DA2C5E" w:rsidRDefault="00E70382" w:rsidP="002F08E7">
            <w:pPr>
              <w:jc w:val="left"/>
              <w:rPr>
                <w:rFonts w:eastAsia="Times New Roman" w:cs="Times New Roman"/>
                <w:i/>
                <w:iCs/>
                <w:color w:val="000000"/>
                <w:sz w:val="16"/>
                <w:szCs w:val="16"/>
              </w:rPr>
            </w:pPr>
            <w:r w:rsidRPr="00DA2C5E">
              <w:rPr>
                <w:rFonts w:eastAsia="Times New Roman" w:cs="Times New Roman"/>
                <w:i/>
                <w:iCs/>
                <w:color w:val="000000"/>
                <w:sz w:val="16"/>
                <w:szCs w:val="16"/>
              </w:rPr>
              <w:t>(iii) Supporting local communities through expanded market access and use of local suppliers wherever possible, including opportunities for women- and youth-owned businesses</w:t>
            </w:r>
          </w:p>
        </w:tc>
      </w:tr>
      <w:tr w:rsidR="00E70382" w:rsidRPr="00DA2C5E" w14:paraId="740F3670" w14:textId="77777777" w:rsidTr="002F08E7">
        <w:trPr>
          <w:trHeight w:val="66"/>
        </w:trPr>
        <w:tc>
          <w:tcPr>
            <w:tcW w:w="284" w:type="dxa"/>
            <w:tcBorders>
              <w:top w:val="nil"/>
              <w:left w:val="single" w:sz="8" w:space="0" w:color="000000"/>
              <w:bottom w:val="nil"/>
              <w:right w:val="nil"/>
            </w:tcBorders>
            <w:shd w:val="clear" w:color="auto" w:fill="auto"/>
            <w:noWrap/>
            <w:vAlign w:val="center"/>
            <w:hideMark/>
          </w:tcPr>
          <w:p w14:paraId="5DB996DB"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279" w:type="dxa"/>
            <w:vMerge w:val="restart"/>
            <w:tcBorders>
              <w:top w:val="nil"/>
              <w:left w:val="nil"/>
              <w:bottom w:val="single" w:sz="8" w:space="0" w:color="000000"/>
              <w:right w:val="nil"/>
            </w:tcBorders>
            <w:shd w:val="clear" w:color="auto" w:fill="auto"/>
            <w:noWrap/>
            <w:vAlign w:val="center"/>
            <w:hideMark/>
          </w:tcPr>
          <w:p w14:paraId="33DD2640" w14:textId="77777777" w:rsidR="00E70382" w:rsidRPr="00DA2C5E" w:rsidRDefault="00E70382" w:rsidP="002F08E7">
            <w:pPr>
              <w:jc w:val="left"/>
              <w:rPr>
                <w:rFonts w:eastAsia="Times New Roman" w:cs="Times New Roman"/>
                <w:color w:val="000000"/>
                <w:sz w:val="16"/>
                <w:szCs w:val="16"/>
              </w:rPr>
            </w:pPr>
          </w:p>
        </w:tc>
        <w:tc>
          <w:tcPr>
            <w:tcW w:w="4096" w:type="dxa"/>
            <w:gridSpan w:val="3"/>
            <w:tcBorders>
              <w:top w:val="nil"/>
              <w:left w:val="nil"/>
              <w:bottom w:val="nil"/>
              <w:right w:val="nil"/>
            </w:tcBorders>
            <w:shd w:val="clear" w:color="auto" w:fill="auto"/>
            <w:vAlign w:val="center"/>
            <w:hideMark/>
          </w:tcPr>
          <w:p w14:paraId="46114528" w14:textId="77777777" w:rsidR="00E70382" w:rsidRPr="00DA2C5E" w:rsidRDefault="00E70382" w:rsidP="002F08E7">
            <w:pPr>
              <w:jc w:val="left"/>
              <w:rPr>
                <w:rFonts w:eastAsia="Times New Roman" w:cs="Times New Roman"/>
                <w:sz w:val="16"/>
                <w:szCs w:val="16"/>
              </w:rPr>
            </w:pPr>
            <w:r w:rsidRPr="00DA2C5E">
              <w:rPr>
                <w:rFonts w:eastAsia="Times New Roman" w:cs="Times New Roman"/>
                <w:color w:val="000000"/>
                <w:sz w:val="16"/>
                <w:szCs w:val="16"/>
              </w:rPr>
              <w:t>Share of procurement with registered local suppliers</w:t>
            </w:r>
          </w:p>
        </w:tc>
        <w:tc>
          <w:tcPr>
            <w:tcW w:w="931" w:type="dxa"/>
            <w:tcBorders>
              <w:top w:val="nil"/>
              <w:left w:val="nil"/>
              <w:bottom w:val="nil"/>
              <w:right w:val="nil"/>
            </w:tcBorders>
            <w:shd w:val="clear" w:color="auto" w:fill="auto"/>
            <w:noWrap/>
            <w:vAlign w:val="center"/>
            <w:hideMark/>
          </w:tcPr>
          <w:p w14:paraId="1F96FC8E"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51%</w:t>
            </w:r>
          </w:p>
        </w:tc>
        <w:tc>
          <w:tcPr>
            <w:tcW w:w="930" w:type="dxa"/>
            <w:tcBorders>
              <w:top w:val="nil"/>
              <w:left w:val="nil"/>
              <w:bottom w:val="nil"/>
              <w:right w:val="nil"/>
            </w:tcBorders>
            <w:shd w:val="clear" w:color="auto" w:fill="auto"/>
            <w:noWrap/>
            <w:vAlign w:val="center"/>
            <w:hideMark/>
          </w:tcPr>
          <w:p w14:paraId="7E639213"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55%</w:t>
            </w:r>
          </w:p>
        </w:tc>
        <w:tc>
          <w:tcPr>
            <w:tcW w:w="2279" w:type="dxa"/>
            <w:tcBorders>
              <w:top w:val="nil"/>
              <w:left w:val="nil"/>
              <w:bottom w:val="nil"/>
              <w:right w:val="single" w:sz="8" w:space="0" w:color="000000"/>
            </w:tcBorders>
            <w:shd w:val="clear" w:color="auto" w:fill="auto"/>
            <w:vAlign w:val="center"/>
            <w:hideMark/>
          </w:tcPr>
          <w:p w14:paraId="4CE7CF79"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GRI 204-1. Proportion of spending on local suppliers</w:t>
            </w:r>
          </w:p>
        </w:tc>
      </w:tr>
      <w:tr w:rsidR="00E70382" w:rsidRPr="00DA2C5E" w14:paraId="70F435F4" w14:textId="77777777" w:rsidTr="002F08E7">
        <w:trPr>
          <w:trHeight w:val="66"/>
        </w:trPr>
        <w:tc>
          <w:tcPr>
            <w:tcW w:w="284" w:type="dxa"/>
            <w:tcBorders>
              <w:top w:val="nil"/>
              <w:left w:val="single" w:sz="8" w:space="0" w:color="000000"/>
              <w:bottom w:val="nil"/>
              <w:right w:val="nil"/>
            </w:tcBorders>
            <w:shd w:val="clear" w:color="auto" w:fill="auto"/>
            <w:noWrap/>
            <w:vAlign w:val="center"/>
          </w:tcPr>
          <w:p w14:paraId="06A84C98" w14:textId="77777777" w:rsidR="00E70382" w:rsidRPr="00DA2C5E" w:rsidRDefault="00E70382" w:rsidP="002F08E7">
            <w:pPr>
              <w:jc w:val="left"/>
              <w:rPr>
                <w:rFonts w:eastAsia="Times New Roman" w:cs="Times New Roman"/>
                <w:color w:val="000000"/>
                <w:sz w:val="16"/>
                <w:szCs w:val="16"/>
              </w:rPr>
            </w:pPr>
          </w:p>
        </w:tc>
        <w:tc>
          <w:tcPr>
            <w:tcW w:w="279" w:type="dxa"/>
            <w:vMerge/>
            <w:tcBorders>
              <w:top w:val="nil"/>
              <w:left w:val="nil"/>
              <w:bottom w:val="single" w:sz="8" w:space="0" w:color="000000"/>
              <w:right w:val="nil"/>
            </w:tcBorders>
            <w:shd w:val="clear" w:color="auto" w:fill="auto"/>
            <w:noWrap/>
            <w:vAlign w:val="center"/>
          </w:tcPr>
          <w:p w14:paraId="018F17E6" w14:textId="77777777" w:rsidR="00E70382" w:rsidRPr="00DA2C5E" w:rsidRDefault="00E70382" w:rsidP="002F08E7">
            <w:pPr>
              <w:jc w:val="left"/>
              <w:rPr>
                <w:rFonts w:eastAsia="Times New Roman" w:cs="Times New Roman"/>
                <w:color w:val="000000"/>
                <w:sz w:val="16"/>
                <w:szCs w:val="16"/>
              </w:rPr>
            </w:pPr>
          </w:p>
        </w:tc>
        <w:tc>
          <w:tcPr>
            <w:tcW w:w="4096" w:type="dxa"/>
            <w:gridSpan w:val="3"/>
            <w:tcBorders>
              <w:top w:val="nil"/>
              <w:left w:val="nil"/>
              <w:bottom w:val="nil"/>
              <w:right w:val="nil"/>
            </w:tcBorders>
            <w:shd w:val="clear" w:color="auto" w:fill="auto"/>
            <w:vAlign w:val="center"/>
          </w:tcPr>
          <w:p w14:paraId="69947A44"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Micro, small and medium-sized-enterprises and women-owned businesses whose capacity has been developed</w:t>
            </w:r>
          </w:p>
        </w:tc>
        <w:tc>
          <w:tcPr>
            <w:tcW w:w="931" w:type="dxa"/>
            <w:tcBorders>
              <w:top w:val="nil"/>
              <w:left w:val="nil"/>
              <w:bottom w:val="nil"/>
              <w:right w:val="nil"/>
            </w:tcBorders>
            <w:shd w:val="clear" w:color="auto" w:fill="auto"/>
            <w:noWrap/>
            <w:vAlign w:val="center"/>
          </w:tcPr>
          <w:p w14:paraId="002366E3"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n/a</w:t>
            </w:r>
          </w:p>
        </w:tc>
        <w:tc>
          <w:tcPr>
            <w:tcW w:w="930" w:type="dxa"/>
            <w:tcBorders>
              <w:top w:val="nil"/>
              <w:left w:val="nil"/>
              <w:bottom w:val="nil"/>
              <w:right w:val="nil"/>
            </w:tcBorders>
            <w:shd w:val="clear" w:color="auto" w:fill="auto"/>
            <w:noWrap/>
            <w:vAlign w:val="center"/>
          </w:tcPr>
          <w:p w14:paraId="692ECBC8"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2,000</w:t>
            </w:r>
          </w:p>
        </w:tc>
        <w:tc>
          <w:tcPr>
            <w:tcW w:w="2279" w:type="dxa"/>
            <w:vMerge w:val="restart"/>
            <w:tcBorders>
              <w:top w:val="nil"/>
              <w:left w:val="nil"/>
              <w:right w:val="single" w:sz="8" w:space="0" w:color="000000"/>
            </w:tcBorders>
            <w:shd w:val="clear" w:color="auto" w:fill="auto"/>
            <w:vAlign w:val="center"/>
          </w:tcPr>
          <w:p w14:paraId="434CB623"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GRI 204. Procurement practices</w:t>
            </w:r>
          </w:p>
        </w:tc>
      </w:tr>
      <w:tr w:rsidR="00E70382" w:rsidRPr="00DA2C5E" w14:paraId="381D977C" w14:textId="77777777" w:rsidTr="002F08E7">
        <w:trPr>
          <w:trHeight w:val="350"/>
        </w:trPr>
        <w:tc>
          <w:tcPr>
            <w:tcW w:w="284" w:type="dxa"/>
            <w:tcBorders>
              <w:top w:val="nil"/>
              <w:left w:val="single" w:sz="8" w:space="0" w:color="000000"/>
              <w:bottom w:val="nil"/>
              <w:right w:val="nil"/>
            </w:tcBorders>
            <w:shd w:val="clear" w:color="auto" w:fill="auto"/>
            <w:noWrap/>
            <w:vAlign w:val="center"/>
            <w:hideMark/>
          </w:tcPr>
          <w:p w14:paraId="63C6B84A"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279" w:type="dxa"/>
            <w:vMerge/>
            <w:tcBorders>
              <w:top w:val="nil"/>
              <w:left w:val="nil"/>
              <w:bottom w:val="single" w:sz="8" w:space="0" w:color="000000"/>
              <w:right w:val="nil"/>
            </w:tcBorders>
            <w:vAlign w:val="center"/>
            <w:hideMark/>
          </w:tcPr>
          <w:p w14:paraId="5998E964" w14:textId="77777777" w:rsidR="00E70382" w:rsidRPr="00DA2C5E" w:rsidRDefault="00E70382" w:rsidP="002F08E7">
            <w:pPr>
              <w:jc w:val="left"/>
              <w:rPr>
                <w:rFonts w:eastAsia="Times New Roman" w:cs="Times New Roman"/>
                <w:color w:val="000000"/>
                <w:sz w:val="16"/>
                <w:szCs w:val="16"/>
              </w:rPr>
            </w:pPr>
          </w:p>
        </w:tc>
        <w:tc>
          <w:tcPr>
            <w:tcW w:w="4096" w:type="dxa"/>
            <w:gridSpan w:val="3"/>
            <w:tcBorders>
              <w:top w:val="nil"/>
              <w:left w:val="nil"/>
              <w:bottom w:val="nil"/>
              <w:right w:val="nil"/>
            </w:tcBorders>
            <w:shd w:val="clear" w:color="auto" w:fill="auto"/>
            <w:vAlign w:val="center"/>
            <w:hideMark/>
          </w:tcPr>
          <w:p w14:paraId="5A3E7A7E" w14:textId="77777777" w:rsidR="00E70382" w:rsidRPr="00DA2C5E" w:rsidRDefault="00E70382" w:rsidP="002F08E7">
            <w:pPr>
              <w:jc w:val="left"/>
              <w:rPr>
                <w:rFonts w:eastAsia="Times New Roman" w:cs="Times New Roman"/>
                <w:sz w:val="16"/>
                <w:szCs w:val="16"/>
              </w:rPr>
            </w:pPr>
            <w:r w:rsidRPr="00DA2C5E">
              <w:rPr>
                <w:rFonts w:eastAsia="Times New Roman" w:cs="Times New Roman"/>
                <w:color w:val="000000"/>
                <w:sz w:val="16"/>
                <w:szCs w:val="16"/>
              </w:rPr>
              <w:t>Women-owned businesses participating in tender processes</w:t>
            </w:r>
          </w:p>
        </w:tc>
        <w:tc>
          <w:tcPr>
            <w:tcW w:w="931" w:type="dxa"/>
            <w:tcBorders>
              <w:top w:val="nil"/>
              <w:left w:val="nil"/>
              <w:bottom w:val="nil"/>
              <w:right w:val="nil"/>
            </w:tcBorders>
            <w:shd w:val="clear" w:color="auto" w:fill="auto"/>
            <w:noWrap/>
            <w:vAlign w:val="center"/>
            <w:hideMark/>
          </w:tcPr>
          <w:p w14:paraId="29EE1375"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n/a</w:t>
            </w:r>
          </w:p>
        </w:tc>
        <w:tc>
          <w:tcPr>
            <w:tcW w:w="930" w:type="dxa"/>
            <w:tcBorders>
              <w:top w:val="nil"/>
              <w:left w:val="nil"/>
              <w:bottom w:val="nil"/>
              <w:right w:val="nil"/>
            </w:tcBorders>
            <w:shd w:val="clear" w:color="auto" w:fill="auto"/>
            <w:noWrap/>
            <w:vAlign w:val="center"/>
            <w:hideMark/>
          </w:tcPr>
          <w:p w14:paraId="2D6D479F"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1,000</w:t>
            </w:r>
          </w:p>
        </w:tc>
        <w:tc>
          <w:tcPr>
            <w:tcW w:w="2279" w:type="dxa"/>
            <w:vMerge/>
            <w:tcBorders>
              <w:left w:val="nil"/>
              <w:right w:val="single" w:sz="8" w:space="0" w:color="000000"/>
            </w:tcBorders>
            <w:shd w:val="clear" w:color="auto" w:fill="auto"/>
            <w:noWrap/>
            <w:vAlign w:val="center"/>
            <w:hideMark/>
          </w:tcPr>
          <w:p w14:paraId="5461699D" w14:textId="77777777" w:rsidR="00E70382" w:rsidRPr="00DA2C5E" w:rsidRDefault="00E70382" w:rsidP="002F08E7">
            <w:pPr>
              <w:jc w:val="left"/>
              <w:rPr>
                <w:rFonts w:eastAsia="Times New Roman" w:cs="Times New Roman"/>
                <w:color w:val="000000"/>
                <w:sz w:val="16"/>
                <w:szCs w:val="16"/>
              </w:rPr>
            </w:pPr>
          </w:p>
        </w:tc>
      </w:tr>
      <w:tr w:rsidR="00E70382" w:rsidRPr="00DA2C5E" w14:paraId="481005B6" w14:textId="77777777" w:rsidTr="002F08E7">
        <w:trPr>
          <w:trHeight w:val="253"/>
        </w:trPr>
        <w:tc>
          <w:tcPr>
            <w:tcW w:w="284" w:type="dxa"/>
            <w:tcBorders>
              <w:top w:val="nil"/>
              <w:left w:val="single" w:sz="8" w:space="0" w:color="000000"/>
              <w:bottom w:val="single" w:sz="8" w:space="0" w:color="000000"/>
              <w:right w:val="nil"/>
            </w:tcBorders>
            <w:shd w:val="clear" w:color="auto" w:fill="auto"/>
            <w:noWrap/>
            <w:vAlign w:val="center"/>
            <w:hideMark/>
          </w:tcPr>
          <w:p w14:paraId="624935A7"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279" w:type="dxa"/>
            <w:vMerge/>
            <w:tcBorders>
              <w:top w:val="nil"/>
              <w:left w:val="nil"/>
              <w:bottom w:val="single" w:sz="8" w:space="0" w:color="000000"/>
              <w:right w:val="nil"/>
            </w:tcBorders>
            <w:vAlign w:val="center"/>
            <w:hideMark/>
          </w:tcPr>
          <w:p w14:paraId="2D9C3E0E" w14:textId="77777777" w:rsidR="00E70382" w:rsidRPr="00DA2C5E" w:rsidRDefault="00E70382" w:rsidP="002F08E7">
            <w:pPr>
              <w:jc w:val="left"/>
              <w:rPr>
                <w:rFonts w:eastAsia="Times New Roman" w:cs="Times New Roman"/>
                <w:color w:val="000000"/>
                <w:sz w:val="16"/>
                <w:szCs w:val="16"/>
              </w:rPr>
            </w:pPr>
          </w:p>
        </w:tc>
        <w:tc>
          <w:tcPr>
            <w:tcW w:w="4096" w:type="dxa"/>
            <w:gridSpan w:val="3"/>
            <w:tcBorders>
              <w:top w:val="nil"/>
              <w:left w:val="nil"/>
              <w:bottom w:val="single" w:sz="8" w:space="0" w:color="000000"/>
              <w:right w:val="nil"/>
            </w:tcBorders>
            <w:shd w:val="clear" w:color="auto" w:fill="auto"/>
            <w:vAlign w:val="center"/>
            <w:hideMark/>
          </w:tcPr>
          <w:p w14:paraId="5E0578A0" w14:textId="77777777" w:rsidR="00E70382" w:rsidRPr="00DA2C5E" w:rsidRDefault="00E70382" w:rsidP="002F08E7">
            <w:pPr>
              <w:jc w:val="left"/>
              <w:rPr>
                <w:rFonts w:ascii="Calibri" w:eastAsia="Times New Roman" w:hAnsi="Calibri" w:cs="Calibri"/>
                <w:sz w:val="16"/>
                <w:szCs w:val="16"/>
              </w:rPr>
            </w:pPr>
            <w:r w:rsidRPr="00DA2C5E">
              <w:rPr>
                <w:rFonts w:eastAsia="Times New Roman" w:cs="Times New Roman"/>
                <w:color w:val="000000"/>
                <w:sz w:val="16"/>
                <w:szCs w:val="16"/>
              </w:rPr>
              <w:t>Value of tenders awarded to women-owned businesses</w:t>
            </w:r>
          </w:p>
        </w:tc>
        <w:tc>
          <w:tcPr>
            <w:tcW w:w="931" w:type="dxa"/>
            <w:tcBorders>
              <w:top w:val="nil"/>
              <w:left w:val="nil"/>
              <w:bottom w:val="single" w:sz="8" w:space="0" w:color="000000"/>
              <w:right w:val="nil"/>
            </w:tcBorders>
            <w:shd w:val="clear" w:color="auto" w:fill="auto"/>
            <w:noWrap/>
            <w:vAlign w:val="center"/>
            <w:hideMark/>
          </w:tcPr>
          <w:p w14:paraId="12F16E4A"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n/a</w:t>
            </w:r>
          </w:p>
        </w:tc>
        <w:tc>
          <w:tcPr>
            <w:tcW w:w="930" w:type="dxa"/>
            <w:tcBorders>
              <w:top w:val="nil"/>
              <w:left w:val="nil"/>
              <w:bottom w:val="single" w:sz="8" w:space="0" w:color="000000"/>
              <w:right w:val="nil"/>
            </w:tcBorders>
            <w:shd w:val="clear" w:color="auto" w:fill="auto"/>
            <w:noWrap/>
            <w:vAlign w:val="center"/>
            <w:hideMark/>
          </w:tcPr>
          <w:p w14:paraId="5320D064"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$9 million</w:t>
            </w:r>
          </w:p>
        </w:tc>
        <w:tc>
          <w:tcPr>
            <w:tcW w:w="2279" w:type="dxa"/>
            <w:vMerge/>
            <w:tcBorders>
              <w:left w:val="nil"/>
              <w:bottom w:val="single" w:sz="8" w:space="0" w:color="000000"/>
              <w:right w:val="single" w:sz="8" w:space="0" w:color="000000"/>
            </w:tcBorders>
            <w:vAlign w:val="center"/>
            <w:hideMark/>
          </w:tcPr>
          <w:p w14:paraId="2CE77F6B" w14:textId="77777777" w:rsidR="00E70382" w:rsidRPr="00DA2C5E" w:rsidRDefault="00E70382" w:rsidP="002F08E7">
            <w:pPr>
              <w:jc w:val="left"/>
              <w:rPr>
                <w:rFonts w:eastAsia="Times New Roman" w:cs="Times New Roman"/>
                <w:color w:val="000000"/>
                <w:sz w:val="16"/>
                <w:szCs w:val="16"/>
              </w:rPr>
            </w:pPr>
          </w:p>
        </w:tc>
      </w:tr>
      <w:tr w:rsidR="00E70382" w:rsidRPr="00DA2C5E" w14:paraId="4E87FBD4" w14:textId="77777777" w:rsidTr="002F08E7">
        <w:trPr>
          <w:trHeight w:val="46"/>
        </w:trPr>
        <w:tc>
          <w:tcPr>
            <w:tcW w:w="3581" w:type="dxa"/>
            <w:gridSpan w:val="3"/>
            <w:tcBorders>
              <w:top w:val="single" w:sz="8" w:space="0" w:color="000000"/>
              <w:left w:val="single" w:sz="8" w:space="0" w:color="000000"/>
              <w:bottom w:val="single" w:sz="4" w:space="0" w:color="auto"/>
              <w:right w:val="nil"/>
            </w:tcBorders>
            <w:shd w:val="clear" w:color="auto" w:fill="auto"/>
            <w:noWrap/>
            <w:vAlign w:val="center"/>
            <w:hideMark/>
          </w:tcPr>
          <w:p w14:paraId="29B7E8CA" w14:textId="77777777" w:rsidR="00E70382" w:rsidRPr="00E00EA6" w:rsidRDefault="00E70382" w:rsidP="002F08E7">
            <w:pPr>
              <w:jc w:val="left"/>
              <w:rPr>
                <w:rFonts w:eastAsia="Times New Roman" w:cs="Times New Roman"/>
                <w:b/>
                <w:bCs/>
                <w:i/>
                <w:color w:val="000000"/>
                <w:sz w:val="4"/>
                <w:szCs w:val="4"/>
              </w:rPr>
            </w:pPr>
          </w:p>
          <w:p w14:paraId="0F6A66C7" w14:textId="77777777" w:rsidR="00E70382" w:rsidRPr="00DA2C5E" w:rsidRDefault="00E70382" w:rsidP="002F08E7">
            <w:pPr>
              <w:jc w:val="left"/>
              <w:rPr>
                <w:rFonts w:eastAsia="Times New Roman" w:cs="Times New Roman"/>
                <w:b/>
                <w:bCs/>
                <w:i/>
                <w:color w:val="000000"/>
                <w:sz w:val="16"/>
                <w:szCs w:val="16"/>
              </w:rPr>
            </w:pPr>
            <w:r w:rsidRPr="00DA2C5E">
              <w:rPr>
                <w:rFonts w:eastAsia="Times New Roman" w:cs="Times New Roman"/>
                <w:b/>
                <w:bCs/>
                <w:i/>
                <w:color w:val="000000"/>
                <w:sz w:val="16"/>
                <w:szCs w:val="16"/>
              </w:rPr>
              <w:t>(b) Social justice and inclusion</w:t>
            </w:r>
          </w:p>
        </w:tc>
        <w:tc>
          <w:tcPr>
            <w:tcW w:w="539" w:type="dxa"/>
            <w:tcBorders>
              <w:top w:val="nil"/>
              <w:left w:val="nil"/>
              <w:bottom w:val="single" w:sz="4" w:space="0" w:color="auto"/>
              <w:right w:val="nil"/>
            </w:tcBorders>
            <w:shd w:val="clear" w:color="auto" w:fill="auto"/>
            <w:noWrap/>
            <w:vAlign w:val="center"/>
            <w:hideMark/>
          </w:tcPr>
          <w:p w14:paraId="7FF58827" w14:textId="77777777" w:rsidR="00E70382" w:rsidRPr="00DA2C5E" w:rsidRDefault="00E70382" w:rsidP="002F08E7">
            <w:pPr>
              <w:jc w:val="left"/>
              <w:rPr>
                <w:rFonts w:eastAsia="Times New Roman" w:cs="Times New Roman"/>
                <w:sz w:val="16"/>
                <w:szCs w:val="16"/>
              </w:rPr>
            </w:pPr>
            <w:r w:rsidRPr="00DA2C5E">
              <w:rPr>
                <w:rFonts w:eastAsia="Times New Roman" w:cs="Times New Roman"/>
                <w:sz w:val="16"/>
                <w:szCs w:val="16"/>
              </w:rPr>
              <w:t> </w:t>
            </w:r>
          </w:p>
        </w:tc>
        <w:tc>
          <w:tcPr>
            <w:tcW w:w="539" w:type="dxa"/>
            <w:tcBorders>
              <w:top w:val="nil"/>
              <w:left w:val="nil"/>
              <w:bottom w:val="single" w:sz="4" w:space="0" w:color="auto"/>
              <w:right w:val="nil"/>
            </w:tcBorders>
            <w:shd w:val="clear" w:color="auto" w:fill="auto"/>
            <w:noWrap/>
            <w:vAlign w:val="center"/>
            <w:hideMark/>
          </w:tcPr>
          <w:p w14:paraId="0975324A" w14:textId="77777777" w:rsidR="00E70382" w:rsidRPr="00DA2C5E" w:rsidRDefault="00E70382" w:rsidP="002F08E7">
            <w:pPr>
              <w:jc w:val="left"/>
              <w:rPr>
                <w:rFonts w:ascii="Calibri" w:eastAsia="Times New Roman" w:hAnsi="Calibri" w:cs="Calibri"/>
                <w:sz w:val="16"/>
                <w:szCs w:val="16"/>
              </w:rPr>
            </w:pPr>
            <w:r w:rsidRPr="00DA2C5E">
              <w:rPr>
                <w:rFonts w:ascii="Calibri" w:eastAsia="Times New Roman" w:hAnsi="Calibri" w:cs="Calibri"/>
                <w:sz w:val="16"/>
                <w:szCs w:val="16"/>
              </w:rPr>
              <w:t> </w:t>
            </w:r>
          </w:p>
        </w:tc>
        <w:tc>
          <w:tcPr>
            <w:tcW w:w="931" w:type="dxa"/>
            <w:tcBorders>
              <w:top w:val="nil"/>
              <w:left w:val="nil"/>
              <w:bottom w:val="single" w:sz="4" w:space="0" w:color="auto"/>
              <w:right w:val="nil"/>
            </w:tcBorders>
            <w:shd w:val="clear" w:color="auto" w:fill="auto"/>
            <w:noWrap/>
            <w:vAlign w:val="center"/>
            <w:hideMark/>
          </w:tcPr>
          <w:p w14:paraId="7016E692"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930" w:type="dxa"/>
            <w:tcBorders>
              <w:top w:val="nil"/>
              <w:left w:val="nil"/>
              <w:bottom w:val="single" w:sz="4" w:space="0" w:color="auto"/>
              <w:right w:val="nil"/>
            </w:tcBorders>
            <w:shd w:val="clear" w:color="auto" w:fill="auto"/>
            <w:noWrap/>
            <w:vAlign w:val="center"/>
            <w:hideMark/>
          </w:tcPr>
          <w:p w14:paraId="399856E4"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2279" w:type="dxa"/>
            <w:tcBorders>
              <w:top w:val="nil"/>
              <w:left w:val="nil"/>
              <w:bottom w:val="single" w:sz="4" w:space="0" w:color="auto"/>
              <w:right w:val="single" w:sz="8" w:space="0" w:color="000000"/>
            </w:tcBorders>
            <w:shd w:val="clear" w:color="auto" w:fill="auto"/>
            <w:noWrap/>
            <w:vAlign w:val="center"/>
            <w:hideMark/>
          </w:tcPr>
          <w:p w14:paraId="244A3961"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r>
      <w:tr w:rsidR="00E70382" w:rsidRPr="00DA2C5E" w14:paraId="1EBF378D" w14:textId="77777777" w:rsidTr="002F08E7">
        <w:trPr>
          <w:trHeight w:val="211"/>
        </w:trPr>
        <w:tc>
          <w:tcPr>
            <w:tcW w:w="284" w:type="dxa"/>
            <w:tcBorders>
              <w:top w:val="single" w:sz="4" w:space="0" w:color="auto"/>
              <w:left w:val="single" w:sz="8" w:space="0" w:color="000000"/>
              <w:bottom w:val="nil"/>
              <w:right w:val="nil"/>
            </w:tcBorders>
            <w:shd w:val="clear" w:color="auto" w:fill="auto"/>
            <w:noWrap/>
            <w:vAlign w:val="center"/>
            <w:hideMark/>
          </w:tcPr>
          <w:p w14:paraId="51D4D9B1"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8515" w:type="dxa"/>
            <w:gridSpan w:val="7"/>
            <w:tcBorders>
              <w:top w:val="single" w:sz="4" w:space="0" w:color="auto"/>
              <w:left w:val="nil"/>
              <w:bottom w:val="nil"/>
              <w:right w:val="single" w:sz="8" w:space="0" w:color="000000"/>
            </w:tcBorders>
            <w:shd w:val="clear" w:color="auto" w:fill="auto"/>
            <w:vAlign w:val="center"/>
            <w:hideMark/>
          </w:tcPr>
          <w:p w14:paraId="6DB047CB" w14:textId="6CF7CCCA" w:rsidR="00E70382" w:rsidRPr="00DA2C5E" w:rsidRDefault="00E70382" w:rsidP="002F08E7">
            <w:pPr>
              <w:jc w:val="left"/>
              <w:rPr>
                <w:rFonts w:eastAsia="Times New Roman" w:cs="Times New Roman"/>
                <w:i/>
                <w:iCs/>
                <w:color w:val="000000"/>
                <w:sz w:val="16"/>
                <w:szCs w:val="16"/>
              </w:rPr>
            </w:pPr>
            <w:r w:rsidRPr="00DA2C5E">
              <w:rPr>
                <w:rFonts w:eastAsia="Times New Roman" w:cs="Times New Roman"/>
                <w:i/>
                <w:iCs/>
                <w:color w:val="000000"/>
                <w:sz w:val="16"/>
                <w:szCs w:val="16"/>
              </w:rPr>
              <w:t>(i) Exercising due diligence, respect for human rights and rights-based approaches, including for people with disabilities and other special</w:t>
            </w:r>
            <w:r>
              <w:rPr>
                <w:rFonts w:eastAsia="Times New Roman" w:cs="Times New Roman"/>
                <w:i/>
                <w:iCs/>
                <w:color w:val="000000"/>
                <w:sz w:val="16"/>
                <w:szCs w:val="16"/>
              </w:rPr>
              <w:t>-</w:t>
            </w:r>
            <w:r w:rsidRPr="00DA2C5E">
              <w:rPr>
                <w:rFonts w:eastAsia="Times New Roman" w:cs="Times New Roman"/>
                <w:i/>
                <w:iCs/>
                <w:color w:val="000000"/>
                <w:sz w:val="16"/>
                <w:szCs w:val="16"/>
              </w:rPr>
              <w:t>interest groups, and for advancing gender equality and empowerment of women and girls throughout implementation projects</w:t>
            </w:r>
          </w:p>
        </w:tc>
      </w:tr>
      <w:tr w:rsidR="00E70382" w:rsidRPr="00DA2C5E" w14:paraId="19A6EAE2" w14:textId="77777777" w:rsidTr="002F08E7">
        <w:trPr>
          <w:trHeight w:val="127"/>
        </w:trPr>
        <w:tc>
          <w:tcPr>
            <w:tcW w:w="284" w:type="dxa"/>
            <w:tcBorders>
              <w:top w:val="nil"/>
              <w:left w:val="single" w:sz="8" w:space="0" w:color="000000"/>
              <w:bottom w:val="nil"/>
              <w:right w:val="nil"/>
            </w:tcBorders>
            <w:shd w:val="clear" w:color="auto" w:fill="auto"/>
            <w:noWrap/>
            <w:vAlign w:val="center"/>
            <w:hideMark/>
          </w:tcPr>
          <w:p w14:paraId="28C2D8FE"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279" w:type="dxa"/>
            <w:tcBorders>
              <w:top w:val="nil"/>
              <w:left w:val="nil"/>
              <w:bottom w:val="nil"/>
              <w:right w:val="nil"/>
            </w:tcBorders>
            <w:shd w:val="clear" w:color="auto" w:fill="auto"/>
            <w:noWrap/>
            <w:vAlign w:val="center"/>
            <w:hideMark/>
          </w:tcPr>
          <w:p w14:paraId="560B47A9" w14:textId="77777777" w:rsidR="00E70382" w:rsidRPr="00DA2C5E" w:rsidRDefault="00E70382" w:rsidP="002F08E7">
            <w:pPr>
              <w:jc w:val="left"/>
              <w:rPr>
                <w:rFonts w:eastAsia="Times New Roman" w:cs="Times New Roman"/>
                <w:color w:val="000000"/>
                <w:sz w:val="16"/>
                <w:szCs w:val="16"/>
              </w:rPr>
            </w:pPr>
          </w:p>
        </w:tc>
        <w:tc>
          <w:tcPr>
            <w:tcW w:w="4096" w:type="dxa"/>
            <w:gridSpan w:val="3"/>
            <w:tcBorders>
              <w:top w:val="nil"/>
              <w:left w:val="nil"/>
              <w:bottom w:val="nil"/>
              <w:right w:val="nil"/>
            </w:tcBorders>
            <w:shd w:val="clear" w:color="auto" w:fill="auto"/>
            <w:vAlign w:val="center"/>
            <w:hideMark/>
          </w:tcPr>
          <w:p w14:paraId="09C911DD" w14:textId="77777777" w:rsidR="00E70382" w:rsidRPr="00DA2C5E" w:rsidRDefault="00E70382" w:rsidP="002F08E7">
            <w:pPr>
              <w:jc w:val="left"/>
              <w:rPr>
                <w:rFonts w:eastAsia="Times New Roman" w:cs="Times New Roman"/>
                <w:sz w:val="16"/>
                <w:szCs w:val="16"/>
              </w:rPr>
            </w:pPr>
            <w:r w:rsidRPr="00DA2C5E">
              <w:rPr>
                <w:rFonts w:eastAsia="Times New Roman" w:cs="Times New Roman"/>
                <w:color w:val="000000"/>
                <w:sz w:val="16"/>
                <w:szCs w:val="16"/>
              </w:rPr>
              <w:t xml:space="preserve">Share of projects implementing national capacity-building in project delivery </w:t>
            </w:r>
          </w:p>
        </w:tc>
        <w:tc>
          <w:tcPr>
            <w:tcW w:w="931" w:type="dxa"/>
            <w:tcBorders>
              <w:top w:val="nil"/>
              <w:left w:val="nil"/>
              <w:bottom w:val="nil"/>
              <w:right w:val="nil"/>
            </w:tcBorders>
            <w:shd w:val="clear" w:color="auto" w:fill="auto"/>
            <w:noWrap/>
            <w:vAlign w:val="center"/>
            <w:hideMark/>
          </w:tcPr>
          <w:p w14:paraId="01BEFB3E"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55%</w:t>
            </w:r>
          </w:p>
        </w:tc>
        <w:tc>
          <w:tcPr>
            <w:tcW w:w="930" w:type="dxa"/>
            <w:tcBorders>
              <w:top w:val="nil"/>
              <w:left w:val="nil"/>
              <w:bottom w:val="nil"/>
              <w:right w:val="nil"/>
            </w:tcBorders>
            <w:shd w:val="clear" w:color="auto" w:fill="auto"/>
            <w:noWrap/>
            <w:vAlign w:val="center"/>
            <w:hideMark/>
          </w:tcPr>
          <w:p w14:paraId="16B93698"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60%</w:t>
            </w:r>
          </w:p>
        </w:tc>
        <w:tc>
          <w:tcPr>
            <w:tcW w:w="2279" w:type="dxa"/>
            <w:vMerge w:val="restart"/>
            <w:tcBorders>
              <w:top w:val="nil"/>
              <w:left w:val="nil"/>
              <w:bottom w:val="nil"/>
              <w:right w:val="single" w:sz="8" w:space="0" w:color="000000"/>
            </w:tcBorders>
            <w:shd w:val="clear" w:color="auto" w:fill="auto"/>
            <w:vAlign w:val="center"/>
            <w:hideMark/>
          </w:tcPr>
          <w:p w14:paraId="5A701A1F"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GRI 203-2. Significant indirect economic impacts</w:t>
            </w:r>
          </w:p>
        </w:tc>
      </w:tr>
      <w:tr w:rsidR="00E70382" w:rsidRPr="00DA2C5E" w14:paraId="59F3E9EB" w14:textId="77777777" w:rsidTr="002F08E7">
        <w:trPr>
          <w:trHeight w:val="66"/>
        </w:trPr>
        <w:tc>
          <w:tcPr>
            <w:tcW w:w="284" w:type="dxa"/>
            <w:tcBorders>
              <w:top w:val="nil"/>
              <w:left w:val="single" w:sz="8" w:space="0" w:color="000000"/>
              <w:bottom w:val="nil"/>
              <w:right w:val="nil"/>
            </w:tcBorders>
            <w:shd w:val="clear" w:color="auto" w:fill="auto"/>
            <w:noWrap/>
            <w:vAlign w:val="center"/>
            <w:hideMark/>
          </w:tcPr>
          <w:p w14:paraId="338DAEDA"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279" w:type="dxa"/>
            <w:tcBorders>
              <w:top w:val="nil"/>
              <w:left w:val="nil"/>
              <w:bottom w:val="nil"/>
              <w:right w:val="nil"/>
            </w:tcBorders>
            <w:shd w:val="clear" w:color="auto" w:fill="auto"/>
            <w:noWrap/>
            <w:vAlign w:val="center"/>
            <w:hideMark/>
          </w:tcPr>
          <w:p w14:paraId="5D79B75D" w14:textId="77777777" w:rsidR="00E70382" w:rsidRPr="00DA2C5E" w:rsidRDefault="00E70382" w:rsidP="002F08E7">
            <w:pPr>
              <w:jc w:val="left"/>
              <w:rPr>
                <w:rFonts w:eastAsia="Times New Roman" w:cs="Times New Roman"/>
                <w:color w:val="000000"/>
                <w:sz w:val="16"/>
                <w:szCs w:val="16"/>
              </w:rPr>
            </w:pPr>
          </w:p>
        </w:tc>
        <w:tc>
          <w:tcPr>
            <w:tcW w:w="4096" w:type="dxa"/>
            <w:gridSpan w:val="3"/>
            <w:tcBorders>
              <w:top w:val="nil"/>
              <w:left w:val="nil"/>
              <w:bottom w:val="nil"/>
              <w:right w:val="nil"/>
            </w:tcBorders>
            <w:shd w:val="clear" w:color="auto" w:fill="auto"/>
            <w:noWrap/>
            <w:vAlign w:val="center"/>
            <w:hideMark/>
          </w:tcPr>
          <w:p w14:paraId="217C4048" w14:textId="77777777" w:rsidR="00E70382" w:rsidRPr="00DA2C5E" w:rsidRDefault="00E70382" w:rsidP="002F08E7">
            <w:pPr>
              <w:jc w:val="left"/>
              <w:rPr>
                <w:rFonts w:eastAsia="Times New Roman" w:cs="Times New Roman"/>
                <w:sz w:val="16"/>
                <w:szCs w:val="16"/>
              </w:rPr>
            </w:pPr>
            <w:r w:rsidRPr="00DA2C5E">
              <w:rPr>
                <w:rFonts w:eastAsia="Times New Roman" w:cs="Times New Roman"/>
                <w:color w:val="000000"/>
                <w:sz w:val="16"/>
                <w:szCs w:val="16"/>
              </w:rPr>
              <w:t>... for women</w:t>
            </w:r>
          </w:p>
        </w:tc>
        <w:tc>
          <w:tcPr>
            <w:tcW w:w="931" w:type="dxa"/>
            <w:tcBorders>
              <w:top w:val="nil"/>
              <w:left w:val="nil"/>
              <w:bottom w:val="nil"/>
              <w:right w:val="nil"/>
            </w:tcBorders>
            <w:shd w:val="clear" w:color="auto" w:fill="auto"/>
            <w:noWrap/>
            <w:vAlign w:val="center"/>
            <w:hideMark/>
          </w:tcPr>
          <w:p w14:paraId="36BAC74C"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47%</w:t>
            </w:r>
          </w:p>
        </w:tc>
        <w:tc>
          <w:tcPr>
            <w:tcW w:w="930" w:type="dxa"/>
            <w:tcBorders>
              <w:top w:val="nil"/>
              <w:left w:val="nil"/>
              <w:bottom w:val="nil"/>
              <w:right w:val="nil"/>
            </w:tcBorders>
            <w:shd w:val="clear" w:color="auto" w:fill="auto"/>
            <w:noWrap/>
            <w:vAlign w:val="center"/>
            <w:hideMark/>
          </w:tcPr>
          <w:p w14:paraId="367C90D7"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60%</w:t>
            </w:r>
          </w:p>
        </w:tc>
        <w:tc>
          <w:tcPr>
            <w:tcW w:w="2279" w:type="dxa"/>
            <w:vMerge/>
            <w:tcBorders>
              <w:top w:val="nil"/>
              <w:left w:val="nil"/>
              <w:bottom w:val="nil"/>
              <w:right w:val="single" w:sz="8" w:space="0" w:color="000000"/>
            </w:tcBorders>
            <w:vAlign w:val="center"/>
            <w:hideMark/>
          </w:tcPr>
          <w:p w14:paraId="63CD66F6" w14:textId="77777777" w:rsidR="00E70382" w:rsidRPr="00DA2C5E" w:rsidRDefault="00E70382" w:rsidP="002F08E7">
            <w:pPr>
              <w:jc w:val="left"/>
              <w:rPr>
                <w:rFonts w:eastAsia="Times New Roman" w:cs="Times New Roman"/>
                <w:color w:val="000000"/>
                <w:sz w:val="16"/>
                <w:szCs w:val="16"/>
              </w:rPr>
            </w:pPr>
          </w:p>
        </w:tc>
      </w:tr>
      <w:tr w:rsidR="00E70382" w:rsidRPr="00DA2C5E" w14:paraId="3EEC8972" w14:textId="77777777" w:rsidTr="002F08E7">
        <w:trPr>
          <w:trHeight w:val="66"/>
        </w:trPr>
        <w:tc>
          <w:tcPr>
            <w:tcW w:w="284" w:type="dxa"/>
            <w:tcBorders>
              <w:top w:val="nil"/>
              <w:left w:val="single" w:sz="8" w:space="0" w:color="000000"/>
              <w:bottom w:val="nil"/>
              <w:right w:val="nil"/>
            </w:tcBorders>
            <w:shd w:val="clear" w:color="auto" w:fill="auto"/>
            <w:noWrap/>
            <w:vAlign w:val="center"/>
            <w:hideMark/>
          </w:tcPr>
          <w:p w14:paraId="7D61D48D"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279" w:type="dxa"/>
            <w:tcBorders>
              <w:top w:val="nil"/>
              <w:left w:val="nil"/>
              <w:bottom w:val="nil"/>
              <w:right w:val="nil"/>
            </w:tcBorders>
            <w:shd w:val="clear" w:color="auto" w:fill="auto"/>
            <w:noWrap/>
            <w:vAlign w:val="center"/>
            <w:hideMark/>
          </w:tcPr>
          <w:p w14:paraId="2D2432EA" w14:textId="77777777" w:rsidR="00E70382" w:rsidRPr="00DA2C5E" w:rsidRDefault="00E70382" w:rsidP="002F08E7">
            <w:pPr>
              <w:jc w:val="left"/>
              <w:rPr>
                <w:rFonts w:eastAsia="Times New Roman" w:cs="Times New Roman"/>
                <w:color w:val="000000"/>
                <w:sz w:val="16"/>
                <w:szCs w:val="16"/>
              </w:rPr>
            </w:pPr>
          </w:p>
        </w:tc>
        <w:tc>
          <w:tcPr>
            <w:tcW w:w="4096" w:type="dxa"/>
            <w:gridSpan w:val="3"/>
            <w:tcBorders>
              <w:top w:val="nil"/>
              <w:left w:val="nil"/>
              <w:bottom w:val="nil"/>
              <w:right w:val="nil"/>
            </w:tcBorders>
            <w:shd w:val="clear" w:color="auto" w:fill="auto"/>
            <w:noWrap/>
            <w:vAlign w:val="center"/>
            <w:hideMark/>
          </w:tcPr>
          <w:p w14:paraId="60C20110" w14:textId="77777777" w:rsidR="00E70382" w:rsidRPr="00DA2C5E" w:rsidRDefault="00E70382" w:rsidP="002F08E7">
            <w:pPr>
              <w:jc w:val="left"/>
              <w:rPr>
                <w:rFonts w:eastAsia="Times New Roman" w:cs="Times New Roman"/>
                <w:sz w:val="16"/>
                <w:szCs w:val="16"/>
              </w:rPr>
            </w:pPr>
            <w:r w:rsidRPr="00DA2C5E">
              <w:rPr>
                <w:rFonts w:eastAsia="Times New Roman" w:cs="Times New Roman"/>
                <w:color w:val="000000"/>
                <w:sz w:val="16"/>
                <w:szCs w:val="16"/>
              </w:rPr>
              <w:t>... for people with disabilities</w:t>
            </w:r>
          </w:p>
        </w:tc>
        <w:tc>
          <w:tcPr>
            <w:tcW w:w="931" w:type="dxa"/>
            <w:tcBorders>
              <w:top w:val="nil"/>
              <w:left w:val="nil"/>
              <w:bottom w:val="nil"/>
              <w:right w:val="nil"/>
            </w:tcBorders>
            <w:shd w:val="clear" w:color="auto" w:fill="auto"/>
            <w:noWrap/>
            <w:vAlign w:val="center"/>
            <w:hideMark/>
          </w:tcPr>
          <w:p w14:paraId="0DAFBCA6"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16%</w:t>
            </w:r>
          </w:p>
        </w:tc>
        <w:tc>
          <w:tcPr>
            <w:tcW w:w="930" w:type="dxa"/>
            <w:tcBorders>
              <w:top w:val="nil"/>
              <w:left w:val="nil"/>
              <w:bottom w:val="nil"/>
              <w:right w:val="nil"/>
            </w:tcBorders>
            <w:shd w:val="clear" w:color="auto" w:fill="auto"/>
            <w:noWrap/>
            <w:vAlign w:val="center"/>
            <w:hideMark/>
          </w:tcPr>
          <w:p w14:paraId="29E4ED1F"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20%</w:t>
            </w:r>
          </w:p>
        </w:tc>
        <w:tc>
          <w:tcPr>
            <w:tcW w:w="2279" w:type="dxa"/>
            <w:vMerge/>
            <w:tcBorders>
              <w:top w:val="nil"/>
              <w:left w:val="nil"/>
              <w:bottom w:val="nil"/>
              <w:right w:val="single" w:sz="8" w:space="0" w:color="000000"/>
            </w:tcBorders>
            <w:vAlign w:val="center"/>
            <w:hideMark/>
          </w:tcPr>
          <w:p w14:paraId="4E69764F" w14:textId="77777777" w:rsidR="00E70382" w:rsidRPr="00DA2C5E" w:rsidRDefault="00E70382" w:rsidP="002F08E7">
            <w:pPr>
              <w:jc w:val="left"/>
              <w:rPr>
                <w:rFonts w:eastAsia="Times New Roman" w:cs="Times New Roman"/>
                <w:color w:val="000000"/>
                <w:sz w:val="16"/>
                <w:szCs w:val="16"/>
              </w:rPr>
            </w:pPr>
          </w:p>
        </w:tc>
      </w:tr>
      <w:tr w:rsidR="00E70382" w:rsidRPr="00DA2C5E" w14:paraId="73A08681" w14:textId="77777777" w:rsidTr="002F08E7">
        <w:trPr>
          <w:trHeight w:val="56"/>
        </w:trPr>
        <w:tc>
          <w:tcPr>
            <w:tcW w:w="284" w:type="dxa"/>
            <w:tcBorders>
              <w:top w:val="single" w:sz="4" w:space="0" w:color="000000"/>
              <w:left w:val="single" w:sz="8" w:space="0" w:color="000000"/>
              <w:bottom w:val="nil"/>
              <w:right w:val="nil"/>
            </w:tcBorders>
            <w:shd w:val="clear" w:color="auto" w:fill="auto"/>
            <w:noWrap/>
            <w:vAlign w:val="center"/>
            <w:hideMark/>
          </w:tcPr>
          <w:p w14:paraId="13619E9A"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8515" w:type="dxa"/>
            <w:gridSpan w:val="7"/>
            <w:tcBorders>
              <w:top w:val="single" w:sz="4" w:space="0" w:color="000000"/>
              <w:left w:val="nil"/>
              <w:bottom w:val="nil"/>
              <w:right w:val="single" w:sz="8" w:space="0" w:color="000000"/>
            </w:tcBorders>
            <w:shd w:val="clear" w:color="auto" w:fill="auto"/>
            <w:vAlign w:val="center"/>
            <w:hideMark/>
          </w:tcPr>
          <w:p w14:paraId="230E38AA" w14:textId="77777777" w:rsidR="00E70382" w:rsidRPr="00DA2C5E" w:rsidRDefault="00E70382" w:rsidP="002F08E7">
            <w:pPr>
              <w:jc w:val="left"/>
              <w:rPr>
                <w:rFonts w:eastAsia="Times New Roman" w:cs="Times New Roman"/>
                <w:i/>
                <w:iCs/>
                <w:color w:val="000000"/>
                <w:sz w:val="16"/>
                <w:szCs w:val="16"/>
              </w:rPr>
            </w:pPr>
            <w:r w:rsidRPr="00DA2C5E">
              <w:rPr>
                <w:rFonts w:eastAsia="Times New Roman" w:cs="Times New Roman"/>
                <w:i/>
                <w:iCs/>
                <w:color w:val="000000"/>
                <w:sz w:val="16"/>
                <w:szCs w:val="16"/>
              </w:rPr>
              <w:t>(ii) Engaging local communities and beneficiaries and ensuring equitable access to project benefits, with</w:t>
            </w:r>
            <w:r>
              <w:rPr>
                <w:rFonts w:eastAsia="Times New Roman" w:cs="Times New Roman"/>
                <w:i/>
                <w:iCs/>
                <w:color w:val="000000"/>
                <w:sz w:val="16"/>
                <w:szCs w:val="16"/>
              </w:rPr>
              <w:t xml:space="preserve"> a</w:t>
            </w:r>
            <w:r w:rsidRPr="00DA2C5E">
              <w:rPr>
                <w:rFonts w:eastAsia="Times New Roman" w:cs="Times New Roman"/>
                <w:i/>
                <w:iCs/>
                <w:color w:val="000000"/>
                <w:sz w:val="16"/>
                <w:szCs w:val="16"/>
              </w:rPr>
              <w:t xml:space="preserve"> particular emphasis on protecting the most vulnerable</w:t>
            </w:r>
          </w:p>
        </w:tc>
      </w:tr>
      <w:tr w:rsidR="00E70382" w:rsidRPr="00DA2C5E" w14:paraId="644A354B" w14:textId="77777777" w:rsidTr="002F08E7">
        <w:trPr>
          <w:trHeight w:val="66"/>
        </w:trPr>
        <w:tc>
          <w:tcPr>
            <w:tcW w:w="284" w:type="dxa"/>
            <w:tcBorders>
              <w:top w:val="nil"/>
              <w:left w:val="single" w:sz="8" w:space="0" w:color="000000"/>
              <w:bottom w:val="nil"/>
              <w:right w:val="nil"/>
            </w:tcBorders>
            <w:shd w:val="clear" w:color="auto" w:fill="auto"/>
            <w:noWrap/>
            <w:vAlign w:val="center"/>
            <w:hideMark/>
          </w:tcPr>
          <w:p w14:paraId="7054FE44"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279" w:type="dxa"/>
            <w:tcBorders>
              <w:top w:val="nil"/>
              <w:left w:val="nil"/>
              <w:bottom w:val="nil"/>
              <w:right w:val="nil"/>
            </w:tcBorders>
            <w:shd w:val="clear" w:color="auto" w:fill="auto"/>
            <w:noWrap/>
            <w:vAlign w:val="center"/>
            <w:hideMark/>
          </w:tcPr>
          <w:p w14:paraId="07AB7D34" w14:textId="77777777" w:rsidR="00E70382" w:rsidRPr="00DA2C5E" w:rsidRDefault="00E70382" w:rsidP="002F08E7">
            <w:pPr>
              <w:jc w:val="left"/>
              <w:rPr>
                <w:rFonts w:eastAsia="Times New Roman" w:cs="Times New Roman"/>
                <w:color w:val="000000"/>
                <w:sz w:val="16"/>
                <w:szCs w:val="16"/>
              </w:rPr>
            </w:pPr>
          </w:p>
        </w:tc>
        <w:tc>
          <w:tcPr>
            <w:tcW w:w="4096" w:type="dxa"/>
            <w:gridSpan w:val="3"/>
            <w:tcBorders>
              <w:top w:val="nil"/>
              <w:left w:val="nil"/>
              <w:bottom w:val="nil"/>
              <w:right w:val="nil"/>
            </w:tcBorders>
            <w:shd w:val="clear" w:color="auto" w:fill="auto"/>
            <w:vAlign w:val="center"/>
            <w:hideMark/>
          </w:tcPr>
          <w:p w14:paraId="58EEE92A" w14:textId="77777777" w:rsidR="00E70382" w:rsidRPr="00DA2C5E" w:rsidRDefault="00E70382" w:rsidP="002F08E7">
            <w:pPr>
              <w:jc w:val="left"/>
              <w:rPr>
                <w:rFonts w:eastAsia="Times New Roman" w:cs="Times New Roman"/>
                <w:i/>
                <w:iCs/>
                <w:sz w:val="16"/>
                <w:szCs w:val="16"/>
              </w:rPr>
            </w:pPr>
            <w:r w:rsidRPr="00DA2C5E">
              <w:rPr>
                <w:rFonts w:eastAsia="Times New Roman" w:cs="Times New Roman"/>
                <w:color w:val="000000"/>
                <w:sz w:val="16"/>
                <w:szCs w:val="16"/>
              </w:rPr>
              <w:t>Share of projects with local community engagement activities</w:t>
            </w:r>
          </w:p>
        </w:tc>
        <w:tc>
          <w:tcPr>
            <w:tcW w:w="931" w:type="dxa"/>
            <w:tcBorders>
              <w:top w:val="nil"/>
              <w:left w:val="nil"/>
              <w:bottom w:val="nil"/>
              <w:right w:val="nil"/>
            </w:tcBorders>
            <w:shd w:val="clear" w:color="auto" w:fill="auto"/>
            <w:noWrap/>
            <w:vAlign w:val="center"/>
            <w:hideMark/>
          </w:tcPr>
          <w:p w14:paraId="6073CFB7"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45%</w:t>
            </w:r>
          </w:p>
        </w:tc>
        <w:tc>
          <w:tcPr>
            <w:tcW w:w="930" w:type="dxa"/>
            <w:tcBorders>
              <w:top w:val="nil"/>
              <w:left w:val="nil"/>
              <w:bottom w:val="nil"/>
              <w:right w:val="nil"/>
            </w:tcBorders>
            <w:shd w:val="clear" w:color="auto" w:fill="auto"/>
            <w:noWrap/>
            <w:vAlign w:val="center"/>
            <w:hideMark/>
          </w:tcPr>
          <w:p w14:paraId="55F4890E"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50%</w:t>
            </w:r>
          </w:p>
        </w:tc>
        <w:tc>
          <w:tcPr>
            <w:tcW w:w="2279" w:type="dxa"/>
            <w:vMerge w:val="restart"/>
            <w:tcBorders>
              <w:top w:val="nil"/>
              <w:left w:val="nil"/>
              <w:bottom w:val="single" w:sz="4" w:space="0" w:color="000000"/>
              <w:right w:val="single" w:sz="8" w:space="0" w:color="000000"/>
            </w:tcBorders>
            <w:shd w:val="clear" w:color="000000" w:fill="FFFFFF"/>
            <w:vAlign w:val="center"/>
            <w:hideMark/>
          </w:tcPr>
          <w:p w14:paraId="213AB54E"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GRI 413-1. Operations with local community engagement, impact assessments, and development programmes</w:t>
            </w:r>
          </w:p>
        </w:tc>
      </w:tr>
      <w:tr w:rsidR="00E70382" w:rsidRPr="00DA2C5E" w14:paraId="2ED9FD8D" w14:textId="77777777" w:rsidTr="002F08E7">
        <w:trPr>
          <w:trHeight w:val="56"/>
        </w:trPr>
        <w:tc>
          <w:tcPr>
            <w:tcW w:w="284" w:type="dxa"/>
            <w:tcBorders>
              <w:top w:val="nil"/>
              <w:left w:val="single" w:sz="8" w:space="0" w:color="000000"/>
              <w:bottom w:val="nil"/>
              <w:right w:val="nil"/>
            </w:tcBorders>
            <w:shd w:val="clear" w:color="auto" w:fill="auto"/>
            <w:noWrap/>
            <w:vAlign w:val="center"/>
            <w:hideMark/>
          </w:tcPr>
          <w:p w14:paraId="0DEB74C9"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279" w:type="dxa"/>
            <w:tcBorders>
              <w:top w:val="nil"/>
              <w:left w:val="nil"/>
              <w:bottom w:val="nil"/>
              <w:right w:val="nil"/>
            </w:tcBorders>
            <w:shd w:val="clear" w:color="auto" w:fill="auto"/>
            <w:noWrap/>
            <w:vAlign w:val="center"/>
            <w:hideMark/>
          </w:tcPr>
          <w:p w14:paraId="1CEC0422" w14:textId="77777777" w:rsidR="00E70382" w:rsidRPr="00DA2C5E" w:rsidRDefault="00E70382" w:rsidP="002F08E7">
            <w:pPr>
              <w:jc w:val="left"/>
              <w:rPr>
                <w:rFonts w:eastAsia="Times New Roman" w:cs="Times New Roman"/>
                <w:color w:val="000000"/>
                <w:sz w:val="16"/>
                <w:szCs w:val="16"/>
              </w:rPr>
            </w:pPr>
          </w:p>
        </w:tc>
        <w:tc>
          <w:tcPr>
            <w:tcW w:w="4096" w:type="dxa"/>
            <w:gridSpan w:val="3"/>
            <w:tcBorders>
              <w:top w:val="nil"/>
              <w:left w:val="nil"/>
              <w:bottom w:val="nil"/>
              <w:right w:val="nil"/>
            </w:tcBorders>
            <w:shd w:val="clear" w:color="auto" w:fill="auto"/>
            <w:noWrap/>
            <w:vAlign w:val="center"/>
            <w:hideMark/>
          </w:tcPr>
          <w:p w14:paraId="25676046" w14:textId="77777777" w:rsidR="00E70382" w:rsidRPr="00DA2C5E" w:rsidRDefault="00E70382" w:rsidP="002F08E7">
            <w:pPr>
              <w:jc w:val="left"/>
              <w:rPr>
                <w:rFonts w:eastAsia="Times New Roman" w:cs="Times New Roman"/>
                <w:i/>
                <w:iCs/>
                <w:sz w:val="16"/>
                <w:szCs w:val="16"/>
              </w:rPr>
            </w:pPr>
            <w:r w:rsidRPr="00DA2C5E">
              <w:rPr>
                <w:rFonts w:eastAsia="Times New Roman" w:cs="Times New Roman"/>
                <w:color w:val="000000"/>
                <w:sz w:val="16"/>
                <w:szCs w:val="16"/>
              </w:rPr>
              <w:t>... for women</w:t>
            </w:r>
          </w:p>
        </w:tc>
        <w:tc>
          <w:tcPr>
            <w:tcW w:w="931" w:type="dxa"/>
            <w:tcBorders>
              <w:top w:val="nil"/>
              <w:left w:val="nil"/>
              <w:bottom w:val="nil"/>
              <w:right w:val="nil"/>
            </w:tcBorders>
            <w:shd w:val="clear" w:color="auto" w:fill="auto"/>
            <w:noWrap/>
            <w:vAlign w:val="center"/>
            <w:hideMark/>
          </w:tcPr>
          <w:p w14:paraId="09E521B1"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44%</w:t>
            </w:r>
          </w:p>
        </w:tc>
        <w:tc>
          <w:tcPr>
            <w:tcW w:w="930" w:type="dxa"/>
            <w:tcBorders>
              <w:top w:val="nil"/>
              <w:left w:val="nil"/>
              <w:bottom w:val="nil"/>
              <w:right w:val="nil"/>
            </w:tcBorders>
            <w:shd w:val="clear" w:color="auto" w:fill="auto"/>
            <w:noWrap/>
            <w:vAlign w:val="center"/>
            <w:hideMark/>
          </w:tcPr>
          <w:p w14:paraId="364A48FC"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50%</w:t>
            </w:r>
          </w:p>
        </w:tc>
        <w:tc>
          <w:tcPr>
            <w:tcW w:w="2279" w:type="dxa"/>
            <w:vMerge/>
            <w:tcBorders>
              <w:top w:val="nil"/>
              <w:left w:val="nil"/>
              <w:bottom w:val="single" w:sz="4" w:space="0" w:color="000000"/>
              <w:right w:val="single" w:sz="8" w:space="0" w:color="000000"/>
            </w:tcBorders>
            <w:vAlign w:val="center"/>
            <w:hideMark/>
          </w:tcPr>
          <w:p w14:paraId="5ADEC28A" w14:textId="77777777" w:rsidR="00E70382" w:rsidRPr="00DA2C5E" w:rsidRDefault="00E70382" w:rsidP="002F08E7">
            <w:pPr>
              <w:jc w:val="left"/>
              <w:rPr>
                <w:rFonts w:eastAsia="Times New Roman" w:cs="Times New Roman"/>
                <w:color w:val="000000"/>
                <w:sz w:val="16"/>
                <w:szCs w:val="16"/>
              </w:rPr>
            </w:pPr>
          </w:p>
        </w:tc>
      </w:tr>
      <w:tr w:rsidR="00E70382" w:rsidRPr="00DA2C5E" w14:paraId="19DF5250" w14:textId="77777777" w:rsidTr="002F08E7">
        <w:trPr>
          <w:trHeight w:val="56"/>
        </w:trPr>
        <w:tc>
          <w:tcPr>
            <w:tcW w:w="284" w:type="dxa"/>
            <w:tcBorders>
              <w:top w:val="nil"/>
              <w:left w:val="single" w:sz="8" w:space="0" w:color="000000"/>
              <w:bottom w:val="single" w:sz="4" w:space="0" w:color="000000"/>
              <w:right w:val="nil"/>
            </w:tcBorders>
            <w:shd w:val="clear" w:color="auto" w:fill="auto"/>
            <w:noWrap/>
            <w:vAlign w:val="center"/>
            <w:hideMark/>
          </w:tcPr>
          <w:p w14:paraId="7BE0E6C1"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279" w:type="dxa"/>
            <w:tcBorders>
              <w:top w:val="nil"/>
              <w:left w:val="nil"/>
              <w:bottom w:val="single" w:sz="4" w:space="0" w:color="000000"/>
              <w:right w:val="nil"/>
            </w:tcBorders>
            <w:shd w:val="clear" w:color="auto" w:fill="auto"/>
            <w:noWrap/>
            <w:vAlign w:val="center"/>
            <w:hideMark/>
          </w:tcPr>
          <w:p w14:paraId="7E0186D3"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4096" w:type="dxa"/>
            <w:gridSpan w:val="3"/>
            <w:tcBorders>
              <w:top w:val="nil"/>
              <w:left w:val="nil"/>
              <w:bottom w:val="single" w:sz="4" w:space="0" w:color="000000"/>
              <w:right w:val="nil"/>
            </w:tcBorders>
            <w:shd w:val="clear" w:color="auto" w:fill="auto"/>
            <w:noWrap/>
            <w:vAlign w:val="center"/>
            <w:hideMark/>
          </w:tcPr>
          <w:p w14:paraId="1B9E51A7" w14:textId="77777777" w:rsidR="00E70382" w:rsidRPr="00DA2C5E" w:rsidRDefault="00E70382" w:rsidP="002F08E7">
            <w:pPr>
              <w:jc w:val="left"/>
              <w:rPr>
                <w:rFonts w:eastAsia="Times New Roman" w:cs="Times New Roman"/>
                <w:i/>
                <w:iCs/>
                <w:sz w:val="16"/>
                <w:szCs w:val="16"/>
              </w:rPr>
            </w:pPr>
            <w:r w:rsidRPr="00DA2C5E">
              <w:rPr>
                <w:rFonts w:eastAsia="Times New Roman" w:cs="Times New Roman"/>
                <w:color w:val="000000"/>
                <w:sz w:val="16"/>
                <w:szCs w:val="16"/>
              </w:rPr>
              <w:t>... for people with disabilities</w:t>
            </w:r>
          </w:p>
        </w:tc>
        <w:tc>
          <w:tcPr>
            <w:tcW w:w="931" w:type="dxa"/>
            <w:tcBorders>
              <w:top w:val="nil"/>
              <w:left w:val="nil"/>
              <w:bottom w:val="single" w:sz="4" w:space="0" w:color="000000"/>
              <w:right w:val="nil"/>
            </w:tcBorders>
            <w:shd w:val="clear" w:color="auto" w:fill="auto"/>
            <w:noWrap/>
            <w:vAlign w:val="center"/>
            <w:hideMark/>
          </w:tcPr>
          <w:p w14:paraId="23AF3708"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n/a</w:t>
            </w:r>
          </w:p>
        </w:tc>
        <w:tc>
          <w:tcPr>
            <w:tcW w:w="930" w:type="dxa"/>
            <w:tcBorders>
              <w:top w:val="nil"/>
              <w:left w:val="nil"/>
              <w:bottom w:val="single" w:sz="4" w:space="0" w:color="000000"/>
              <w:right w:val="nil"/>
            </w:tcBorders>
            <w:shd w:val="clear" w:color="auto" w:fill="auto"/>
            <w:noWrap/>
            <w:vAlign w:val="center"/>
            <w:hideMark/>
          </w:tcPr>
          <w:p w14:paraId="13DEECB3"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20%</w:t>
            </w:r>
          </w:p>
        </w:tc>
        <w:tc>
          <w:tcPr>
            <w:tcW w:w="2279" w:type="dxa"/>
            <w:vMerge/>
            <w:tcBorders>
              <w:top w:val="nil"/>
              <w:left w:val="nil"/>
              <w:bottom w:val="single" w:sz="4" w:space="0" w:color="000000"/>
              <w:right w:val="single" w:sz="8" w:space="0" w:color="000000"/>
            </w:tcBorders>
            <w:vAlign w:val="center"/>
            <w:hideMark/>
          </w:tcPr>
          <w:p w14:paraId="6A2B4ABE" w14:textId="77777777" w:rsidR="00E70382" w:rsidRPr="00DA2C5E" w:rsidRDefault="00E70382" w:rsidP="002F08E7">
            <w:pPr>
              <w:jc w:val="left"/>
              <w:rPr>
                <w:rFonts w:eastAsia="Times New Roman" w:cs="Times New Roman"/>
                <w:color w:val="000000"/>
                <w:sz w:val="16"/>
                <w:szCs w:val="16"/>
              </w:rPr>
            </w:pPr>
          </w:p>
        </w:tc>
      </w:tr>
      <w:tr w:rsidR="00E70382" w:rsidRPr="00DA2C5E" w14:paraId="37240B9B" w14:textId="77777777" w:rsidTr="002F08E7">
        <w:trPr>
          <w:trHeight w:val="56"/>
        </w:trPr>
        <w:tc>
          <w:tcPr>
            <w:tcW w:w="284" w:type="dxa"/>
            <w:tcBorders>
              <w:top w:val="nil"/>
              <w:left w:val="single" w:sz="8" w:space="0" w:color="000000"/>
              <w:bottom w:val="nil"/>
              <w:right w:val="nil"/>
            </w:tcBorders>
            <w:shd w:val="clear" w:color="auto" w:fill="auto"/>
            <w:noWrap/>
            <w:vAlign w:val="center"/>
            <w:hideMark/>
          </w:tcPr>
          <w:p w14:paraId="27658122"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8515" w:type="dxa"/>
            <w:gridSpan w:val="7"/>
            <w:tcBorders>
              <w:top w:val="nil"/>
              <w:left w:val="nil"/>
              <w:bottom w:val="nil"/>
              <w:right w:val="single" w:sz="8" w:space="0" w:color="000000"/>
            </w:tcBorders>
            <w:shd w:val="clear" w:color="auto" w:fill="auto"/>
            <w:vAlign w:val="center"/>
            <w:hideMark/>
          </w:tcPr>
          <w:p w14:paraId="7C17C66C" w14:textId="77777777" w:rsidR="00E70382" w:rsidRPr="00DA2C5E" w:rsidRDefault="00E70382" w:rsidP="002F08E7">
            <w:pPr>
              <w:jc w:val="left"/>
              <w:rPr>
                <w:rFonts w:eastAsia="Times New Roman" w:cs="Times New Roman"/>
                <w:i/>
                <w:iCs/>
                <w:color w:val="000000"/>
                <w:sz w:val="16"/>
                <w:szCs w:val="16"/>
              </w:rPr>
            </w:pPr>
            <w:r w:rsidRPr="00DA2C5E">
              <w:rPr>
                <w:rFonts w:eastAsia="Times New Roman" w:cs="Times New Roman"/>
                <w:i/>
                <w:iCs/>
                <w:color w:val="000000"/>
                <w:sz w:val="16"/>
                <w:szCs w:val="16"/>
              </w:rPr>
              <w:t>(iii) Facilitating access to food, water, sanitation, energy, health, education, justice and security-related services</w:t>
            </w:r>
          </w:p>
        </w:tc>
      </w:tr>
      <w:tr w:rsidR="00E70382" w:rsidRPr="00DA2C5E" w14:paraId="64852055" w14:textId="77777777" w:rsidTr="002F08E7">
        <w:trPr>
          <w:trHeight w:val="450"/>
        </w:trPr>
        <w:tc>
          <w:tcPr>
            <w:tcW w:w="284" w:type="dxa"/>
            <w:tcBorders>
              <w:top w:val="nil"/>
              <w:left w:val="single" w:sz="8" w:space="0" w:color="000000"/>
              <w:bottom w:val="nil"/>
              <w:right w:val="nil"/>
            </w:tcBorders>
            <w:shd w:val="clear" w:color="auto" w:fill="auto"/>
            <w:noWrap/>
            <w:vAlign w:val="center"/>
            <w:hideMark/>
          </w:tcPr>
          <w:p w14:paraId="7CDE0236"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279" w:type="dxa"/>
            <w:tcBorders>
              <w:top w:val="nil"/>
              <w:left w:val="nil"/>
              <w:bottom w:val="nil"/>
              <w:right w:val="nil"/>
            </w:tcBorders>
            <w:shd w:val="clear" w:color="auto" w:fill="auto"/>
            <w:noWrap/>
            <w:vAlign w:val="center"/>
            <w:hideMark/>
          </w:tcPr>
          <w:p w14:paraId="6C07C7B4" w14:textId="77777777" w:rsidR="00E70382" w:rsidRPr="00DA2C5E" w:rsidRDefault="00E70382" w:rsidP="002F08E7">
            <w:pPr>
              <w:jc w:val="left"/>
              <w:rPr>
                <w:rFonts w:eastAsia="Times New Roman" w:cs="Times New Roman"/>
                <w:color w:val="000000"/>
                <w:sz w:val="16"/>
                <w:szCs w:val="16"/>
              </w:rPr>
            </w:pPr>
          </w:p>
        </w:tc>
        <w:tc>
          <w:tcPr>
            <w:tcW w:w="4096" w:type="dxa"/>
            <w:gridSpan w:val="3"/>
            <w:tcBorders>
              <w:top w:val="nil"/>
              <w:left w:val="nil"/>
              <w:bottom w:val="nil"/>
              <w:right w:val="nil"/>
            </w:tcBorders>
            <w:shd w:val="clear" w:color="auto" w:fill="auto"/>
            <w:vAlign w:val="center"/>
            <w:hideMark/>
          </w:tcPr>
          <w:p w14:paraId="0185286D" w14:textId="77777777" w:rsidR="00E70382" w:rsidRPr="00DA2C5E" w:rsidRDefault="00E70382" w:rsidP="002F08E7">
            <w:pPr>
              <w:jc w:val="left"/>
              <w:rPr>
                <w:rFonts w:eastAsia="Times New Roman" w:cs="Times New Roman"/>
                <w:i/>
                <w:iCs/>
                <w:sz w:val="16"/>
                <w:szCs w:val="16"/>
              </w:rPr>
            </w:pPr>
            <w:r w:rsidRPr="00DA2C5E">
              <w:rPr>
                <w:rFonts w:eastAsia="Times New Roman" w:cs="Times New Roman"/>
                <w:color w:val="000000"/>
                <w:sz w:val="16"/>
                <w:szCs w:val="16"/>
              </w:rPr>
              <w:t>Share of infrastructure projects enabling access and use of facilities and/or services</w:t>
            </w:r>
          </w:p>
        </w:tc>
        <w:tc>
          <w:tcPr>
            <w:tcW w:w="931" w:type="dxa"/>
            <w:tcBorders>
              <w:top w:val="nil"/>
              <w:left w:val="nil"/>
              <w:bottom w:val="nil"/>
              <w:right w:val="nil"/>
            </w:tcBorders>
            <w:shd w:val="clear" w:color="auto" w:fill="auto"/>
            <w:noWrap/>
            <w:vAlign w:val="center"/>
            <w:hideMark/>
          </w:tcPr>
          <w:p w14:paraId="6C6C7D97"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62%</w:t>
            </w:r>
          </w:p>
        </w:tc>
        <w:tc>
          <w:tcPr>
            <w:tcW w:w="930" w:type="dxa"/>
            <w:tcBorders>
              <w:top w:val="nil"/>
              <w:left w:val="nil"/>
              <w:bottom w:val="nil"/>
              <w:right w:val="nil"/>
            </w:tcBorders>
            <w:shd w:val="clear" w:color="auto" w:fill="auto"/>
            <w:noWrap/>
            <w:vAlign w:val="center"/>
            <w:hideMark/>
          </w:tcPr>
          <w:p w14:paraId="191AF934"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65%</w:t>
            </w:r>
          </w:p>
        </w:tc>
        <w:tc>
          <w:tcPr>
            <w:tcW w:w="2279" w:type="dxa"/>
            <w:vMerge w:val="restart"/>
            <w:tcBorders>
              <w:top w:val="nil"/>
              <w:left w:val="nil"/>
              <w:bottom w:val="single" w:sz="8" w:space="0" w:color="000000"/>
              <w:right w:val="single" w:sz="8" w:space="0" w:color="000000"/>
            </w:tcBorders>
            <w:shd w:val="clear" w:color="auto" w:fill="auto"/>
            <w:vAlign w:val="center"/>
            <w:hideMark/>
          </w:tcPr>
          <w:p w14:paraId="3AD6FBC2"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GRI NGO4. Measures to integrate gender and diversity into programme design and implementation</w:t>
            </w:r>
          </w:p>
        </w:tc>
      </w:tr>
      <w:tr w:rsidR="00E70382" w:rsidRPr="00DA2C5E" w14:paraId="4F707FAE" w14:textId="77777777" w:rsidTr="002F08E7">
        <w:trPr>
          <w:trHeight w:val="84"/>
        </w:trPr>
        <w:tc>
          <w:tcPr>
            <w:tcW w:w="284" w:type="dxa"/>
            <w:tcBorders>
              <w:top w:val="nil"/>
              <w:left w:val="single" w:sz="8" w:space="0" w:color="000000"/>
              <w:bottom w:val="nil"/>
              <w:right w:val="nil"/>
            </w:tcBorders>
            <w:shd w:val="clear" w:color="auto" w:fill="auto"/>
            <w:noWrap/>
            <w:vAlign w:val="center"/>
            <w:hideMark/>
          </w:tcPr>
          <w:p w14:paraId="62365B6E"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279" w:type="dxa"/>
            <w:tcBorders>
              <w:top w:val="nil"/>
              <w:left w:val="nil"/>
              <w:bottom w:val="nil"/>
              <w:right w:val="nil"/>
            </w:tcBorders>
            <w:shd w:val="clear" w:color="auto" w:fill="auto"/>
            <w:noWrap/>
            <w:vAlign w:val="center"/>
            <w:hideMark/>
          </w:tcPr>
          <w:p w14:paraId="5A5E8325" w14:textId="77777777" w:rsidR="00E70382" w:rsidRPr="00DA2C5E" w:rsidRDefault="00E70382" w:rsidP="002F08E7">
            <w:pPr>
              <w:jc w:val="left"/>
              <w:rPr>
                <w:rFonts w:eastAsia="Times New Roman" w:cs="Times New Roman"/>
                <w:color w:val="000000"/>
                <w:sz w:val="16"/>
                <w:szCs w:val="16"/>
              </w:rPr>
            </w:pPr>
          </w:p>
        </w:tc>
        <w:tc>
          <w:tcPr>
            <w:tcW w:w="4096" w:type="dxa"/>
            <w:gridSpan w:val="3"/>
            <w:tcBorders>
              <w:top w:val="nil"/>
              <w:left w:val="nil"/>
              <w:bottom w:val="nil"/>
              <w:right w:val="nil"/>
            </w:tcBorders>
            <w:shd w:val="clear" w:color="auto" w:fill="auto"/>
            <w:noWrap/>
            <w:vAlign w:val="center"/>
            <w:hideMark/>
          </w:tcPr>
          <w:p w14:paraId="76DA09C4" w14:textId="77777777" w:rsidR="00E70382" w:rsidRPr="00DA2C5E" w:rsidRDefault="00E70382" w:rsidP="002F08E7">
            <w:pPr>
              <w:jc w:val="left"/>
              <w:rPr>
                <w:rFonts w:eastAsia="Times New Roman" w:cs="Times New Roman"/>
                <w:i/>
                <w:iCs/>
                <w:sz w:val="16"/>
                <w:szCs w:val="16"/>
              </w:rPr>
            </w:pPr>
            <w:r w:rsidRPr="00DA2C5E">
              <w:rPr>
                <w:rFonts w:eastAsia="Times New Roman" w:cs="Times New Roman"/>
                <w:color w:val="000000"/>
                <w:sz w:val="16"/>
                <w:szCs w:val="16"/>
              </w:rPr>
              <w:t>... for women</w:t>
            </w:r>
          </w:p>
        </w:tc>
        <w:tc>
          <w:tcPr>
            <w:tcW w:w="931" w:type="dxa"/>
            <w:tcBorders>
              <w:top w:val="nil"/>
              <w:left w:val="nil"/>
              <w:bottom w:val="nil"/>
              <w:right w:val="nil"/>
            </w:tcBorders>
            <w:shd w:val="clear" w:color="auto" w:fill="auto"/>
            <w:noWrap/>
            <w:vAlign w:val="center"/>
            <w:hideMark/>
          </w:tcPr>
          <w:p w14:paraId="25B5908D"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60%</w:t>
            </w:r>
          </w:p>
        </w:tc>
        <w:tc>
          <w:tcPr>
            <w:tcW w:w="930" w:type="dxa"/>
            <w:tcBorders>
              <w:top w:val="nil"/>
              <w:left w:val="nil"/>
              <w:bottom w:val="nil"/>
              <w:right w:val="nil"/>
            </w:tcBorders>
            <w:shd w:val="clear" w:color="auto" w:fill="auto"/>
            <w:noWrap/>
            <w:vAlign w:val="center"/>
            <w:hideMark/>
          </w:tcPr>
          <w:p w14:paraId="41773DE0"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65%</w:t>
            </w:r>
          </w:p>
        </w:tc>
        <w:tc>
          <w:tcPr>
            <w:tcW w:w="2279" w:type="dxa"/>
            <w:vMerge/>
            <w:tcBorders>
              <w:top w:val="nil"/>
              <w:left w:val="nil"/>
              <w:bottom w:val="single" w:sz="8" w:space="0" w:color="000000"/>
              <w:right w:val="single" w:sz="8" w:space="0" w:color="000000"/>
            </w:tcBorders>
            <w:vAlign w:val="center"/>
            <w:hideMark/>
          </w:tcPr>
          <w:p w14:paraId="168D8D40" w14:textId="77777777" w:rsidR="00E70382" w:rsidRPr="00DA2C5E" w:rsidRDefault="00E70382" w:rsidP="002F08E7">
            <w:pPr>
              <w:jc w:val="left"/>
              <w:rPr>
                <w:rFonts w:eastAsia="Times New Roman" w:cs="Times New Roman"/>
                <w:color w:val="000000"/>
                <w:sz w:val="16"/>
                <w:szCs w:val="16"/>
              </w:rPr>
            </w:pPr>
          </w:p>
        </w:tc>
      </w:tr>
      <w:tr w:rsidR="00E70382" w:rsidRPr="00DA2C5E" w14:paraId="6F1B8838" w14:textId="77777777" w:rsidTr="002F08E7">
        <w:trPr>
          <w:trHeight w:val="60"/>
        </w:trPr>
        <w:tc>
          <w:tcPr>
            <w:tcW w:w="284" w:type="dxa"/>
            <w:tcBorders>
              <w:top w:val="nil"/>
              <w:left w:val="single" w:sz="8" w:space="0" w:color="000000"/>
              <w:bottom w:val="single" w:sz="8" w:space="0" w:color="000000"/>
              <w:right w:val="nil"/>
            </w:tcBorders>
            <w:shd w:val="clear" w:color="auto" w:fill="auto"/>
            <w:noWrap/>
            <w:vAlign w:val="center"/>
            <w:hideMark/>
          </w:tcPr>
          <w:p w14:paraId="29DF0F3A"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279" w:type="dxa"/>
            <w:tcBorders>
              <w:top w:val="nil"/>
              <w:left w:val="nil"/>
              <w:bottom w:val="single" w:sz="8" w:space="0" w:color="000000"/>
              <w:right w:val="nil"/>
            </w:tcBorders>
            <w:shd w:val="clear" w:color="auto" w:fill="auto"/>
            <w:noWrap/>
            <w:vAlign w:val="center"/>
            <w:hideMark/>
          </w:tcPr>
          <w:p w14:paraId="6D57F5D1"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4096" w:type="dxa"/>
            <w:gridSpan w:val="3"/>
            <w:tcBorders>
              <w:top w:val="nil"/>
              <w:left w:val="nil"/>
              <w:bottom w:val="single" w:sz="8" w:space="0" w:color="000000"/>
              <w:right w:val="nil"/>
            </w:tcBorders>
            <w:shd w:val="clear" w:color="auto" w:fill="auto"/>
            <w:noWrap/>
            <w:vAlign w:val="center"/>
            <w:hideMark/>
          </w:tcPr>
          <w:p w14:paraId="627E3348" w14:textId="77777777" w:rsidR="00E70382" w:rsidRPr="00DA2C5E" w:rsidRDefault="00E70382" w:rsidP="002F08E7">
            <w:pPr>
              <w:jc w:val="left"/>
              <w:rPr>
                <w:rFonts w:eastAsia="Times New Roman" w:cs="Times New Roman"/>
                <w:i/>
                <w:iCs/>
                <w:sz w:val="16"/>
                <w:szCs w:val="16"/>
              </w:rPr>
            </w:pPr>
            <w:r w:rsidRPr="00DA2C5E">
              <w:rPr>
                <w:rFonts w:eastAsia="Times New Roman" w:cs="Times New Roman"/>
                <w:color w:val="000000"/>
                <w:sz w:val="16"/>
                <w:szCs w:val="16"/>
              </w:rPr>
              <w:t>... for people with disabilities</w:t>
            </w:r>
          </w:p>
        </w:tc>
        <w:tc>
          <w:tcPr>
            <w:tcW w:w="931" w:type="dxa"/>
            <w:tcBorders>
              <w:top w:val="nil"/>
              <w:left w:val="nil"/>
              <w:bottom w:val="single" w:sz="8" w:space="0" w:color="000000"/>
              <w:right w:val="nil"/>
            </w:tcBorders>
            <w:shd w:val="clear" w:color="auto" w:fill="auto"/>
            <w:noWrap/>
            <w:vAlign w:val="center"/>
            <w:hideMark/>
          </w:tcPr>
          <w:p w14:paraId="1E8241C7"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46%</w:t>
            </w:r>
          </w:p>
        </w:tc>
        <w:tc>
          <w:tcPr>
            <w:tcW w:w="930" w:type="dxa"/>
            <w:tcBorders>
              <w:top w:val="nil"/>
              <w:left w:val="nil"/>
              <w:bottom w:val="single" w:sz="8" w:space="0" w:color="000000"/>
              <w:right w:val="nil"/>
            </w:tcBorders>
            <w:shd w:val="clear" w:color="auto" w:fill="auto"/>
            <w:noWrap/>
            <w:vAlign w:val="center"/>
            <w:hideMark/>
          </w:tcPr>
          <w:p w14:paraId="062222FF"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50%</w:t>
            </w:r>
          </w:p>
        </w:tc>
        <w:tc>
          <w:tcPr>
            <w:tcW w:w="2279" w:type="dxa"/>
            <w:vMerge/>
            <w:tcBorders>
              <w:top w:val="nil"/>
              <w:left w:val="nil"/>
              <w:bottom w:val="single" w:sz="8" w:space="0" w:color="000000"/>
              <w:right w:val="single" w:sz="8" w:space="0" w:color="000000"/>
            </w:tcBorders>
            <w:vAlign w:val="center"/>
            <w:hideMark/>
          </w:tcPr>
          <w:p w14:paraId="66A550D9" w14:textId="77777777" w:rsidR="00E70382" w:rsidRPr="00DA2C5E" w:rsidRDefault="00E70382" w:rsidP="002F08E7">
            <w:pPr>
              <w:jc w:val="left"/>
              <w:rPr>
                <w:rFonts w:eastAsia="Times New Roman" w:cs="Times New Roman"/>
                <w:color w:val="000000"/>
                <w:sz w:val="16"/>
                <w:szCs w:val="16"/>
              </w:rPr>
            </w:pPr>
          </w:p>
        </w:tc>
      </w:tr>
      <w:tr w:rsidR="00E70382" w:rsidRPr="00DA2C5E" w14:paraId="1C9A79FA" w14:textId="77777777" w:rsidTr="002F08E7">
        <w:trPr>
          <w:trHeight w:val="60"/>
        </w:trPr>
        <w:tc>
          <w:tcPr>
            <w:tcW w:w="8799" w:type="dxa"/>
            <w:gridSpan w:val="8"/>
            <w:tcBorders>
              <w:top w:val="single" w:sz="8" w:space="0" w:color="000000"/>
              <w:left w:val="single" w:sz="8" w:space="0" w:color="000000"/>
              <w:bottom w:val="single" w:sz="4" w:space="0" w:color="auto"/>
              <w:right w:val="single" w:sz="8" w:space="0" w:color="000000"/>
            </w:tcBorders>
            <w:shd w:val="clear" w:color="auto" w:fill="auto"/>
            <w:vAlign w:val="center"/>
            <w:hideMark/>
          </w:tcPr>
          <w:p w14:paraId="0E45C20F" w14:textId="77777777" w:rsidR="00E70382" w:rsidRPr="00BD0534" w:rsidRDefault="00E70382" w:rsidP="002F08E7">
            <w:pPr>
              <w:jc w:val="left"/>
              <w:rPr>
                <w:rFonts w:eastAsia="Times New Roman" w:cs="Times New Roman"/>
                <w:b/>
                <w:bCs/>
                <w:i/>
                <w:color w:val="000000"/>
                <w:sz w:val="4"/>
                <w:szCs w:val="4"/>
              </w:rPr>
            </w:pPr>
          </w:p>
          <w:p w14:paraId="25327AB7" w14:textId="77777777" w:rsidR="00E70382" w:rsidRPr="00DA2C5E" w:rsidRDefault="00E70382" w:rsidP="002F08E7">
            <w:pPr>
              <w:jc w:val="left"/>
              <w:rPr>
                <w:rFonts w:eastAsia="Times New Roman" w:cs="Times New Roman"/>
                <w:b/>
                <w:bCs/>
                <w:i/>
                <w:color w:val="000000"/>
                <w:sz w:val="16"/>
                <w:szCs w:val="16"/>
              </w:rPr>
            </w:pPr>
            <w:r w:rsidRPr="00DA2C5E">
              <w:rPr>
                <w:rFonts w:eastAsia="Times New Roman" w:cs="Times New Roman"/>
                <w:b/>
                <w:bCs/>
                <w:i/>
                <w:color w:val="000000"/>
                <w:sz w:val="16"/>
                <w:szCs w:val="16"/>
              </w:rPr>
              <w:t>(c) Environmental respect</w:t>
            </w:r>
          </w:p>
        </w:tc>
      </w:tr>
      <w:tr w:rsidR="00E70382" w:rsidRPr="00DA2C5E" w14:paraId="580D6315" w14:textId="77777777" w:rsidTr="002F08E7">
        <w:trPr>
          <w:trHeight w:val="56"/>
        </w:trPr>
        <w:tc>
          <w:tcPr>
            <w:tcW w:w="284" w:type="dxa"/>
            <w:tcBorders>
              <w:top w:val="single" w:sz="4" w:space="0" w:color="auto"/>
              <w:left w:val="single" w:sz="8" w:space="0" w:color="000000"/>
              <w:bottom w:val="nil"/>
              <w:right w:val="nil"/>
            </w:tcBorders>
            <w:shd w:val="clear" w:color="auto" w:fill="auto"/>
            <w:noWrap/>
            <w:vAlign w:val="center"/>
            <w:hideMark/>
          </w:tcPr>
          <w:p w14:paraId="6D4627D6"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8515" w:type="dxa"/>
            <w:gridSpan w:val="7"/>
            <w:tcBorders>
              <w:top w:val="single" w:sz="4" w:space="0" w:color="auto"/>
              <w:left w:val="nil"/>
              <w:bottom w:val="nil"/>
              <w:right w:val="single" w:sz="8" w:space="0" w:color="000000"/>
            </w:tcBorders>
            <w:shd w:val="clear" w:color="auto" w:fill="auto"/>
            <w:noWrap/>
            <w:vAlign w:val="center"/>
            <w:hideMark/>
          </w:tcPr>
          <w:p w14:paraId="3773298A"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i/>
                <w:iCs/>
                <w:color w:val="000000"/>
                <w:sz w:val="16"/>
                <w:szCs w:val="16"/>
              </w:rPr>
              <w:t>(i) Mitigating adverse impact</w:t>
            </w:r>
            <w:r>
              <w:rPr>
                <w:rFonts w:eastAsia="Times New Roman" w:cs="Times New Roman"/>
                <w:i/>
                <w:iCs/>
                <w:color w:val="000000"/>
                <w:sz w:val="16"/>
                <w:szCs w:val="16"/>
              </w:rPr>
              <w:t>s</w:t>
            </w:r>
            <w:r w:rsidRPr="00DA2C5E">
              <w:rPr>
                <w:rFonts w:eastAsia="Times New Roman" w:cs="Times New Roman"/>
                <w:i/>
                <w:iCs/>
                <w:color w:val="000000"/>
                <w:sz w:val="16"/>
                <w:szCs w:val="16"/>
              </w:rPr>
              <w:t xml:space="preserve"> on the environment and improving biodiversity and ecological resilience</w:t>
            </w:r>
            <w:r w:rsidRPr="00DA2C5E">
              <w:rPr>
                <w:rFonts w:eastAsia="Times New Roman" w:cs="Times New Roman"/>
                <w:color w:val="000000"/>
                <w:sz w:val="16"/>
                <w:szCs w:val="16"/>
              </w:rPr>
              <w:t> </w:t>
            </w:r>
          </w:p>
        </w:tc>
      </w:tr>
      <w:tr w:rsidR="00E70382" w:rsidRPr="00DA2C5E" w14:paraId="611B8AB9" w14:textId="77777777" w:rsidTr="002F08E7">
        <w:trPr>
          <w:trHeight w:val="182"/>
        </w:trPr>
        <w:tc>
          <w:tcPr>
            <w:tcW w:w="284" w:type="dxa"/>
            <w:tcBorders>
              <w:top w:val="nil"/>
              <w:left w:val="single" w:sz="8" w:space="0" w:color="000000"/>
              <w:bottom w:val="nil"/>
              <w:right w:val="nil"/>
            </w:tcBorders>
            <w:shd w:val="clear" w:color="auto" w:fill="auto"/>
            <w:noWrap/>
            <w:vAlign w:val="center"/>
            <w:hideMark/>
          </w:tcPr>
          <w:p w14:paraId="149EEF34"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279" w:type="dxa"/>
            <w:tcBorders>
              <w:top w:val="nil"/>
              <w:left w:val="nil"/>
              <w:bottom w:val="nil"/>
              <w:right w:val="nil"/>
            </w:tcBorders>
            <w:shd w:val="clear" w:color="auto" w:fill="auto"/>
            <w:noWrap/>
            <w:vAlign w:val="center"/>
            <w:hideMark/>
          </w:tcPr>
          <w:p w14:paraId="304B57D0" w14:textId="77777777" w:rsidR="00E70382" w:rsidRPr="00DA2C5E" w:rsidRDefault="00E70382" w:rsidP="002F08E7">
            <w:pPr>
              <w:jc w:val="left"/>
              <w:rPr>
                <w:rFonts w:eastAsia="Times New Roman" w:cs="Times New Roman"/>
                <w:color w:val="000000"/>
                <w:sz w:val="16"/>
                <w:szCs w:val="16"/>
              </w:rPr>
            </w:pPr>
          </w:p>
        </w:tc>
        <w:tc>
          <w:tcPr>
            <w:tcW w:w="4096" w:type="dxa"/>
            <w:gridSpan w:val="3"/>
            <w:tcBorders>
              <w:top w:val="nil"/>
              <w:left w:val="nil"/>
              <w:bottom w:val="nil"/>
              <w:right w:val="nil"/>
            </w:tcBorders>
            <w:shd w:val="clear" w:color="auto" w:fill="auto"/>
            <w:vAlign w:val="center"/>
            <w:hideMark/>
          </w:tcPr>
          <w:p w14:paraId="557489B3" w14:textId="77777777" w:rsidR="00E70382" w:rsidRPr="00DA2C5E" w:rsidRDefault="00E70382" w:rsidP="002F08E7">
            <w:pPr>
              <w:jc w:val="left"/>
              <w:rPr>
                <w:rFonts w:eastAsia="Times New Roman" w:cs="Times New Roman"/>
                <w:sz w:val="16"/>
                <w:szCs w:val="16"/>
              </w:rPr>
            </w:pPr>
            <w:r w:rsidRPr="00DA2C5E">
              <w:rPr>
                <w:rFonts w:eastAsia="Times New Roman" w:cs="Times New Roman"/>
                <w:color w:val="000000"/>
                <w:sz w:val="16"/>
                <w:szCs w:val="16"/>
              </w:rPr>
              <w:t xml:space="preserve">Share of infrastructure projects with significant direct or indirect impact on biodiversity </w:t>
            </w:r>
          </w:p>
        </w:tc>
        <w:tc>
          <w:tcPr>
            <w:tcW w:w="931" w:type="dxa"/>
            <w:tcBorders>
              <w:top w:val="nil"/>
              <w:left w:val="nil"/>
              <w:bottom w:val="nil"/>
              <w:right w:val="nil"/>
            </w:tcBorders>
            <w:shd w:val="clear" w:color="auto" w:fill="auto"/>
            <w:noWrap/>
            <w:vAlign w:val="center"/>
            <w:hideMark/>
          </w:tcPr>
          <w:p w14:paraId="72D36846"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16%</w:t>
            </w:r>
          </w:p>
        </w:tc>
        <w:tc>
          <w:tcPr>
            <w:tcW w:w="930" w:type="dxa"/>
            <w:tcBorders>
              <w:top w:val="nil"/>
              <w:left w:val="nil"/>
              <w:bottom w:val="nil"/>
              <w:right w:val="nil"/>
            </w:tcBorders>
            <w:shd w:val="clear" w:color="auto" w:fill="auto"/>
            <w:noWrap/>
            <w:vAlign w:val="center"/>
            <w:hideMark/>
          </w:tcPr>
          <w:p w14:paraId="335433E0"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15%</w:t>
            </w:r>
          </w:p>
        </w:tc>
        <w:tc>
          <w:tcPr>
            <w:tcW w:w="2279" w:type="dxa"/>
            <w:tcBorders>
              <w:top w:val="nil"/>
              <w:left w:val="nil"/>
              <w:bottom w:val="nil"/>
              <w:right w:val="single" w:sz="8" w:space="0" w:color="000000"/>
            </w:tcBorders>
            <w:shd w:val="clear" w:color="auto" w:fill="auto"/>
            <w:vAlign w:val="center"/>
            <w:hideMark/>
          </w:tcPr>
          <w:p w14:paraId="4056E853"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GRI 304-2. Significant impacts of activities, products, and services on biodiversity</w:t>
            </w:r>
          </w:p>
        </w:tc>
      </w:tr>
      <w:tr w:rsidR="00E70382" w:rsidRPr="00DA2C5E" w14:paraId="0F5003B4" w14:textId="77777777" w:rsidTr="002F08E7">
        <w:trPr>
          <w:trHeight w:val="66"/>
        </w:trPr>
        <w:tc>
          <w:tcPr>
            <w:tcW w:w="284" w:type="dxa"/>
            <w:tcBorders>
              <w:top w:val="nil"/>
              <w:left w:val="single" w:sz="8" w:space="0" w:color="000000"/>
              <w:bottom w:val="nil"/>
              <w:right w:val="nil"/>
            </w:tcBorders>
            <w:shd w:val="clear" w:color="auto" w:fill="auto"/>
            <w:noWrap/>
            <w:vAlign w:val="center"/>
            <w:hideMark/>
          </w:tcPr>
          <w:p w14:paraId="78A5BB7D"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279" w:type="dxa"/>
            <w:tcBorders>
              <w:top w:val="nil"/>
              <w:left w:val="nil"/>
              <w:bottom w:val="nil"/>
              <w:right w:val="nil"/>
            </w:tcBorders>
            <w:shd w:val="clear" w:color="auto" w:fill="auto"/>
            <w:noWrap/>
            <w:vAlign w:val="center"/>
            <w:hideMark/>
          </w:tcPr>
          <w:p w14:paraId="091693EA" w14:textId="77777777" w:rsidR="00E70382" w:rsidRPr="00DA2C5E" w:rsidRDefault="00E70382" w:rsidP="002F08E7">
            <w:pPr>
              <w:jc w:val="left"/>
              <w:rPr>
                <w:rFonts w:eastAsia="Times New Roman" w:cs="Times New Roman"/>
                <w:color w:val="000000"/>
                <w:sz w:val="16"/>
                <w:szCs w:val="16"/>
              </w:rPr>
            </w:pPr>
          </w:p>
        </w:tc>
        <w:tc>
          <w:tcPr>
            <w:tcW w:w="4096" w:type="dxa"/>
            <w:gridSpan w:val="3"/>
            <w:tcBorders>
              <w:top w:val="nil"/>
              <w:left w:val="nil"/>
              <w:bottom w:val="nil"/>
              <w:right w:val="nil"/>
            </w:tcBorders>
            <w:shd w:val="clear" w:color="auto" w:fill="auto"/>
            <w:vAlign w:val="center"/>
            <w:hideMark/>
          </w:tcPr>
          <w:p w14:paraId="423521E5" w14:textId="77777777" w:rsidR="00E70382" w:rsidRPr="00DA2C5E" w:rsidRDefault="00E70382" w:rsidP="002F08E7">
            <w:pPr>
              <w:jc w:val="left"/>
              <w:rPr>
                <w:rFonts w:eastAsia="Times New Roman" w:cs="Times New Roman"/>
                <w:sz w:val="16"/>
                <w:szCs w:val="16"/>
              </w:rPr>
            </w:pPr>
            <w:r w:rsidRPr="00DA2C5E">
              <w:rPr>
                <w:rFonts w:eastAsia="Times New Roman" w:cs="Times New Roman"/>
                <w:color w:val="000000"/>
                <w:sz w:val="16"/>
                <w:szCs w:val="16"/>
              </w:rPr>
              <w:t>Share of infrastructure projects directly protecting and/or restoring habitat areas</w:t>
            </w:r>
          </w:p>
        </w:tc>
        <w:tc>
          <w:tcPr>
            <w:tcW w:w="931" w:type="dxa"/>
            <w:tcBorders>
              <w:top w:val="nil"/>
              <w:left w:val="nil"/>
              <w:bottom w:val="nil"/>
              <w:right w:val="nil"/>
            </w:tcBorders>
            <w:shd w:val="clear" w:color="auto" w:fill="auto"/>
            <w:noWrap/>
            <w:vAlign w:val="center"/>
            <w:hideMark/>
          </w:tcPr>
          <w:p w14:paraId="0B621647"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10%</w:t>
            </w:r>
          </w:p>
        </w:tc>
        <w:tc>
          <w:tcPr>
            <w:tcW w:w="930" w:type="dxa"/>
            <w:tcBorders>
              <w:top w:val="nil"/>
              <w:left w:val="nil"/>
              <w:bottom w:val="nil"/>
              <w:right w:val="nil"/>
            </w:tcBorders>
            <w:shd w:val="clear" w:color="auto" w:fill="auto"/>
            <w:noWrap/>
            <w:vAlign w:val="center"/>
            <w:hideMark/>
          </w:tcPr>
          <w:p w14:paraId="4CFD4B3A"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15%</w:t>
            </w:r>
          </w:p>
        </w:tc>
        <w:tc>
          <w:tcPr>
            <w:tcW w:w="2279" w:type="dxa"/>
            <w:tcBorders>
              <w:top w:val="nil"/>
              <w:left w:val="nil"/>
              <w:bottom w:val="nil"/>
              <w:right w:val="single" w:sz="8" w:space="0" w:color="000000"/>
            </w:tcBorders>
            <w:shd w:val="clear" w:color="auto" w:fill="auto"/>
            <w:vAlign w:val="center"/>
            <w:hideMark/>
          </w:tcPr>
          <w:p w14:paraId="2C3BDB12"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GRI 304-3. Habitats protected or restored</w:t>
            </w:r>
          </w:p>
        </w:tc>
      </w:tr>
      <w:tr w:rsidR="00E70382" w:rsidRPr="00DA2C5E" w14:paraId="42E18C6C" w14:textId="77777777" w:rsidTr="002F08E7">
        <w:trPr>
          <w:trHeight w:val="56"/>
        </w:trPr>
        <w:tc>
          <w:tcPr>
            <w:tcW w:w="284" w:type="dxa"/>
            <w:tcBorders>
              <w:top w:val="single" w:sz="4" w:space="0" w:color="000000"/>
              <w:left w:val="single" w:sz="8" w:space="0" w:color="000000"/>
              <w:bottom w:val="nil"/>
              <w:right w:val="nil"/>
            </w:tcBorders>
            <w:shd w:val="clear" w:color="auto" w:fill="auto"/>
            <w:noWrap/>
            <w:vAlign w:val="center"/>
            <w:hideMark/>
          </w:tcPr>
          <w:p w14:paraId="0BAAD2C8"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8515" w:type="dxa"/>
            <w:gridSpan w:val="7"/>
            <w:tcBorders>
              <w:top w:val="single" w:sz="4" w:space="0" w:color="000000"/>
              <w:left w:val="nil"/>
              <w:bottom w:val="nil"/>
              <w:right w:val="single" w:sz="8" w:space="0" w:color="000000"/>
            </w:tcBorders>
            <w:shd w:val="clear" w:color="auto" w:fill="auto"/>
            <w:noWrap/>
            <w:vAlign w:val="center"/>
            <w:hideMark/>
          </w:tcPr>
          <w:p w14:paraId="3364F396" w14:textId="77777777" w:rsidR="00E70382" w:rsidRPr="00DA2C5E" w:rsidRDefault="00E70382" w:rsidP="002F08E7">
            <w:pPr>
              <w:jc w:val="left"/>
              <w:rPr>
                <w:rFonts w:eastAsia="Times New Roman" w:cs="Times New Roman"/>
                <w:i/>
                <w:iCs/>
                <w:color w:val="000000"/>
                <w:sz w:val="16"/>
                <w:szCs w:val="16"/>
              </w:rPr>
            </w:pPr>
            <w:r w:rsidRPr="00DA2C5E">
              <w:rPr>
                <w:rFonts w:eastAsia="Times New Roman" w:cs="Times New Roman"/>
                <w:i/>
                <w:iCs/>
                <w:color w:val="000000"/>
                <w:sz w:val="16"/>
                <w:szCs w:val="16"/>
              </w:rPr>
              <w:t>(ii) Using renewable resources, taking into account the interactions between human development and environmental sustainability</w:t>
            </w:r>
          </w:p>
        </w:tc>
      </w:tr>
      <w:tr w:rsidR="00E70382" w:rsidRPr="00DA2C5E" w14:paraId="63B1BAAE" w14:textId="77777777" w:rsidTr="002F08E7">
        <w:trPr>
          <w:trHeight w:val="66"/>
        </w:trPr>
        <w:tc>
          <w:tcPr>
            <w:tcW w:w="284" w:type="dxa"/>
            <w:tcBorders>
              <w:top w:val="nil"/>
              <w:left w:val="single" w:sz="8" w:space="0" w:color="000000"/>
              <w:bottom w:val="single" w:sz="4" w:space="0" w:color="000000"/>
              <w:right w:val="nil"/>
            </w:tcBorders>
            <w:shd w:val="clear" w:color="auto" w:fill="auto"/>
            <w:noWrap/>
            <w:vAlign w:val="center"/>
            <w:hideMark/>
          </w:tcPr>
          <w:p w14:paraId="61D4D749"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279" w:type="dxa"/>
            <w:tcBorders>
              <w:top w:val="nil"/>
              <w:left w:val="nil"/>
              <w:bottom w:val="single" w:sz="4" w:space="0" w:color="000000"/>
              <w:right w:val="nil"/>
            </w:tcBorders>
            <w:shd w:val="clear" w:color="auto" w:fill="auto"/>
            <w:noWrap/>
            <w:vAlign w:val="center"/>
            <w:hideMark/>
          </w:tcPr>
          <w:p w14:paraId="3D53F35F"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4096" w:type="dxa"/>
            <w:gridSpan w:val="3"/>
            <w:tcBorders>
              <w:top w:val="nil"/>
              <w:left w:val="nil"/>
              <w:bottom w:val="single" w:sz="4" w:space="0" w:color="000000"/>
              <w:right w:val="nil"/>
            </w:tcBorders>
            <w:shd w:val="clear" w:color="auto" w:fill="auto"/>
            <w:vAlign w:val="center"/>
            <w:hideMark/>
          </w:tcPr>
          <w:p w14:paraId="58AC53E9" w14:textId="77777777" w:rsidR="00E70382" w:rsidRPr="00DA2C5E" w:rsidRDefault="00E70382" w:rsidP="002F08E7">
            <w:pPr>
              <w:jc w:val="left"/>
              <w:rPr>
                <w:rFonts w:ascii="Calibri" w:eastAsia="Times New Roman" w:hAnsi="Calibri" w:cs="Calibri"/>
                <w:sz w:val="16"/>
                <w:szCs w:val="16"/>
              </w:rPr>
            </w:pPr>
            <w:r w:rsidRPr="00DA2C5E">
              <w:rPr>
                <w:rFonts w:eastAsia="Times New Roman" w:cs="Times New Roman"/>
                <w:color w:val="000000"/>
                <w:sz w:val="16"/>
                <w:szCs w:val="16"/>
              </w:rPr>
              <w:t>Share of UNOPS energy consumption from renewable energy sources</w:t>
            </w:r>
          </w:p>
        </w:tc>
        <w:tc>
          <w:tcPr>
            <w:tcW w:w="931" w:type="dxa"/>
            <w:tcBorders>
              <w:top w:val="nil"/>
              <w:left w:val="nil"/>
              <w:bottom w:val="single" w:sz="4" w:space="0" w:color="000000"/>
              <w:right w:val="nil"/>
            </w:tcBorders>
            <w:shd w:val="clear" w:color="auto" w:fill="auto"/>
            <w:noWrap/>
            <w:vAlign w:val="center"/>
            <w:hideMark/>
          </w:tcPr>
          <w:p w14:paraId="661BE7A9"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7%</w:t>
            </w:r>
          </w:p>
        </w:tc>
        <w:tc>
          <w:tcPr>
            <w:tcW w:w="930" w:type="dxa"/>
            <w:tcBorders>
              <w:top w:val="nil"/>
              <w:left w:val="nil"/>
              <w:bottom w:val="single" w:sz="4" w:space="0" w:color="000000"/>
              <w:right w:val="nil"/>
            </w:tcBorders>
            <w:shd w:val="clear" w:color="auto" w:fill="auto"/>
            <w:noWrap/>
            <w:vAlign w:val="center"/>
            <w:hideMark/>
          </w:tcPr>
          <w:p w14:paraId="57932C50"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8%</w:t>
            </w:r>
          </w:p>
        </w:tc>
        <w:tc>
          <w:tcPr>
            <w:tcW w:w="2279" w:type="dxa"/>
            <w:tcBorders>
              <w:top w:val="nil"/>
              <w:left w:val="nil"/>
              <w:bottom w:val="single" w:sz="4" w:space="0" w:color="000000"/>
              <w:right w:val="single" w:sz="8" w:space="0" w:color="000000"/>
            </w:tcBorders>
            <w:shd w:val="clear" w:color="auto" w:fill="auto"/>
            <w:vAlign w:val="center"/>
            <w:hideMark/>
          </w:tcPr>
          <w:p w14:paraId="4417E4CF"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GRI 302-1. Energy consumption within the organization</w:t>
            </w:r>
          </w:p>
        </w:tc>
      </w:tr>
      <w:tr w:rsidR="00E70382" w:rsidRPr="00DA2C5E" w14:paraId="762B7F7A" w14:textId="77777777" w:rsidTr="002F08E7">
        <w:trPr>
          <w:trHeight w:val="56"/>
        </w:trPr>
        <w:tc>
          <w:tcPr>
            <w:tcW w:w="284" w:type="dxa"/>
            <w:tcBorders>
              <w:top w:val="nil"/>
              <w:left w:val="single" w:sz="8" w:space="0" w:color="000000"/>
              <w:bottom w:val="nil"/>
              <w:right w:val="nil"/>
            </w:tcBorders>
            <w:shd w:val="clear" w:color="auto" w:fill="auto"/>
            <w:noWrap/>
            <w:vAlign w:val="center"/>
            <w:hideMark/>
          </w:tcPr>
          <w:p w14:paraId="34538B1D"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8515" w:type="dxa"/>
            <w:gridSpan w:val="7"/>
            <w:tcBorders>
              <w:top w:val="nil"/>
              <w:left w:val="nil"/>
              <w:bottom w:val="nil"/>
              <w:right w:val="single" w:sz="8" w:space="0" w:color="000000"/>
            </w:tcBorders>
            <w:shd w:val="clear" w:color="auto" w:fill="auto"/>
            <w:noWrap/>
            <w:vAlign w:val="center"/>
            <w:hideMark/>
          </w:tcPr>
          <w:p w14:paraId="040CB294" w14:textId="77777777" w:rsidR="00E70382" w:rsidRPr="00DA2C5E" w:rsidRDefault="00E70382" w:rsidP="002F08E7">
            <w:pPr>
              <w:jc w:val="left"/>
              <w:rPr>
                <w:rFonts w:eastAsia="Times New Roman" w:cs="Times New Roman"/>
                <w:i/>
                <w:iCs/>
                <w:color w:val="000000"/>
                <w:sz w:val="16"/>
                <w:szCs w:val="16"/>
              </w:rPr>
            </w:pPr>
            <w:r w:rsidRPr="00DA2C5E">
              <w:rPr>
                <w:rFonts w:eastAsia="Times New Roman" w:cs="Times New Roman"/>
                <w:i/>
                <w:iCs/>
                <w:color w:val="000000"/>
                <w:sz w:val="16"/>
                <w:szCs w:val="16"/>
              </w:rPr>
              <w:t>(iii) Encouraging environmentally responsible supply chains for project implementation</w:t>
            </w:r>
          </w:p>
        </w:tc>
      </w:tr>
      <w:tr w:rsidR="00E70382" w:rsidRPr="00DA2C5E" w14:paraId="4EE4C8D7" w14:textId="77777777" w:rsidTr="002F08E7">
        <w:trPr>
          <w:trHeight w:val="66"/>
        </w:trPr>
        <w:tc>
          <w:tcPr>
            <w:tcW w:w="284" w:type="dxa"/>
            <w:tcBorders>
              <w:top w:val="nil"/>
              <w:left w:val="single" w:sz="8" w:space="0" w:color="000000"/>
              <w:bottom w:val="nil"/>
              <w:right w:val="nil"/>
            </w:tcBorders>
            <w:shd w:val="clear" w:color="auto" w:fill="auto"/>
            <w:noWrap/>
            <w:vAlign w:val="center"/>
            <w:hideMark/>
          </w:tcPr>
          <w:p w14:paraId="7DC64F7F"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279" w:type="dxa"/>
            <w:tcBorders>
              <w:top w:val="nil"/>
              <w:left w:val="nil"/>
              <w:bottom w:val="nil"/>
              <w:right w:val="nil"/>
            </w:tcBorders>
            <w:shd w:val="clear" w:color="auto" w:fill="auto"/>
            <w:noWrap/>
            <w:vAlign w:val="center"/>
            <w:hideMark/>
          </w:tcPr>
          <w:p w14:paraId="3BE4B5CB" w14:textId="77777777" w:rsidR="00E70382" w:rsidRPr="00DA2C5E" w:rsidRDefault="00E70382" w:rsidP="002F08E7">
            <w:pPr>
              <w:jc w:val="left"/>
              <w:rPr>
                <w:rFonts w:eastAsia="Times New Roman" w:cs="Times New Roman"/>
                <w:color w:val="000000"/>
                <w:sz w:val="16"/>
                <w:szCs w:val="16"/>
              </w:rPr>
            </w:pPr>
          </w:p>
        </w:tc>
        <w:tc>
          <w:tcPr>
            <w:tcW w:w="4096" w:type="dxa"/>
            <w:gridSpan w:val="3"/>
            <w:tcBorders>
              <w:top w:val="nil"/>
              <w:left w:val="nil"/>
              <w:bottom w:val="nil"/>
              <w:right w:val="nil"/>
            </w:tcBorders>
            <w:shd w:val="clear" w:color="auto" w:fill="auto"/>
            <w:vAlign w:val="center"/>
            <w:hideMark/>
          </w:tcPr>
          <w:p w14:paraId="501F13EC" w14:textId="77777777" w:rsidR="00E70382" w:rsidRPr="00DA2C5E" w:rsidRDefault="00E70382" w:rsidP="002F08E7">
            <w:pPr>
              <w:jc w:val="left"/>
              <w:rPr>
                <w:rFonts w:eastAsia="Times New Roman" w:cs="Times New Roman"/>
                <w:sz w:val="16"/>
                <w:szCs w:val="16"/>
              </w:rPr>
            </w:pPr>
            <w:r w:rsidRPr="00DA2C5E">
              <w:rPr>
                <w:rFonts w:eastAsia="Times New Roman" w:cs="Times New Roman"/>
                <w:color w:val="000000"/>
                <w:sz w:val="16"/>
                <w:szCs w:val="16"/>
              </w:rPr>
              <w:t>Share of new suppliers for major contracts screened using environmental criteria</w:t>
            </w:r>
          </w:p>
        </w:tc>
        <w:tc>
          <w:tcPr>
            <w:tcW w:w="931" w:type="dxa"/>
            <w:tcBorders>
              <w:top w:val="nil"/>
              <w:left w:val="nil"/>
              <w:bottom w:val="nil"/>
              <w:right w:val="nil"/>
            </w:tcBorders>
            <w:shd w:val="clear" w:color="auto" w:fill="auto"/>
            <w:noWrap/>
            <w:vAlign w:val="center"/>
            <w:hideMark/>
          </w:tcPr>
          <w:p w14:paraId="534C2325"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n/a</w:t>
            </w:r>
          </w:p>
        </w:tc>
        <w:tc>
          <w:tcPr>
            <w:tcW w:w="930" w:type="dxa"/>
            <w:tcBorders>
              <w:top w:val="nil"/>
              <w:left w:val="nil"/>
              <w:bottom w:val="nil"/>
              <w:right w:val="nil"/>
            </w:tcBorders>
            <w:shd w:val="clear" w:color="auto" w:fill="auto"/>
            <w:noWrap/>
            <w:vAlign w:val="center"/>
            <w:hideMark/>
          </w:tcPr>
          <w:p w14:paraId="2AED1730"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50%</w:t>
            </w:r>
          </w:p>
        </w:tc>
        <w:tc>
          <w:tcPr>
            <w:tcW w:w="2279" w:type="dxa"/>
            <w:tcBorders>
              <w:top w:val="nil"/>
              <w:left w:val="nil"/>
              <w:bottom w:val="nil"/>
              <w:right w:val="single" w:sz="8" w:space="0" w:color="000000"/>
            </w:tcBorders>
            <w:shd w:val="clear" w:color="auto" w:fill="auto"/>
            <w:vAlign w:val="center"/>
            <w:hideMark/>
          </w:tcPr>
          <w:p w14:paraId="649F509F"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GRI 308-1. New suppliers that were screened using environmental criteria</w:t>
            </w:r>
          </w:p>
        </w:tc>
      </w:tr>
      <w:tr w:rsidR="00E70382" w:rsidRPr="00DA2C5E" w14:paraId="5D1D5FB7" w14:textId="77777777" w:rsidTr="002F08E7">
        <w:trPr>
          <w:trHeight w:val="66"/>
        </w:trPr>
        <w:tc>
          <w:tcPr>
            <w:tcW w:w="284" w:type="dxa"/>
            <w:tcBorders>
              <w:top w:val="nil"/>
              <w:left w:val="single" w:sz="8" w:space="0" w:color="000000"/>
              <w:bottom w:val="single" w:sz="4" w:space="0" w:color="auto"/>
              <w:right w:val="nil"/>
            </w:tcBorders>
            <w:shd w:val="clear" w:color="auto" w:fill="auto"/>
            <w:noWrap/>
            <w:vAlign w:val="center"/>
            <w:hideMark/>
          </w:tcPr>
          <w:p w14:paraId="39F9BB38"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279" w:type="dxa"/>
            <w:tcBorders>
              <w:top w:val="nil"/>
              <w:left w:val="nil"/>
              <w:bottom w:val="single" w:sz="4" w:space="0" w:color="auto"/>
              <w:right w:val="nil"/>
            </w:tcBorders>
            <w:shd w:val="clear" w:color="auto" w:fill="auto"/>
            <w:noWrap/>
            <w:vAlign w:val="center"/>
            <w:hideMark/>
          </w:tcPr>
          <w:p w14:paraId="3C902863"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 </w:t>
            </w:r>
          </w:p>
        </w:tc>
        <w:tc>
          <w:tcPr>
            <w:tcW w:w="4096" w:type="dxa"/>
            <w:gridSpan w:val="3"/>
            <w:tcBorders>
              <w:top w:val="nil"/>
              <w:left w:val="nil"/>
              <w:bottom w:val="single" w:sz="4" w:space="0" w:color="auto"/>
              <w:right w:val="nil"/>
            </w:tcBorders>
            <w:shd w:val="clear" w:color="auto" w:fill="auto"/>
            <w:vAlign w:val="center"/>
            <w:hideMark/>
          </w:tcPr>
          <w:p w14:paraId="016A3E07" w14:textId="77777777" w:rsidR="00E70382" w:rsidRPr="00DA2C5E" w:rsidRDefault="00E70382" w:rsidP="002F08E7">
            <w:pPr>
              <w:jc w:val="left"/>
              <w:rPr>
                <w:rFonts w:ascii="Calibri" w:eastAsia="Times New Roman" w:hAnsi="Calibri" w:cs="Calibri"/>
                <w:sz w:val="16"/>
                <w:szCs w:val="16"/>
              </w:rPr>
            </w:pPr>
            <w:r w:rsidRPr="00DA2C5E">
              <w:rPr>
                <w:rFonts w:eastAsia="Times New Roman" w:cs="Times New Roman"/>
                <w:color w:val="000000"/>
                <w:sz w:val="16"/>
                <w:szCs w:val="16"/>
              </w:rPr>
              <w:t>Share of suppliers completing corrective action and preventive action plans</w:t>
            </w:r>
          </w:p>
        </w:tc>
        <w:tc>
          <w:tcPr>
            <w:tcW w:w="931" w:type="dxa"/>
            <w:tcBorders>
              <w:top w:val="nil"/>
              <w:left w:val="nil"/>
              <w:bottom w:val="single" w:sz="4" w:space="0" w:color="auto"/>
              <w:right w:val="nil"/>
            </w:tcBorders>
            <w:shd w:val="clear" w:color="auto" w:fill="auto"/>
            <w:noWrap/>
            <w:vAlign w:val="center"/>
            <w:hideMark/>
          </w:tcPr>
          <w:p w14:paraId="63DA40C6"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n/a</w:t>
            </w:r>
          </w:p>
        </w:tc>
        <w:tc>
          <w:tcPr>
            <w:tcW w:w="930" w:type="dxa"/>
            <w:tcBorders>
              <w:top w:val="nil"/>
              <w:left w:val="nil"/>
              <w:bottom w:val="single" w:sz="4" w:space="0" w:color="auto"/>
              <w:right w:val="nil"/>
            </w:tcBorders>
            <w:shd w:val="clear" w:color="auto" w:fill="auto"/>
            <w:noWrap/>
            <w:vAlign w:val="center"/>
            <w:hideMark/>
          </w:tcPr>
          <w:p w14:paraId="46F3C88B"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50%</w:t>
            </w:r>
          </w:p>
        </w:tc>
        <w:tc>
          <w:tcPr>
            <w:tcW w:w="2279" w:type="dxa"/>
            <w:tcBorders>
              <w:top w:val="nil"/>
              <w:left w:val="nil"/>
              <w:bottom w:val="single" w:sz="4" w:space="0" w:color="auto"/>
              <w:right w:val="single" w:sz="8" w:space="0" w:color="000000"/>
            </w:tcBorders>
            <w:shd w:val="clear" w:color="auto" w:fill="auto"/>
            <w:vAlign w:val="center"/>
            <w:hideMark/>
          </w:tcPr>
          <w:p w14:paraId="11614EEC" w14:textId="77777777" w:rsidR="00E70382" w:rsidRPr="00DA2C5E" w:rsidRDefault="00E70382" w:rsidP="002F08E7">
            <w:pPr>
              <w:jc w:val="left"/>
              <w:rPr>
                <w:rFonts w:eastAsia="Times New Roman" w:cs="Times New Roman"/>
                <w:color w:val="000000"/>
                <w:sz w:val="16"/>
                <w:szCs w:val="16"/>
              </w:rPr>
            </w:pPr>
            <w:r w:rsidRPr="00DA2C5E">
              <w:rPr>
                <w:rFonts w:eastAsia="Times New Roman" w:cs="Times New Roman"/>
                <w:color w:val="000000"/>
                <w:sz w:val="16"/>
                <w:szCs w:val="16"/>
              </w:rPr>
              <w:t>GRI 308-2. Environmental impacts in the supply chain</w:t>
            </w:r>
          </w:p>
        </w:tc>
      </w:tr>
      <w:tr w:rsidR="003B7E93" w:rsidRPr="00DA2C5E" w14:paraId="3E22076E" w14:textId="77777777" w:rsidTr="00D07B10">
        <w:trPr>
          <w:trHeight w:val="66"/>
        </w:trPr>
        <w:tc>
          <w:tcPr>
            <w:tcW w:w="284" w:type="dxa"/>
            <w:tcBorders>
              <w:top w:val="single" w:sz="4" w:space="0" w:color="auto"/>
              <w:left w:val="single" w:sz="8" w:space="0" w:color="000000"/>
              <w:bottom w:val="single" w:sz="8" w:space="0" w:color="000000"/>
              <w:right w:val="nil"/>
            </w:tcBorders>
            <w:shd w:val="clear" w:color="auto" w:fill="auto"/>
            <w:noWrap/>
            <w:vAlign w:val="center"/>
          </w:tcPr>
          <w:p w14:paraId="4AEDE139" w14:textId="77777777" w:rsidR="003B7E93" w:rsidRPr="00DA2C5E" w:rsidRDefault="003B7E93" w:rsidP="002F08E7">
            <w:pPr>
              <w:jc w:val="left"/>
              <w:rPr>
                <w:rFonts w:eastAsia="Times New Roman" w:cs="Times New Roman"/>
                <w:color w:val="000000"/>
                <w:sz w:val="16"/>
                <w:szCs w:val="16"/>
              </w:rPr>
            </w:pPr>
          </w:p>
        </w:tc>
        <w:tc>
          <w:tcPr>
            <w:tcW w:w="279" w:type="dxa"/>
            <w:tcBorders>
              <w:top w:val="single" w:sz="4" w:space="0" w:color="auto"/>
              <w:left w:val="nil"/>
              <w:bottom w:val="single" w:sz="8" w:space="0" w:color="000000"/>
              <w:right w:val="nil"/>
            </w:tcBorders>
            <w:shd w:val="clear" w:color="auto" w:fill="auto"/>
            <w:noWrap/>
            <w:vAlign w:val="center"/>
          </w:tcPr>
          <w:p w14:paraId="22E61735" w14:textId="77777777" w:rsidR="003B7E93" w:rsidRPr="00DA2C5E" w:rsidRDefault="003B7E93" w:rsidP="002F08E7">
            <w:pPr>
              <w:jc w:val="left"/>
              <w:rPr>
                <w:rFonts w:eastAsia="Times New Roman" w:cs="Times New Roman"/>
                <w:color w:val="000000"/>
                <w:sz w:val="16"/>
                <w:szCs w:val="16"/>
              </w:rPr>
            </w:pPr>
          </w:p>
        </w:tc>
        <w:tc>
          <w:tcPr>
            <w:tcW w:w="8236" w:type="dxa"/>
            <w:gridSpan w:val="6"/>
            <w:tcBorders>
              <w:top w:val="single" w:sz="4" w:space="0" w:color="auto"/>
              <w:left w:val="nil"/>
              <w:bottom w:val="single" w:sz="8" w:space="0" w:color="000000"/>
              <w:right w:val="single" w:sz="8" w:space="0" w:color="000000"/>
            </w:tcBorders>
            <w:shd w:val="clear" w:color="auto" w:fill="auto"/>
            <w:vAlign w:val="center"/>
          </w:tcPr>
          <w:p w14:paraId="74C82AE2" w14:textId="251ECD60" w:rsidR="003B7E93" w:rsidRPr="00DA2C5E" w:rsidRDefault="003B7E93" w:rsidP="002F08E7">
            <w:pPr>
              <w:jc w:val="left"/>
              <w:rPr>
                <w:rFonts w:eastAsia="Times New Roman" w:cs="Times New Roman"/>
                <w:color w:val="000000"/>
                <w:sz w:val="16"/>
                <w:szCs w:val="16"/>
              </w:rPr>
            </w:pPr>
            <w:r>
              <w:rPr>
                <w:rFonts w:eastAsia="Times New Roman" w:cs="Times New Roman"/>
                <w:color w:val="000000"/>
                <w:sz w:val="16"/>
                <w:szCs w:val="16"/>
              </w:rPr>
              <w:t xml:space="preserve">* </w:t>
            </w:r>
            <w:r w:rsidRPr="005B61F4">
              <w:rPr>
                <w:rFonts w:eastAsia="Times New Roman" w:cs="Times New Roman"/>
                <w:color w:val="000000"/>
                <w:sz w:val="14"/>
                <w:szCs w:val="14"/>
              </w:rPr>
              <w:t>2019 reporting from one exceptionally labour-intensive project excluded to allow year-on-year comparison</w:t>
            </w:r>
            <w:r w:rsidRPr="00DA2C5E">
              <w:rPr>
                <w:rFonts w:eastAsia="Times New Roman" w:cs="Times New Roman"/>
                <w:color w:val="000000"/>
                <w:sz w:val="16"/>
                <w:szCs w:val="16"/>
              </w:rPr>
              <w:t>.</w:t>
            </w:r>
          </w:p>
        </w:tc>
      </w:tr>
    </w:tbl>
    <w:p w14:paraId="3A83CD05" w14:textId="6EE70BEC" w:rsidR="00E70382" w:rsidRDefault="00E70382" w:rsidP="00E70382">
      <w:pPr>
        <w:spacing w:after="120"/>
      </w:pPr>
      <w:r>
        <w:br w:type="page"/>
      </w:r>
    </w:p>
    <w:p w14:paraId="66AA8129" w14:textId="77777777" w:rsidR="00A72413" w:rsidRPr="00DA2C5E" w:rsidRDefault="00A141D1" w:rsidP="00A141D1">
      <w:pPr>
        <w:pStyle w:val="Heading1"/>
        <w:tabs>
          <w:tab w:val="clear" w:pos="425"/>
          <w:tab w:val="left" w:pos="1418"/>
        </w:tabs>
        <w:ind w:left="0"/>
      </w:pPr>
      <w:r w:rsidRPr="00DA2C5E">
        <w:t xml:space="preserve">Annex </w:t>
      </w:r>
      <w:r w:rsidR="00DB1E0E" w:rsidRPr="00DA2C5E">
        <w:t>III.</w:t>
      </w:r>
      <w:r w:rsidRPr="00DA2C5E">
        <w:tab/>
      </w:r>
      <w:r w:rsidR="00DB1E0E" w:rsidRPr="00DA2C5E">
        <w:tab/>
      </w:r>
      <w:r w:rsidR="00A72413" w:rsidRPr="00DA2C5E">
        <w:t>How we manage</w:t>
      </w:r>
    </w:p>
    <w:p w14:paraId="3629E3FA" w14:textId="77777777" w:rsidR="00DB1E0E" w:rsidRPr="00DA2C5E" w:rsidRDefault="00DB1E0E" w:rsidP="00DB1E0E">
      <w:pPr>
        <w:keepNext/>
      </w:pPr>
    </w:p>
    <w:p w14:paraId="001BBEBF" w14:textId="77777777" w:rsidR="009564C3" w:rsidRPr="00DA2C5E" w:rsidRDefault="009564C3" w:rsidP="00DB1E0E">
      <w:pPr>
        <w:pStyle w:val="Heading2"/>
        <w:rPr>
          <w:rFonts w:eastAsia="Times New Roman"/>
        </w:rPr>
      </w:pPr>
      <w:r w:rsidRPr="00DA2C5E">
        <w:rPr>
          <w:rFonts w:eastAsia="Times New Roman"/>
        </w:rPr>
        <w:t>Management results in 2018-2019</w:t>
      </w:r>
    </w:p>
    <w:p w14:paraId="43715F75" w14:textId="77777777" w:rsidR="00DB1E0E" w:rsidRPr="00DA2C5E" w:rsidRDefault="00DB1E0E" w:rsidP="00DB1E0E">
      <w:pPr>
        <w:keepNext/>
      </w:pPr>
    </w:p>
    <w:p w14:paraId="6F67DC93" w14:textId="4ACC158E" w:rsidR="009564C3" w:rsidRPr="00DA2C5E" w:rsidRDefault="008F0239" w:rsidP="009564C3">
      <w:pPr>
        <w:spacing w:after="120"/>
      </w:pPr>
      <w:r w:rsidRPr="00DA2C5E">
        <w:t>5</w:t>
      </w:r>
      <w:r w:rsidR="005A6344" w:rsidRPr="00DA2C5E">
        <w:t>2</w:t>
      </w:r>
      <w:r w:rsidR="009564C3" w:rsidRPr="00DA2C5E">
        <w:t>.</w:t>
      </w:r>
      <w:r w:rsidR="009564C3" w:rsidRPr="00DA2C5E">
        <w:tab/>
        <w:t xml:space="preserve">Each of the four UNOPS management goals is associated with a balanced scorecard perspective: partners, people, process, and finance. The sections below </w:t>
      </w:r>
      <w:r w:rsidR="00DB350A" w:rsidRPr="00DA2C5E">
        <w:t>provide account</w:t>
      </w:r>
      <w:r w:rsidR="00B07BE8" w:rsidRPr="00DA2C5E">
        <w:t>s</w:t>
      </w:r>
      <w:r w:rsidR="00DB350A" w:rsidRPr="00DA2C5E">
        <w:t xml:space="preserve"> of </w:t>
      </w:r>
      <w:r w:rsidR="009564C3" w:rsidRPr="00DA2C5E">
        <w:t xml:space="preserve">UNOPS performance </w:t>
      </w:r>
      <w:r w:rsidR="00E90920" w:rsidRPr="00DA2C5E">
        <w:t>with respect to</w:t>
      </w:r>
      <w:r w:rsidR="009564C3" w:rsidRPr="00DA2C5E">
        <w:t xml:space="preserve"> th</w:t>
      </w:r>
      <w:r w:rsidR="00B07BE8" w:rsidRPr="00DA2C5E">
        <w:t>o</w:t>
      </w:r>
      <w:r w:rsidR="009564C3" w:rsidRPr="00DA2C5E">
        <w:t>se four perspectives and the</w:t>
      </w:r>
      <w:r w:rsidR="00B07BE8" w:rsidRPr="00DA2C5E">
        <w:t>ir</w:t>
      </w:r>
      <w:r w:rsidR="009564C3" w:rsidRPr="00DA2C5E">
        <w:t xml:space="preserve"> related goals.</w:t>
      </w:r>
      <w:r w:rsidR="009564C3" w:rsidRPr="00DA2C5E">
        <w:rPr>
          <w:rStyle w:val="FootnoteReference"/>
        </w:rPr>
        <w:footnoteReference w:id="7"/>
      </w:r>
    </w:p>
    <w:p w14:paraId="7E85F028" w14:textId="77777777" w:rsidR="009564C3" w:rsidRPr="00DA2C5E" w:rsidRDefault="009564C3" w:rsidP="00E90920">
      <w:pPr>
        <w:pStyle w:val="Heading3"/>
      </w:pPr>
      <w:r w:rsidRPr="00DA2C5E">
        <w:t>Partners</w:t>
      </w:r>
    </w:p>
    <w:p w14:paraId="735B1900" w14:textId="364397FB" w:rsidR="009564C3" w:rsidRPr="00DA2C5E" w:rsidRDefault="008F0239" w:rsidP="009564C3">
      <w:pPr>
        <w:spacing w:after="120"/>
      </w:pPr>
      <w:r w:rsidRPr="00DA2C5E">
        <w:t>5</w:t>
      </w:r>
      <w:r w:rsidR="005A6344" w:rsidRPr="00DA2C5E">
        <w:t>3</w:t>
      </w:r>
      <w:r w:rsidR="009564C3" w:rsidRPr="00DA2C5E">
        <w:t>.</w:t>
      </w:r>
      <w:r w:rsidR="009564C3" w:rsidRPr="00DA2C5E">
        <w:tab/>
      </w:r>
      <w:r w:rsidR="00052268" w:rsidRPr="00DA2C5E">
        <w:t xml:space="preserve">Focused on </w:t>
      </w:r>
      <w:r w:rsidR="009564C3" w:rsidRPr="00DA2C5E">
        <w:rPr>
          <w:i/>
        </w:rPr>
        <w:t>partner value</w:t>
      </w:r>
      <w:r w:rsidR="009564C3" w:rsidRPr="00DA2C5E">
        <w:t xml:space="preserve">, UNOPS aims to </w:t>
      </w:r>
      <w:r w:rsidR="001C24BB" w:rsidRPr="00DA2C5E">
        <w:t>“</w:t>
      </w:r>
      <w:r w:rsidR="009564C3" w:rsidRPr="00DA2C5E">
        <w:t>deliver innovative services and solutions contributing value recognized by partners and in accordance with international standards and recognized best practices</w:t>
      </w:r>
      <w:r w:rsidR="001C24BB" w:rsidRPr="00DA2C5E">
        <w:t>”</w:t>
      </w:r>
      <w:r w:rsidR="009564C3" w:rsidRPr="00DA2C5E">
        <w:t>.</w:t>
      </w:r>
    </w:p>
    <w:p w14:paraId="08DB198D" w14:textId="124B0EE2" w:rsidR="009564C3" w:rsidRPr="00DA2C5E" w:rsidRDefault="008F0239" w:rsidP="009564C3">
      <w:pPr>
        <w:spacing w:after="120"/>
      </w:pPr>
      <w:r w:rsidRPr="00DA2C5E">
        <w:t>5</w:t>
      </w:r>
      <w:r w:rsidR="005A6344" w:rsidRPr="00DA2C5E">
        <w:t>4</w:t>
      </w:r>
      <w:r w:rsidR="009564C3" w:rsidRPr="00DA2C5E">
        <w:t>.</w:t>
      </w:r>
      <w:r w:rsidR="009564C3" w:rsidRPr="00DA2C5E">
        <w:tab/>
        <w:t xml:space="preserve">In 2018-2019, UNOPS continued its best practice approach of systematically soliciting partner feedback. </w:t>
      </w:r>
      <w:r w:rsidR="001C24BB" w:rsidRPr="00DA2C5E">
        <w:t>T</w:t>
      </w:r>
      <w:r w:rsidR="009564C3" w:rsidRPr="00DA2C5E">
        <w:t>o protect the integrity of the partner feedback, the partner survey</w:t>
      </w:r>
      <w:r w:rsidR="001C24BB" w:rsidRPr="00DA2C5E">
        <w:t>, 2018-2019,</w:t>
      </w:r>
      <w:r w:rsidR="009564C3" w:rsidRPr="00DA2C5E">
        <w:t xml:space="preserve"> was conducted by an independent external provider. The survey had 670 respondents representative of UNOPS partners. Overall</w:t>
      </w:r>
      <w:r w:rsidR="001C24BB" w:rsidRPr="00DA2C5E">
        <w:t>,</w:t>
      </w:r>
      <w:r w:rsidR="009564C3" w:rsidRPr="00DA2C5E">
        <w:t xml:space="preserve"> partners </w:t>
      </w:r>
      <w:r w:rsidR="00E90920" w:rsidRPr="00DA2C5E">
        <w:t xml:space="preserve">were </w:t>
      </w:r>
      <w:r w:rsidR="009564C3" w:rsidRPr="00DA2C5E">
        <w:t>satisfied with UNOPS and likely to recommend it to others and use its service</w:t>
      </w:r>
      <w:r w:rsidR="001C24BB" w:rsidRPr="00DA2C5E">
        <w:t>s</w:t>
      </w:r>
      <w:r w:rsidR="009564C3" w:rsidRPr="00DA2C5E">
        <w:t xml:space="preserve"> again.</w:t>
      </w:r>
    </w:p>
    <w:p w14:paraId="586FF623" w14:textId="01AC6531" w:rsidR="009564C3" w:rsidRPr="00DA2C5E" w:rsidRDefault="008F0239" w:rsidP="009564C3">
      <w:pPr>
        <w:spacing w:after="120"/>
      </w:pPr>
      <w:r w:rsidRPr="00DA2C5E">
        <w:t>5</w:t>
      </w:r>
      <w:r w:rsidR="005A6344" w:rsidRPr="00DA2C5E">
        <w:t>5</w:t>
      </w:r>
      <w:r w:rsidR="009564C3" w:rsidRPr="00DA2C5E">
        <w:t>.</w:t>
      </w:r>
      <w:r w:rsidR="009564C3" w:rsidRPr="00DA2C5E">
        <w:tab/>
      </w:r>
      <w:r w:rsidR="00E90920" w:rsidRPr="00DA2C5E">
        <w:t>D</w:t>
      </w:r>
      <w:r w:rsidR="009564C3" w:rsidRPr="00DA2C5E">
        <w:t xml:space="preserve">emand by partners for UNOPS project services </w:t>
      </w:r>
      <w:r w:rsidR="00E90920" w:rsidRPr="00DA2C5E">
        <w:t xml:space="preserve">was </w:t>
      </w:r>
      <w:r w:rsidR="009564C3" w:rsidRPr="00DA2C5E">
        <w:t>reflected in the volume of new and extended agreements signed with th</w:t>
      </w:r>
      <w:r w:rsidR="001C24BB" w:rsidRPr="00DA2C5E">
        <w:t>o</w:t>
      </w:r>
      <w:r w:rsidR="009564C3" w:rsidRPr="00DA2C5E">
        <w:t>se partners. UNOPS consistently exceeded its targets for entering into such agreements, increasing the volume from $1.7 billion</w:t>
      </w:r>
      <w:r w:rsidR="00E90920" w:rsidRPr="00DA2C5E">
        <w:t xml:space="preserve"> in 2015</w:t>
      </w:r>
      <w:r w:rsidR="009564C3" w:rsidRPr="00DA2C5E">
        <w:t xml:space="preserve"> to $2.1 billion in</w:t>
      </w:r>
      <w:r w:rsidR="001C24BB" w:rsidRPr="00DA2C5E">
        <w:t> </w:t>
      </w:r>
      <w:r w:rsidR="009564C3" w:rsidRPr="00DA2C5E">
        <w:t>2019.</w:t>
      </w:r>
    </w:p>
    <w:p w14:paraId="5A42743B" w14:textId="70B14418" w:rsidR="009564C3" w:rsidRPr="00DA2C5E" w:rsidRDefault="00C040F4" w:rsidP="009564C3">
      <w:pPr>
        <w:spacing w:after="120"/>
      </w:pPr>
      <w:r w:rsidRPr="00DA2C5E">
        <w:t>5</w:t>
      </w:r>
      <w:r w:rsidR="005A6344" w:rsidRPr="00DA2C5E">
        <w:t>6</w:t>
      </w:r>
      <w:r w:rsidR="009564C3" w:rsidRPr="00DA2C5E">
        <w:t>.</w:t>
      </w:r>
      <w:r w:rsidR="009564C3" w:rsidRPr="00DA2C5E">
        <w:tab/>
        <w:t xml:space="preserve">In line with </w:t>
      </w:r>
      <w:r w:rsidR="001C24BB" w:rsidRPr="00DA2C5E">
        <w:t xml:space="preserve">its </w:t>
      </w:r>
      <w:r w:rsidR="009564C3" w:rsidRPr="00DA2C5E">
        <w:t>ambition to become a more widely known and recognized resource, UNOPS has increased</w:t>
      </w:r>
      <w:r w:rsidR="001C24BB" w:rsidRPr="00DA2C5E">
        <w:t xml:space="preserve"> the </w:t>
      </w:r>
      <w:r w:rsidR="009564C3" w:rsidRPr="00DA2C5E">
        <w:t>subscribers to its communication channels</w:t>
      </w:r>
      <w:r w:rsidR="00E90920" w:rsidRPr="00DA2C5E">
        <w:t xml:space="preserve"> threefold since 2017</w:t>
      </w:r>
      <w:r w:rsidR="009564C3" w:rsidRPr="00DA2C5E">
        <w:t xml:space="preserve">, and the number of visits to the </w:t>
      </w:r>
      <w:r w:rsidR="001C24BB" w:rsidRPr="00DA2C5E">
        <w:t xml:space="preserve">public </w:t>
      </w:r>
      <w:r w:rsidR="009564C3" w:rsidRPr="00DA2C5E">
        <w:t xml:space="preserve">UNOPS website comfortably </w:t>
      </w:r>
      <w:r w:rsidR="00052268" w:rsidRPr="00DA2C5E">
        <w:t>exceeds</w:t>
      </w:r>
      <w:r w:rsidR="009564C3" w:rsidRPr="00DA2C5E">
        <w:t xml:space="preserve"> targets.</w:t>
      </w:r>
    </w:p>
    <w:p w14:paraId="4271DB44" w14:textId="77777777" w:rsidR="009564C3" w:rsidRPr="00DA2C5E" w:rsidRDefault="009564C3" w:rsidP="00E90920">
      <w:pPr>
        <w:pStyle w:val="Heading3"/>
      </w:pPr>
      <w:r w:rsidRPr="00DA2C5E">
        <w:t>People</w:t>
      </w:r>
    </w:p>
    <w:p w14:paraId="24F5A5C2" w14:textId="25824696" w:rsidR="009564C3" w:rsidRPr="00DA2C5E" w:rsidRDefault="00C040F4" w:rsidP="009564C3">
      <w:pPr>
        <w:spacing w:after="120"/>
      </w:pPr>
      <w:r w:rsidRPr="00DA2C5E">
        <w:t>5</w:t>
      </w:r>
      <w:r w:rsidR="005A6344" w:rsidRPr="00DA2C5E">
        <w:t>7</w:t>
      </w:r>
      <w:r w:rsidR="009564C3" w:rsidRPr="00DA2C5E">
        <w:t>.</w:t>
      </w:r>
      <w:r w:rsidR="009564C3" w:rsidRPr="00DA2C5E">
        <w:tab/>
        <w:t xml:space="preserve">To advance </w:t>
      </w:r>
      <w:r w:rsidR="009564C3" w:rsidRPr="00DA2C5E">
        <w:rPr>
          <w:i/>
        </w:rPr>
        <w:t>people excellence</w:t>
      </w:r>
      <w:r w:rsidR="009564C3" w:rsidRPr="00DA2C5E">
        <w:t xml:space="preserve">, UNOPS strives to </w:t>
      </w:r>
      <w:r w:rsidR="001C24BB" w:rsidRPr="00DA2C5E">
        <w:t>“</w:t>
      </w:r>
      <w:r w:rsidR="009564C3" w:rsidRPr="00DA2C5E">
        <w:t>empower people to perform at consistently high standards in a culture conducive to principled performance, making UNOPS an employer of choice, attracting and retaining a talented workforce</w:t>
      </w:r>
      <w:r w:rsidR="001C24BB" w:rsidRPr="00DA2C5E">
        <w:t>”</w:t>
      </w:r>
      <w:r w:rsidR="009564C3" w:rsidRPr="00DA2C5E">
        <w:t>.</w:t>
      </w:r>
    </w:p>
    <w:p w14:paraId="7EE4C616" w14:textId="41C610A5" w:rsidR="009564C3" w:rsidRPr="00DA2C5E" w:rsidRDefault="00AA5618" w:rsidP="009564C3">
      <w:pPr>
        <w:spacing w:after="120"/>
      </w:pPr>
      <w:r w:rsidRPr="00DA2C5E">
        <w:t>5</w:t>
      </w:r>
      <w:r w:rsidR="005A6344" w:rsidRPr="00DA2C5E">
        <w:t>8</w:t>
      </w:r>
      <w:r w:rsidR="009564C3" w:rsidRPr="00DA2C5E">
        <w:t>.</w:t>
      </w:r>
      <w:r w:rsidR="009564C3" w:rsidRPr="00DA2C5E">
        <w:tab/>
        <w:t xml:space="preserve">In 2019, UNOPS completed its third biennial people survey. Results indicate that UNOPS maintains strong engagement and performs well against benchmarks. </w:t>
      </w:r>
      <w:r w:rsidR="00E90920" w:rsidRPr="00DA2C5E">
        <w:t>T</w:t>
      </w:r>
      <w:r w:rsidR="001C24BB" w:rsidRPr="00DA2C5E">
        <w:t xml:space="preserve">he </w:t>
      </w:r>
      <w:r w:rsidR="009564C3" w:rsidRPr="00DA2C5E">
        <w:t xml:space="preserve">UNOPS employee engagement index exceeds external benchmarks </w:t>
      </w:r>
      <w:r w:rsidR="00E90920" w:rsidRPr="00DA2C5E">
        <w:t xml:space="preserve">for </w:t>
      </w:r>
      <w:r w:rsidR="009564C3" w:rsidRPr="00DA2C5E">
        <w:t>both high-performing and global surveying organizations. UNOPS maintained its excellent track record on personnel performance appraisals, with an on-time completion rate of 97 per cent for 2018 and 2019.</w:t>
      </w:r>
    </w:p>
    <w:p w14:paraId="29902631" w14:textId="58AC9B84" w:rsidR="009564C3" w:rsidRPr="00DA2C5E" w:rsidRDefault="005A6738" w:rsidP="009564C3">
      <w:pPr>
        <w:spacing w:after="120"/>
      </w:pPr>
      <w:r w:rsidRPr="00DA2C5E">
        <w:t>5</w:t>
      </w:r>
      <w:r w:rsidR="005A6344" w:rsidRPr="00DA2C5E">
        <w:t>9</w:t>
      </w:r>
      <w:r w:rsidR="009564C3" w:rsidRPr="00DA2C5E">
        <w:t>.</w:t>
      </w:r>
      <w:r w:rsidR="009564C3" w:rsidRPr="00DA2C5E">
        <w:tab/>
        <w:t>UNOPS executive leadership took decisive action to meet gender parity targets. Introducing temporary special measures, UNOPS increased the share of women in the overall workforce from 38</w:t>
      </w:r>
      <w:r w:rsidR="007737EB" w:rsidRPr="00DA2C5E">
        <w:t> </w:t>
      </w:r>
      <w:r w:rsidR="009564C3" w:rsidRPr="00DA2C5E">
        <w:t>per</w:t>
      </w:r>
      <w:r w:rsidR="007737EB" w:rsidRPr="00DA2C5E">
        <w:t> </w:t>
      </w:r>
      <w:r w:rsidR="009564C3" w:rsidRPr="00DA2C5E">
        <w:t xml:space="preserve">cent in 2017 to 43 per cent </w:t>
      </w:r>
      <w:r w:rsidR="001C24BB" w:rsidRPr="00DA2C5E">
        <w:t xml:space="preserve">by </w:t>
      </w:r>
      <w:r w:rsidR="009564C3" w:rsidRPr="00DA2C5E">
        <w:t xml:space="preserve">January 2020. Similarly, the share of women in senior positions increased from 29 per cent in 2017 to 35 per cent in 2019. Diversity, expressed as the share of personnel from the global South in international positions, increased from 43 per cent in 2017 to 50 per cent in January 2020. </w:t>
      </w:r>
    </w:p>
    <w:p w14:paraId="1A15E45E" w14:textId="77777777" w:rsidR="009564C3" w:rsidRPr="00DA2C5E" w:rsidRDefault="009564C3" w:rsidP="00E90920">
      <w:pPr>
        <w:pStyle w:val="Heading3"/>
      </w:pPr>
      <w:r w:rsidRPr="00DA2C5E">
        <w:t>Process</w:t>
      </w:r>
    </w:p>
    <w:p w14:paraId="2ACDFD4A" w14:textId="77777777" w:rsidR="003B7E93" w:rsidRDefault="005A6344" w:rsidP="009564C3">
      <w:pPr>
        <w:spacing w:after="120"/>
      </w:pPr>
      <w:r w:rsidRPr="00DA2C5E">
        <w:t>60</w:t>
      </w:r>
      <w:r w:rsidR="009564C3" w:rsidRPr="00DA2C5E">
        <w:t>.</w:t>
      </w:r>
      <w:r w:rsidR="009564C3" w:rsidRPr="00DA2C5E">
        <w:tab/>
      </w:r>
      <w:r w:rsidR="00052268" w:rsidRPr="00DA2C5E">
        <w:t xml:space="preserve">Pursuing its </w:t>
      </w:r>
      <w:r w:rsidR="009564C3" w:rsidRPr="00DA2C5E">
        <w:t xml:space="preserve">goal of </w:t>
      </w:r>
      <w:r w:rsidR="009564C3" w:rsidRPr="00DA2C5E">
        <w:rPr>
          <w:i/>
        </w:rPr>
        <w:t>process excellence</w:t>
      </w:r>
      <w:r w:rsidR="009564C3" w:rsidRPr="00DA2C5E">
        <w:t xml:space="preserve">, UNOPS </w:t>
      </w:r>
      <w:r w:rsidR="001C24BB" w:rsidRPr="00DA2C5E">
        <w:t>“</w:t>
      </w:r>
      <w:r w:rsidR="009564C3" w:rsidRPr="00DA2C5E">
        <w:t>drives measurable improvement of quality, efficiency and reliability of operations through simplification and innovation of processes, based on clear standards and delegated authority enabled through information technology</w:t>
      </w:r>
      <w:r w:rsidR="001C24BB" w:rsidRPr="00DA2C5E">
        <w:t>”</w:t>
      </w:r>
      <w:r w:rsidR="009564C3" w:rsidRPr="00DA2C5E">
        <w:t>.</w:t>
      </w:r>
    </w:p>
    <w:p w14:paraId="3213C870" w14:textId="0067E47B" w:rsidR="009564C3" w:rsidRPr="00DA2C5E" w:rsidRDefault="005A6344" w:rsidP="009564C3">
      <w:pPr>
        <w:spacing w:after="120"/>
      </w:pPr>
      <w:r w:rsidRPr="00DA2C5E">
        <w:t>61</w:t>
      </w:r>
      <w:r w:rsidR="009564C3" w:rsidRPr="00DA2C5E">
        <w:t>.</w:t>
      </w:r>
      <w:r w:rsidR="009564C3" w:rsidRPr="00DA2C5E">
        <w:tab/>
      </w:r>
      <w:r w:rsidR="007717C3">
        <w:t xml:space="preserve">In 2019, UNOPS released </w:t>
      </w:r>
      <w:r w:rsidR="007717C3" w:rsidRPr="007717C3">
        <w:t xml:space="preserve">a new project management manual, comprising prescriptive content </w:t>
      </w:r>
      <w:r w:rsidR="007717C3">
        <w:t xml:space="preserve">on </w:t>
      </w:r>
      <w:r w:rsidR="007717C3" w:rsidRPr="007717C3">
        <w:t>project management</w:t>
      </w:r>
      <w:r w:rsidR="007717C3">
        <w:t xml:space="preserve"> and </w:t>
      </w:r>
      <w:r w:rsidR="007717C3" w:rsidRPr="007717C3">
        <w:t>guidance on sustainable implementation approaches</w:t>
      </w:r>
      <w:r w:rsidR="007717C3">
        <w:t>. Pursuant it d</w:t>
      </w:r>
      <w:r w:rsidR="009564C3" w:rsidRPr="00DA2C5E">
        <w:t xml:space="preserve">eployed </w:t>
      </w:r>
      <w:r w:rsidR="00DA24F9">
        <w:t>a</w:t>
      </w:r>
      <w:r w:rsidR="009564C3" w:rsidRPr="00DA2C5E">
        <w:t xml:space="preserve"> new enterprise portfolio and project man</w:t>
      </w:r>
      <w:r w:rsidR="006D1073" w:rsidRPr="00DA2C5E">
        <w:t>agement system (</w:t>
      </w:r>
      <w:r w:rsidR="001C24BB" w:rsidRPr="00DA2C5E">
        <w:t>‘</w:t>
      </w:r>
      <w:r w:rsidR="006D1073" w:rsidRPr="00DA2C5E">
        <w:t>O</w:t>
      </w:r>
      <w:r w:rsidR="009564C3" w:rsidRPr="00DA2C5E">
        <w:t>neUNOPS Projects</w:t>
      </w:r>
      <w:r w:rsidR="001C24BB" w:rsidRPr="00DA2C5E">
        <w:t>’</w:t>
      </w:r>
      <w:r w:rsidR="009564C3" w:rsidRPr="00DA2C5E">
        <w:t xml:space="preserve">), which enables UNOPS personnel around the world to better design, plan, manage and execute projects. </w:t>
      </w:r>
      <w:r w:rsidR="00E90920" w:rsidRPr="00DA2C5E">
        <w:t xml:space="preserve">While </w:t>
      </w:r>
      <w:r w:rsidR="009564C3" w:rsidRPr="00DA2C5E">
        <w:t>expan</w:t>
      </w:r>
      <w:r w:rsidR="00E90920" w:rsidRPr="00DA2C5E">
        <w:t>ding</w:t>
      </w:r>
      <w:r w:rsidR="009564C3" w:rsidRPr="00DA2C5E">
        <w:t xml:space="preserve"> the system, UNOPS put renewed emphasis on collaborative and knowledge management tools. This included shifting the budgeting for project cost towards an output-based approach to better account for deliverables.</w:t>
      </w:r>
    </w:p>
    <w:p w14:paraId="3BFD4FFF" w14:textId="331CAB33" w:rsidR="009564C3" w:rsidRPr="00DA2C5E" w:rsidRDefault="00921115" w:rsidP="009564C3">
      <w:pPr>
        <w:spacing w:after="120"/>
      </w:pPr>
      <w:r w:rsidRPr="00DA2C5E">
        <w:t>6</w:t>
      </w:r>
      <w:r w:rsidR="005A6344" w:rsidRPr="00DA2C5E">
        <w:t>2</w:t>
      </w:r>
      <w:r w:rsidR="009564C3" w:rsidRPr="00DA2C5E">
        <w:t>.</w:t>
      </w:r>
      <w:r w:rsidR="009564C3" w:rsidRPr="00DA2C5E">
        <w:tab/>
        <w:t>As part of the continuous pursuit of business improvement and enhanced efficiency and consistency, UNOPS has increased the share of relevant processes performed in its global shared service</w:t>
      </w:r>
      <w:r w:rsidR="00445FD6" w:rsidRPr="00DA2C5E">
        <w:t>s</w:t>
      </w:r>
      <w:r w:rsidR="009564C3" w:rsidRPr="00DA2C5E">
        <w:t xml:space="preserve"> centre from 34 per cent in 2017 to 74 per cent in 2019. In parallel, the share of procurement processes delivered through the e-sourcing tool reached 97 per cent in 2019, up from 10 per cent in</w:t>
      </w:r>
      <w:r w:rsidR="00445FD6" w:rsidRPr="00DA2C5E">
        <w:t> </w:t>
      </w:r>
      <w:r w:rsidR="009564C3" w:rsidRPr="00DA2C5E">
        <w:t>2016.</w:t>
      </w:r>
    </w:p>
    <w:p w14:paraId="7FF2C545" w14:textId="57192AA6" w:rsidR="009564C3" w:rsidRPr="00DA2C5E" w:rsidRDefault="00B917FE" w:rsidP="009564C3">
      <w:pPr>
        <w:spacing w:after="120"/>
      </w:pPr>
      <w:r w:rsidRPr="00DA2C5E">
        <w:t>6</w:t>
      </w:r>
      <w:r w:rsidR="005A6344" w:rsidRPr="00DA2C5E">
        <w:t>3</w:t>
      </w:r>
      <w:r w:rsidR="009564C3" w:rsidRPr="00DA2C5E">
        <w:t>.</w:t>
      </w:r>
      <w:r w:rsidR="009564C3" w:rsidRPr="00DA2C5E">
        <w:tab/>
        <w:t xml:space="preserve">UNOPS improved its implementation rate of </w:t>
      </w:r>
      <w:r w:rsidR="00445FD6" w:rsidRPr="00DA2C5E">
        <w:t xml:space="preserve">recommendations of the United Nations Board of Auditors from the prior year </w:t>
      </w:r>
      <w:r w:rsidR="009564C3" w:rsidRPr="00DA2C5E">
        <w:t>from 38 per cent in 2017 to 61 per cent in the</w:t>
      </w:r>
      <w:r w:rsidR="008E0A2E" w:rsidRPr="00DA2C5E">
        <w:t xml:space="preserve"> report issued </w:t>
      </w:r>
      <w:r w:rsidR="00445FD6" w:rsidRPr="00DA2C5E">
        <w:t xml:space="preserve">by the Board </w:t>
      </w:r>
      <w:r w:rsidR="008E0A2E" w:rsidRPr="00DA2C5E">
        <w:t>in 2</w:t>
      </w:r>
      <w:r w:rsidR="009564C3" w:rsidRPr="00DA2C5E">
        <w:t xml:space="preserve">019. </w:t>
      </w:r>
      <w:r w:rsidR="008E0A2E" w:rsidRPr="00DA2C5E">
        <w:t>During the same period, t</w:t>
      </w:r>
      <w:r w:rsidR="009564C3" w:rsidRPr="00DA2C5E">
        <w:t xml:space="preserve">he implementation rate of internal audit recommendations increased from 92 per cent to 96 per cent. </w:t>
      </w:r>
      <w:r w:rsidR="008E0A2E" w:rsidRPr="00DA2C5E">
        <w:t>By the end of 2019, o</w:t>
      </w:r>
      <w:r w:rsidR="009564C3" w:rsidRPr="00DA2C5E">
        <w:t xml:space="preserve">nly one </w:t>
      </w:r>
      <w:r w:rsidR="008E0A2E" w:rsidRPr="00DA2C5E">
        <w:t xml:space="preserve">internal audit </w:t>
      </w:r>
      <w:r w:rsidR="009564C3" w:rsidRPr="00DA2C5E">
        <w:t xml:space="preserve">recommendation </w:t>
      </w:r>
      <w:r w:rsidR="008E0A2E" w:rsidRPr="00DA2C5E">
        <w:t xml:space="preserve">had </w:t>
      </w:r>
      <w:r w:rsidR="009564C3" w:rsidRPr="00DA2C5E">
        <w:t>remained open for more than 18 months, demonstrating senior management commitment to prudent organizational stewardship.</w:t>
      </w:r>
    </w:p>
    <w:p w14:paraId="1F86EDE4" w14:textId="77777777" w:rsidR="009564C3" w:rsidRPr="00DA2C5E" w:rsidRDefault="009564C3" w:rsidP="00E90920">
      <w:pPr>
        <w:pStyle w:val="Heading3"/>
      </w:pPr>
      <w:r w:rsidRPr="00DA2C5E">
        <w:t>Finance</w:t>
      </w:r>
    </w:p>
    <w:p w14:paraId="16610731" w14:textId="6768ACCA" w:rsidR="009564C3" w:rsidRPr="00DA2C5E" w:rsidRDefault="00B917FE" w:rsidP="009564C3">
      <w:pPr>
        <w:spacing w:after="120"/>
      </w:pPr>
      <w:r w:rsidRPr="00DA2C5E">
        <w:t>6</w:t>
      </w:r>
      <w:r w:rsidR="005A6344" w:rsidRPr="00DA2C5E">
        <w:t>4</w:t>
      </w:r>
      <w:r w:rsidR="009564C3" w:rsidRPr="00DA2C5E">
        <w:t>.</w:t>
      </w:r>
      <w:r w:rsidR="009564C3" w:rsidRPr="00DA2C5E">
        <w:tab/>
        <w:t xml:space="preserve">To ensure </w:t>
      </w:r>
      <w:r w:rsidR="009564C3" w:rsidRPr="00DA2C5E">
        <w:rPr>
          <w:i/>
        </w:rPr>
        <w:t>financial stewardship</w:t>
      </w:r>
      <w:r w:rsidR="009564C3" w:rsidRPr="00DA2C5E">
        <w:t xml:space="preserve">, UNOPS </w:t>
      </w:r>
      <w:r w:rsidR="00445FD6" w:rsidRPr="00DA2C5E">
        <w:t>“</w:t>
      </w:r>
      <w:r w:rsidR="009564C3" w:rsidRPr="00DA2C5E">
        <w:t>safeguards the demand-driven, self-financed business model and ability to invest in innovation for the benefit of governments, the United Nations and other partners, and the people they serve</w:t>
      </w:r>
      <w:r w:rsidR="00445FD6" w:rsidRPr="00DA2C5E">
        <w:t>”</w:t>
      </w:r>
      <w:r w:rsidR="009564C3" w:rsidRPr="00DA2C5E">
        <w:t>.</w:t>
      </w:r>
    </w:p>
    <w:p w14:paraId="235DA198" w14:textId="19417E6B" w:rsidR="009564C3" w:rsidRPr="00DA2C5E" w:rsidRDefault="00B917FE" w:rsidP="009564C3">
      <w:pPr>
        <w:spacing w:after="120"/>
      </w:pPr>
      <w:r w:rsidRPr="00DA2C5E">
        <w:t>6</w:t>
      </w:r>
      <w:r w:rsidR="005A6344" w:rsidRPr="00DA2C5E">
        <w:t>5</w:t>
      </w:r>
      <w:r w:rsidR="009564C3" w:rsidRPr="00DA2C5E">
        <w:t>.</w:t>
      </w:r>
      <w:r w:rsidR="009564C3" w:rsidRPr="00DA2C5E">
        <w:tab/>
      </w:r>
      <w:r w:rsidR="00445FD6" w:rsidRPr="00DA2C5E">
        <w:t>D</w:t>
      </w:r>
      <w:r w:rsidR="009564C3" w:rsidRPr="00DA2C5E">
        <w:t xml:space="preserve">elivery of project services increased from $1.4 billion in 2016 to $2.3 billion in 2019, an annual average growth of 16 per cent. </w:t>
      </w:r>
      <w:r w:rsidR="00445FD6" w:rsidRPr="00DA2C5E">
        <w:t>T</w:t>
      </w:r>
      <w:r w:rsidR="009564C3" w:rsidRPr="00DA2C5E">
        <w:t>he average fee decreased from 6.0 per cent to 4.4 per cent</w:t>
      </w:r>
      <w:r w:rsidR="00445FD6" w:rsidRPr="00DA2C5E">
        <w:t>,</w:t>
      </w:r>
      <w:r w:rsidR="009564C3" w:rsidRPr="00DA2C5E">
        <w:t xml:space="preserve"> indicat</w:t>
      </w:r>
      <w:r w:rsidR="00445FD6" w:rsidRPr="00DA2C5E">
        <w:t>ing</w:t>
      </w:r>
      <w:r w:rsidR="009564C3" w:rsidRPr="00DA2C5E">
        <w:t xml:space="preserve"> that UNOPS </w:t>
      </w:r>
      <w:r w:rsidR="00445FD6" w:rsidRPr="00DA2C5E">
        <w:t xml:space="preserve">was </w:t>
      </w:r>
      <w:r w:rsidR="009564C3" w:rsidRPr="00DA2C5E">
        <w:t>delivering more for less, including through economies of scale, to benefit its partners and beneficiaries.</w:t>
      </w:r>
    </w:p>
    <w:p w14:paraId="5A0CFFEF" w14:textId="0664A31E" w:rsidR="009564C3" w:rsidRPr="00DA2C5E" w:rsidRDefault="00921115" w:rsidP="009564C3">
      <w:pPr>
        <w:spacing w:after="120"/>
      </w:pPr>
      <w:r w:rsidRPr="00DA2C5E">
        <w:t>6</w:t>
      </w:r>
      <w:r w:rsidR="005A6344" w:rsidRPr="00DA2C5E">
        <w:t>6</w:t>
      </w:r>
      <w:r w:rsidR="009564C3" w:rsidRPr="00DA2C5E">
        <w:t>.</w:t>
      </w:r>
      <w:r w:rsidR="009564C3" w:rsidRPr="00DA2C5E">
        <w:tab/>
        <w:t>UNOPS consistently achieved its net revenue target and minimum requirements for the operational reserve established by the Executive Board. Moreover, 98 per cent of partner agreements were signed in compliance with its cost recovery policy, and UNOPS met its target of invest</w:t>
      </w:r>
      <w:r w:rsidR="008E0A2E" w:rsidRPr="00DA2C5E">
        <w:t>ments in knowledge management and innovation</w:t>
      </w:r>
      <w:r w:rsidR="00E90920" w:rsidRPr="00DA2C5E">
        <w:t>,</w:t>
      </w:r>
      <w:r w:rsidR="009564C3" w:rsidRPr="00DA2C5E">
        <w:t xml:space="preserve"> </w:t>
      </w:r>
      <w:r w:rsidR="008E0A2E" w:rsidRPr="00DA2C5E">
        <w:t xml:space="preserve">amounting to </w:t>
      </w:r>
      <w:r w:rsidR="00445FD6" w:rsidRPr="00DA2C5E">
        <w:t xml:space="preserve">1 </w:t>
      </w:r>
      <w:r w:rsidR="009564C3" w:rsidRPr="00DA2C5E">
        <w:t xml:space="preserve">per cent of indirect costs. </w:t>
      </w:r>
    </w:p>
    <w:p w14:paraId="3FC36B1C" w14:textId="5DD265DA" w:rsidR="00A72413" w:rsidRPr="00DA2C5E" w:rsidRDefault="00C040F4" w:rsidP="00A72413">
      <w:pPr>
        <w:spacing w:after="120"/>
      </w:pPr>
      <w:r w:rsidRPr="00DA2C5E">
        <w:t>6</w:t>
      </w:r>
      <w:r w:rsidR="005A6344" w:rsidRPr="00DA2C5E">
        <w:t>7</w:t>
      </w:r>
      <w:r w:rsidR="009564C3" w:rsidRPr="00DA2C5E">
        <w:t>.</w:t>
      </w:r>
      <w:r w:rsidR="009564C3" w:rsidRPr="00DA2C5E">
        <w:tab/>
        <w:t>To ensure financial viability and safeguard its unique business model</w:t>
      </w:r>
      <w:r w:rsidR="00445FD6" w:rsidRPr="00DA2C5E">
        <w:t>,</w:t>
      </w:r>
      <w:r w:rsidR="009564C3" w:rsidRPr="00DA2C5E">
        <w:t xml:space="preserve"> UNOPS relied on its low operational surplus margin and net finance income, which are the main building blocks of its net assets. By the end of 2019 its net assets stood at $252 million.</w:t>
      </w:r>
      <w:r w:rsidR="009564C3" w:rsidRPr="00DA2C5E">
        <w:rPr>
          <w:rStyle w:val="FootnoteReference"/>
        </w:rPr>
        <w:footnoteReference w:id="8"/>
      </w:r>
      <w:r w:rsidR="009564C3" w:rsidRPr="00DA2C5E">
        <w:t xml:space="preserve"> In 2019, the Executive Director established a growth and innovation reserve to provide</w:t>
      </w:r>
      <w:r w:rsidR="00AE2F43" w:rsidRPr="00DA2C5E">
        <w:t xml:space="preserve"> </w:t>
      </w:r>
      <w:r w:rsidR="009564C3" w:rsidRPr="00DA2C5E">
        <w:t>debt or equity investments to</w:t>
      </w:r>
      <w:r w:rsidR="00AE2F43" w:rsidRPr="00DA2C5E">
        <w:t>, inter alia,</w:t>
      </w:r>
      <w:r w:rsidR="009564C3" w:rsidRPr="00DA2C5E">
        <w:t xml:space="preserve"> sustainable infrastructure impact investment activities. At the end of 2019, the balance stood at $104.9</w:t>
      </w:r>
      <w:r w:rsidR="00445FD6" w:rsidRPr="00DA2C5E">
        <w:t> </w:t>
      </w:r>
      <w:r w:rsidR="009564C3" w:rsidRPr="00DA2C5E">
        <w:t>million, with a total of $58.8 million allocated to sustainable infrastructure impact investment agreements as of April 2020.</w:t>
      </w:r>
    </w:p>
    <w:sectPr w:rsidR="00A72413" w:rsidRPr="00DA2C5E" w:rsidSect="00BD2570">
      <w:headerReference w:type="even" r:id="rId11"/>
      <w:headerReference w:type="default" r:id="rId12"/>
      <w:footerReference w:type="even" r:id="rId13"/>
      <w:footerReference w:type="default" r:id="rId14"/>
      <w:pgSz w:w="12240" w:h="15840" w:code="1"/>
      <w:pgMar w:top="1134" w:right="1985"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27B1B" w14:textId="77777777" w:rsidR="006B4FAE" w:rsidRDefault="006B4FAE" w:rsidP="001763F0">
      <w:r>
        <w:separator/>
      </w:r>
    </w:p>
  </w:endnote>
  <w:endnote w:type="continuationSeparator" w:id="0">
    <w:p w14:paraId="639652DF" w14:textId="77777777" w:rsidR="006B4FAE" w:rsidRDefault="006B4FAE" w:rsidP="0017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889B0" w14:textId="587B934B" w:rsidR="006B4FAE" w:rsidRDefault="006B4FAE" w:rsidP="00725533">
    <w:pPr>
      <w:tabs>
        <w:tab w:val="center" w:pos="4819"/>
        <w:tab w:val="right" w:pos="9638"/>
      </w:tabs>
      <w:ind w:right="-995" w:hanging="630"/>
      <w:jc w:val="right"/>
    </w:pPr>
    <w:r w:rsidRPr="00BF374C">
      <w:rPr>
        <w:rFonts w:eastAsia="Times New Roman" w:cs="Times New Roman"/>
        <w:b/>
        <w:sz w:val="17"/>
        <w:szCs w:val="17"/>
        <w:lang w:eastAsia="en-GB"/>
      </w:rPr>
      <w:fldChar w:fldCharType="begin"/>
    </w:r>
    <w:r w:rsidRPr="00BF374C">
      <w:rPr>
        <w:rFonts w:eastAsia="Times New Roman" w:cs="Times New Roman"/>
        <w:b/>
        <w:sz w:val="17"/>
        <w:szCs w:val="17"/>
        <w:lang w:eastAsia="en-GB"/>
      </w:rPr>
      <w:instrText xml:space="preserve"> PAGE   \* MERGEFORMAT </w:instrText>
    </w:r>
    <w:r w:rsidRPr="00BF374C">
      <w:rPr>
        <w:rFonts w:eastAsia="Times New Roman" w:cs="Times New Roman"/>
        <w:b/>
        <w:sz w:val="17"/>
        <w:szCs w:val="17"/>
        <w:lang w:eastAsia="en-GB"/>
      </w:rPr>
      <w:fldChar w:fldCharType="separate"/>
    </w:r>
    <w:r w:rsidR="003A29F1">
      <w:rPr>
        <w:rFonts w:eastAsia="Times New Roman" w:cs="Times New Roman"/>
        <w:b/>
        <w:noProof/>
        <w:sz w:val="17"/>
        <w:szCs w:val="17"/>
        <w:lang w:eastAsia="en-GB"/>
      </w:rPr>
      <w:t>4</w:t>
    </w:r>
    <w:r w:rsidRPr="00BF374C">
      <w:rPr>
        <w:rFonts w:eastAsia="Times New Roman" w:cs="Times New Roman"/>
        <w:b/>
        <w:noProof/>
        <w:sz w:val="17"/>
        <w:szCs w:val="17"/>
        <w:lang w:eastAsia="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68CA1" w14:textId="230F3DBC" w:rsidR="006B4FAE" w:rsidRDefault="006B4FAE" w:rsidP="00BF374C">
    <w:pPr>
      <w:tabs>
        <w:tab w:val="center" w:pos="4819"/>
        <w:tab w:val="right" w:pos="9638"/>
      </w:tabs>
      <w:ind w:hanging="630"/>
    </w:pPr>
    <w:r w:rsidRPr="00BF374C">
      <w:rPr>
        <w:rFonts w:eastAsia="Times New Roman" w:cs="Times New Roman"/>
        <w:b/>
        <w:sz w:val="17"/>
        <w:szCs w:val="17"/>
        <w:lang w:eastAsia="en-GB"/>
      </w:rPr>
      <w:fldChar w:fldCharType="begin"/>
    </w:r>
    <w:r w:rsidRPr="00BF374C">
      <w:rPr>
        <w:rFonts w:eastAsia="Times New Roman" w:cs="Times New Roman"/>
        <w:b/>
        <w:sz w:val="17"/>
        <w:szCs w:val="17"/>
        <w:lang w:eastAsia="en-GB"/>
      </w:rPr>
      <w:instrText xml:space="preserve"> PAGE   \* MERGEFORMAT </w:instrText>
    </w:r>
    <w:r w:rsidRPr="00BF374C">
      <w:rPr>
        <w:rFonts w:eastAsia="Times New Roman" w:cs="Times New Roman"/>
        <w:b/>
        <w:sz w:val="17"/>
        <w:szCs w:val="17"/>
        <w:lang w:eastAsia="en-GB"/>
      </w:rPr>
      <w:fldChar w:fldCharType="separate"/>
    </w:r>
    <w:r w:rsidR="003A29F1">
      <w:rPr>
        <w:rFonts w:eastAsia="Times New Roman" w:cs="Times New Roman"/>
        <w:b/>
        <w:noProof/>
        <w:sz w:val="17"/>
        <w:szCs w:val="17"/>
        <w:lang w:eastAsia="en-GB"/>
      </w:rPr>
      <w:t>3</w:t>
    </w:r>
    <w:r w:rsidRPr="00BF374C">
      <w:rPr>
        <w:rFonts w:eastAsia="Times New Roman" w:cs="Times New Roman"/>
        <w:b/>
        <w:noProof/>
        <w:sz w:val="17"/>
        <w:szCs w:val="17"/>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2DDE0" w14:textId="77777777" w:rsidR="006B4FAE" w:rsidRDefault="006B4FAE" w:rsidP="001763F0">
      <w:r>
        <w:separator/>
      </w:r>
    </w:p>
  </w:footnote>
  <w:footnote w:type="continuationSeparator" w:id="0">
    <w:p w14:paraId="4EDEF21A" w14:textId="77777777" w:rsidR="006B4FAE" w:rsidRDefault="006B4FAE" w:rsidP="001763F0">
      <w:r>
        <w:continuationSeparator/>
      </w:r>
    </w:p>
  </w:footnote>
  <w:footnote w:id="1">
    <w:p w14:paraId="26BAE946" w14:textId="2E544DC5" w:rsidR="006B4FAE" w:rsidRPr="00A71E46" w:rsidRDefault="006B4FAE" w:rsidP="005233B1">
      <w:pPr>
        <w:pStyle w:val="FootnoteText"/>
        <w:rPr>
          <w:sz w:val="16"/>
          <w:szCs w:val="16"/>
        </w:rPr>
      </w:pPr>
      <w:r w:rsidRPr="00A71E46">
        <w:rPr>
          <w:rStyle w:val="FootnoteReference"/>
          <w:sz w:val="16"/>
          <w:szCs w:val="16"/>
        </w:rPr>
        <w:footnoteRef/>
      </w:r>
      <w:r w:rsidRPr="00A71E46">
        <w:rPr>
          <w:sz w:val="16"/>
          <w:szCs w:val="16"/>
        </w:rPr>
        <w:t xml:space="preserve"> The increase is measured as gross delivery</w:t>
      </w:r>
      <w:r>
        <w:rPr>
          <w:sz w:val="16"/>
          <w:szCs w:val="16"/>
        </w:rPr>
        <w:t>,</w:t>
      </w:r>
      <w:r w:rsidRPr="00A71E46">
        <w:rPr>
          <w:sz w:val="16"/>
          <w:szCs w:val="16"/>
        </w:rPr>
        <w:t xml:space="preserve"> 2018-2019</w:t>
      </w:r>
      <w:r>
        <w:rPr>
          <w:sz w:val="16"/>
          <w:szCs w:val="16"/>
        </w:rPr>
        <w:t>,</w:t>
      </w:r>
      <w:r w:rsidRPr="00A71E46">
        <w:rPr>
          <w:sz w:val="16"/>
          <w:szCs w:val="16"/>
        </w:rPr>
        <w:t xml:space="preserve"> compared to </w:t>
      </w:r>
      <w:r w:rsidR="003B7E93">
        <w:rPr>
          <w:sz w:val="16"/>
          <w:szCs w:val="16"/>
        </w:rPr>
        <w:t xml:space="preserve">the average </w:t>
      </w:r>
      <w:r w:rsidRPr="00A71E46">
        <w:rPr>
          <w:sz w:val="16"/>
          <w:szCs w:val="16"/>
        </w:rPr>
        <w:t>gross delivery for the two prior bienni</w:t>
      </w:r>
      <w:r>
        <w:rPr>
          <w:sz w:val="16"/>
          <w:szCs w:val="16"/>
        </w:rPr>
        <w:t>ums</w:t>
      </w:r>
      <w:r w:rsidRPr="00A71E46">
        <w:rPr>
          <w:sz w:val="16"/>
          <w:szCs w:val="16"/>
        </w:rPr>
        <w:t>.</w:t>
      </w:r>
    </w:p>
  </w:footnote>
  <w:footnote w:id="2">
    <w:p w14:paraId="6B93EC4F" w14:textId="0FA42ABF" w:rsidR="006B4FAE" w:rsidRPr="00DB17FF" w:rsidRDefault="006B4FAE" w:rsidP="005233B1">
      <w:pPr>
        <w:pStyle w:val="FootnoteText"/>
        <w:rPr>
          <w:sz w:val="16"/>
          <w:szCs w:val="16"/>
        </w:rPr>
      </w:pPr>
      <w:r w:rsidRPr="00DB17FF">
        <w:rPr>
          <w:rStyle w:val="FootnoteReference"/>
          <w:sz w:val="16"/>
          <w:szCs w:val="16"/>
        </w:rPr>
        <w:footnoteRef/>
      </w:r>
      <w:r w:rsidRPr="00DB17FF">
        <w:rPr>
          <w:sz w:val="16"/>
          <w:szCs w:val="16"/>
        </w:rPr>
        <w:t xml:space="preserve"> The </w:t>
      </w:r>
      <w:r>
        <w:rPr>
          <w:sz w:val="16"/>
          <w:szCs w:val="16"/>
        </w:rPr>
        <w:t xml:space="preserve">overall </w:t>
      </w:r>
      <w:r w:rsidRPr="00DB17FF">
        <w:rPr>
          <w:sz w:val="16"/>
          <w:szCs w:val="16"/>
        </w:rPr>
        <w:t xml:space="preserve">decrease </w:t>
      </w:r>
      <w:r>
        <w:rPr>
          <w:sz w:val="16"/>
          <w:szCs w:val="16"/>
        </w:rPr>
        <w:t xml:space="preserve">in small island developing States was </w:t>
      </w:r>
      <w:r w:rsidRPr="00DB17FF">
        <w:rPr>
          <w:sz w:val="16"/>
          <w:szCs w:val="16"/>
        </w:rPr>
        <w:t>due to a gradual slowdown of activities in Haiti</w:t>
      </w:r>
      <w:r>
        <w:rPr>
          <w:sz w:val="16"/>
          <w:szCs w:val="16"/>
        </w:rPr>
        <w:t>, which in turn obfuscated growth in the Oceanian countries.</w:t>
      </w:r>
    </w:p>
  </w:footnote>
  <w:footnote w:id="3">
    <w:p w14:paraId="24DD7049" w14:textId="77777777" w:rsidR="006B4FAE" w:rsidRPr="00DB17FF" w:rsidRDefault="006B4FAE" w:rsidP="005233B1">
      <w:pPr>
        <w:pStyle w:val="FootnoteText"/>
        <w:rPr>
          <w:sz w:val="16"/>
          <w:szCs w:val="16"/>
        </w:rPr>
      </w:pPr>
      <w:r w:rsidRPr="00DB17FF">
        <w:rPr>
          <w:rStyle w:val="FootnoteReference"/>
          <w:sz w:val="16"/>
          <w:szCs w:val="16"/>
        </w:rPr>
        <w:footnoteRef/>
      </w:r>
      <w:r w:rsidRPr="00DB17FF">
        <w:rPr>
          <w:sz w:val="16"/>
          <w:szCs w:val="16"/>
        </w:rPr>
        <w:t xml:space="preserve"> </w:t>
      </w:r>
      <w:r>
        <w:rPr>
          <w:sz w:val="16"/>
          <w:szCs w:val="16"/>
        </w:rPr>
        <w:t>Uppsala Conflict Data Program</w:t>
      </w:r>
      <w:r w:rsidRPr="00744697">
        <w:rPr>
          <w:sz w:val="16"/>
          <w:szCs w:val="16"/>
        </w:rPr>
        <w:t xml:space="preserve"> </w:t>
      </w:r>
      <w:r w:rsidRPr="00F42BD8">
        <w:rPr>
          <w:sz w:val="16"/>
          <w:szCs w:val="16"/>
        </w:rPr>
        <w:t>(</w:t>
      </w:r>
      <w:hyperlink r:id="rId1" w:anchor="__utma=1.549206357.1581065136.1581065136.1581065136.1&amp;__utmb=1.4.10.1581065136&amp;__utmc=1&amp;__utmx=-&amp;__utmz=1.1581065136.1.1.utmcsr=(direct)|utmccn=(direct)|utmcmd=(none)&amp;__utmv=-&amp;__utmk=39311523" w:history="1">
        <w:r w:rsidRPr="00F42BD8">
          <w:rPr>
            <w:rStyle w:val="Hyperlink"/>
            <w:color w:val="auto"/>
            <w:sz w:val="16"/>
            <w:szCs w:val="16"/>
            <w:u w:val="none"/>
          </w:rPr>
          <w:t>UCDP), Active state-based conflicts in 2018</w:t>
        </w:r>
      </w:hyperlink>
    </w:p>
  </w:footnote>
  <w:footnote w:id="4">
    <w:p w14:paraId="5E297569" w14:textId="48664F4F" w:rsidR="006B4FAE" w:rsidRPr="00CA6C5E" w:rsidRDefault="006B4FAE" w:rsidP="008F0239">
      <w:pPr>
        <w:pStyle w:val="NormalWeb"/>
        <w:spacing w:before="0" w:beforeAutospacing="0" w:after="0" w:afterAutospacing="0"/>
        <w:rPr>
          <w:sz w:val="16"/>
          <w:szCs w:val="16"/>
          <w:lang w:val="en-US" w:eastAsia="en-US"/>
        </w:rPr>
      </w:pPr>
      <w:r w:rsidRPr="001835CC">
        <w:rPr>
          <w:rStyle w:val="FootnoteReference"/>
          <w:sz w:val="16"/>
          <w:szCs w:val="16"/>
        </w:rPr>
        <w:footnoteRef/>
      </w:r>
      <w:r w:rsidRPr="001835CC">
        <w:rPr>
          <w:sz w:val="16"/>
          <w:szCs w:val="16"/>
        </w:rPr>
        <w:t xml:space="preserve"> </w:t>
      </w:r>
      <w:r w:rsidR="004721A4" w:rsidRPr="005B61F4">
        <w:rPr>
          <w:i/>
          <w:sz w:val="16"/>
          <w:szCs w:val="16"/>
        </w:rPr>
        <w:t>Evidence-based infrastructure: Curacao</w:t>
      </w:r>
      <w:r w:rsidR="004721A4">
        <w:rPr>
          <w:sz w:val="16"/>
          <w:szCs w:val="16"/>
        </w:rPr>
        <w:t xml:space="preserve">, Ministry of Traffic, Transportation and Urban Planning, Government of </w:t>
      </w:r>
      <w:r w:rsidR="004721A4" w:rsidRPr="004721A4">
        <w:rPr>
          <w:sz w:val="16"/>
          <w:szCs w:val="16"/>
        </w:rPr>
        <w:t>Curaçao</w:t>
      </w:r>
      <w:r w:rsidR="004721A4">
        <w:rPr>
          <w:sz w:val="16"/>
          <w:szCs w:val="16"/>
        </w:rPr>
        <w:t xml:space="preserve">; </w:t>
      </w:r>
      <w:r w:rsidR="00CA6C5E" w:rsidRPr="00CA6C5E">
        <w:rPr>
          <w:sz w:val="16"/>
          <w:szCs w:val="16"/>
        </w:rPr>
        <w:t>Infrastructure Transitions Research Consortium (ITRC)</w:t>
      </w:r>
      <w:r w:rsidR="004721A4">
        <w:rPr>
          <w:sz w:val="16"/>
          <w:szCs w:val="16"/>
        </w:rPr>
        <w:t>;</w:t>
      </w:r>
      <w:hyperlink r:id="rId2" w:history="1">
        <w:r w:rsidR="00CA6C5E">
          <w:rPr>
            <w:sz w:val="16"/>
            <w:szCs w:val="16"/>
            <w:lang w:val="en-US" w:eastAsia="en-US"/>
          </w:rPr>
          <w:t xml:space="preserve"> </w:t>
        </w:r>
        <w:r w:rsidRPr="00CA6C5E">
          <w:rPr>
            <w:sz w:val="16"/>
            <w:szCs w:val="16"/>
            <w:lang w:val="en-US" w:eastAsia="en-US"/>
          </w:rPr>
          <w:t>and UNOPS, 2018</w:t>
        </w:r>
      </w:hyperlink>
    </w:p>
  </w:footnote>
  <w:footnote w:id="5">
    <w:p w14:paraId="778A35A0" w14:textId="4C94BFC5" w:rsidR="006B4FAE" w:rsidRPr="00CA6C5E" w:rsidRDefault="006B4FAE" w:rsidP="008F0239">
      <w:pPr>
        <w:pStyle w:val="FootnoteText"/>
        <w:rPr>
          <w:rFonts w:cs="Times New Roman"/>
          <w:sz w:val="16"/>
          <w:szCs w:val="16"/>
        </w:rPr>
      </w:pPr>
      <w:r w:rsidRPr="001835CC">
        <w:rPr>
          <w:rStyle w:val="FootnoteReference"/>
          <w:rFonts w:cs="Times New Roman"/>
          <w:sz w:val="16"/>
          <w:szCs w:val="16"/>
        </w:rPr>
        <w:footnoteRef/>
      </w:r>
      <w:r w:rsidRPr="001835CC">
        <w:rPr>
          <w:rFonts w:cs="Times New Roman"/>
          <w:sz w:val="16"/>
          <w:szCs w:val="16"/>
        </w:rPr>
        <w:t xml:space="preserve"> </w:t>
      </w:r>
      <w:r w:rsidR="004721A4" w:rsidRPr="005B61F4">
        <w:rPr>
          <w:rFonts w:cs="Times New Roman"/>
          <w:i/>
          <w:sz w:val="16"/>
          <w:szCs w:val="16"/>
        </w:rPr>
        <w:t>A Fast Track Analysis of infrastructure provision in Palestine</w:t>
      </w:r>
      <w:r w:rsidR="004721A4">
        <w:rPr>
          <w:rFonts w:cs="Times New Roman"/>
          <w:sz w:val="16"/>
          <w:szCs w:val="16"/>
        </w:rPr>
        <w:t xml:space="preserve">, </w:t>
      </w:r>
      <w:hyperlink r:id="rId3" w:history="1">
        <w:r w:rsidRPr="00CA6C5E">
          <w:rPr>
            <w:rFonts w:cs="Times New Roman"/>
            <w:sz w:val="16"/>
            <w:szCs w:val="16"/>
          </w:rPr>
          <w:t>ITRC and UNOPS, 2018</w:t>
        </w:r>
      </w:hyperlink>
    </w:p>
  </w:footnote>
  <w:footnote w:id="6">
    <w:p w14:paraId="0C383E54" w14:textId="7E6E4AE6" w:rsidR="006B4FAE" w:rsidRPr="00BD2147" w:rsidRDefault="006B4FAE" w:rsidP="008F0239">
      <w:pPr>
        <w:pStyle w:val="FootnoteText"/>
        <w:rPr>
          <w:rFonts w:cs="Times New Roman"/>
          <w:sz w:val="16"/>
          <w:szCs w:val="16"/>
        </w:rPr>
      </w:pPr>
      <w:r w:rsidRPr="001835CC">
        <w:rPr>
          <w:rStyle w:val="FootnoteReference"/>
          <w:rFonts w:cs="Times New Roman"/>
          <w:sz w:val="16"/>
          <w:szCs w:val="16"/>
        </w:rPr>
        <w:footnoteRef/>
      </w:r>
      <w:r w:rsidRPr="001835CC">
        <w:rPr>
          <w:rFonts w:cs="Times New Roman"/>
          <w:sz w:val="16"/>
          <w:szCs w:val="16"/>
        </w:rPr>
        <w:t xml:space="preserve"> </w:t>
      </w:r>
      <w:hyperlink r:id="rId4" w:history="1">
        <w:r w:rsidRPr="00BD2147">
          <w:rPr>
            <w:rFonts w:cs="Times New Roman"/>
            <w:i/>
            <w:sz w:val="16"/>
            <w:szCs w:val="16"/>
          </w:rPr>
          <w:t>Enabling better infrastructure</w:t>
        </w:r>
        <w:r w:rsidRPr="00BD2147">
          <w:rPr>
            <w:rFonts w:cs="Times New Roman"/>
            <w:sz w:val="16"/>
            <w:szCs w:val="16"/>
          </w:rPr>
          <w:t xml:space="preserve">, </w:t>
        </w:r>
        <w:r>
          <w:rPr>
            <w:rFonts w:cs="Times New Roman"/>
            <w:sz w:val="16"/>
            <w:szCs w:val="16"/>
          </w:rPr>
          <w:t xml:space="preserve">UNOPS, </w:t>
        </w:r>
        <w:r w:rsidRPr="00BD2147">
          <w:rPr>
            <w:rFonts w:cs="Times New Roman"/>
            <w:sz w:val="16"/>
            <w:szCs w:val="16"/>
          </w:rPr>
          <w:t>2019</w:t>
        </w:r>
      </w:hyperlink>
      <w:r>
        <w:rPr>
          <w:rFonts w:cs="Times New Roman"/>
          <w:sz w:val="16"/>
          <w:szCs w:val="16"/>
        </w:rPr>
        <w:t xml:space="preserve"> </w:t>
      </w:r>
    </w:p>
  </w:footnote>
  <w:footnote w:id="7">
    <w:p w14:paraId="64BBD216" w14:textId="77777777" w:rsidR="006B4FAE" w:rsidRPr="00887F3E" w:rsidRDefault="006B4FAE" w:rsidP="009564C3">
      <w:pPr>
        <w:pStyle w:val="FootnoteText"/>
        <w:rPr>
          <w:sz w:val="16"/>
          <w:szCs w:val="16"/>
        </w:rPr>
      </w:pPr>
      <w:r w:rsidRPr="00887F3E">
        <w:rPr>
          <w:rStyle w:val="FootnoteReference"/>
          <w:sz w:val="16"/>
          <w:szCs w:val="16"/>
        </w:rPr>
        <w:footnoteRef/>
      </w:r>
      <w:r>
        <w:rPr>
          <w:sz w:val="16"/>
          <w:szCs w:val="16"/>
        </w:rPr>
        <w:t xml:space="preserve"> </w:t>
      </w:r>
      <w:hyperlink r:id="rId5" w:history="1">
        <w:r w:rsidRPr="006F2F3B">
          <w:rPr>
            <w:rStyle w:val="Hyperlink"/>
            <w:color w:val="auto"/>
            <w:sz w:val="16"/>
            <w:szCs w:val="16"/>
            <w:u w:val="none"/>
          </w:rPr>
          <w:t>DP/OPS/2020/4-Annex II</w:t>
        </w:r>
      </w:hyperlink>
    </w:p>
  </w:footnote>
  <w:footnote w:id="8">
    <w:p w14:paraId="14779154" w14:textId="77777777" w:rsidR="006B4FAE" w:rsidRPr="00445FD6" w:rsidRDefault="006B4FAE" w:rsidP="009564C3">
      <w:pPr>
        <w:pStyle w:val="FootnoteText"/>
        <w:rPr>
          <w:sz w:val="16"/>
          <w:szCs w:val="16"/>
          <w:lang w:val="en-US"/>
        </w:rPr>
      </w:pPr>
      <w:r w:rsidRPr="00445FD6">
        <w:rPr>
          <w:rStyle w:val="FootnoteReference"/>
          <w:sz w:val="16"/>
          <w:szCs w:val="16"/>
        </w:rPr>
        <w:footnoteRef/>
      </w:r>
      <w:r w:rsidRPr="00445FD6">
        <w:rPr>
          <w:sz w:val="16"/>
          <w:szCs w:val="16"/>
        </w:rPr>
        <w:t xml:space="preserve"> </w:t>
      </w:r>
      <w:hyperlink r:id="rId6" w:history="1">
        <w:r w:rsidRPr="006F2F3B">
          <w:rPr>
            <w:rStyle w:val="Hyperlink"/>
            <w:color w:val="auto"/>
            <w:sz w:val="16"/>
            <w:szCs w:val="16"/>
            <w:u w:val="none"/>
            <w:lang w:val="en-US"/>
          </w:rPr>
          <w:t>DP/OPS/2020/CRP.1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85" w:type="dxa"/>
      <w:tblInd w:w="-967" w:type="dxa"/>
      <w:tblBorders>
        <w:bottom w:val="single" w:sz="2" w:space="0" w:color="auto"/>
      </w:tblBorders>
      <w:tblLayout w:type="fixed"/>
      <w:tblCellMar>
        <w:left w:w="0" w:type="dxa"/>
        <w:right w:w="0" w:type="dxa"/>
      </w:tblCellMar>
      <w:tblLook w:val="0000" w:firstRow="0" w:lastRow="0" w:firstColumn="0" w:lastColumn="0" w:noHBand="0" w:noVBand="0"/>
    </w:tblPr>
    <w:tblGrid>
      <w:gridCol w:w="4838"/>
      <w:gridCol w:w="5047"/>
    </w:tblGrid>
    <w:tr w:rsidR="006B4FAE" w:rsidRPr="00CF2B61" w14:paraId="4DBCB8CF" w14:textId="77777777" w:rsidTr="00387FC5">
      <w:trPr>
        <w:trHeight w:hRule="exact" w:val="864"/>
      </w:trPr>
      <w:tc>
        <w:tcPr>
          <w:tcW w:w="4838" w:type="dxa"/>
          <w:vAlign w:val="bottom"/>
        </w:tcPr>
        <w:p w14:paraId="381F53C2" w14:textId="77777777" w:rsidR="006B4FAE" w:rsidRPr="00566DB0" w:rsidRDefault="006B4FAE" w:rsidP="00387FC5">
          <w:pPr>
            <w:tabs>
              <w:tab w:val="clear" w:pos="425"/>
              <w:tab w:val="left" w:pos="426"/>
              <w:tab w:val="center" w:pos="4819"/>
              <w:tab w:val="right" w:pos="9638"/>
            </w:tabs>
            <w:spacing w:after="80"/>
            <w:rPr>
              <w:rFonts w:eastAsia="Times New Roman" w:cs="Times New Roman"/>
              <w:b/>
              <w:szCs w:val="20"/>
              <w:lang w:val="en-US" w:eastAsia="en-GB"/>
            </w:rPr>
          </w:pPr>
        </w:p>
      </w:tc>
      <w:tc>
        <w:tcPr>
          <w:tcW w:w="5047" w:type="dxa"/>
          <w:vAlign w:val="bottom"/>
        </w:tcPr>
        <w:p w14:paraId="24DD02AF" w14:textId="77777777" w:rsidR="006B4FAE" w:rsidRPr="00CF2B61" w:rsidRDefault="006B4FAE" w:rsidP="005F3F07">
          <w:pPr>
            <w:tabs>
              <w:tab w:val="center" w:pos="4819"/>
              <w:tab w:val="right" w:pos="9638"/>
            </w:tabs>
            <w:spacing w:after="80"/>
            <w:jc w:val="right"/>
            <w:rPr>
              <w:rFonts w:eastAsia="Times New Roman" w:cs="Times New Roman"/>
              <w:sz w:val="17"/>
              <w:szCs w:val="17"/>
              <w:lang w:val="en-US" w:eastAsia="en-GB"/>
            </w:rPr>
          </w:pPr>
          <w:r w:rsidRPr="00CF2B61">
            <w:rPr>
              <w:rFonts w:eastAsia="Times New Roman" w:cs="Times New Roman"/>
              <w:b/>
              <w:sz w:val="17"/>
              <w:szCs w:val="17"/>
              <w:lang w:val="en-US" w:eastAsia="en-GB"/>
            </w:rPr>
            <w:t>DP/OPS/20</w:t>
          </w:r>
          <w:r>
            <w:rPr>
              <w:rFonts w:eastAsia="Times New Roman" w:cs="Times New Roman"/>
              <w:b/>
              <w:sz w:val="17"/>
              <w:szCs w:val="17"/>
              <w:lang w:val="en-US" w:eastAsia="en-GB"/>
            </w:rPr>
            <w:t>20</w:t>
          </w:r>
          <w:r w:rsidRPr="00CF2B61">
            <w:rPr>
              <w:rFonts w:eastAsia="Times New Roman" w:cs="Times New Roman"/>
              <w:b/>
              <w:sz w:val="17"/>
              <w:szCs w:val="17"/>
              <w:lang w:val="en-US" w:eastAsia="en-GB"/>
            </w:rPr>
            <w:t>/5</w:t>
          </w:r>
          <w:r>
            <w:rPr>
              <w:rFonts w:eastAsia="Times New Roman" w:cs="Times New Roman"/>
              <w:b/>
              <w:sz w:val="17"/>
              <w:szCs w:val="17"/>
              <w:lang w:val="en-US" w:eastAsia="en-GB"/>
            </w:rPr>
            <w:t>-Annexes</w:t>
          </w:r>
        </w:p>
      </w:tc>
    </w:tr>
  </w:tbl>
  <w:p w14:paraId="5C0AB0BE" w14:textId="77777777" w:rsidR="006B4FAE" w:rsidRDefault="006B4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85" w:type="dxa"/>
      <w:tblInd w:w="-967" w:type="dxa"/>
      <w:tblBorders>
        <w:bottom w:val="single" w:sz="2" w:space="0" w:color="auto"/>
      </w:tblBorders>
      <w:tblLayout w:type="fixed"/>
      <w:tblCellMar>
        <w:left w:w="0" w:type="dxa"/>
        <w:right w:w="0" w:type="dxa"/>
      </w:tblCellMar>
      <w:tblLook w:val="0000" w:firstRow="0" w:lastRow="0" w:firstColumn="0" w:lastColumn="0" w:noHBand="0" w:noVBand="0"/>
    </w:tblPr>
    <w:tblGrid>
      <w:gridCol w:w="4838"/>
      <w:gridCol w:w="5047"/>
    </w:tblGrid>
    <w:tr w:rsidR="006B4FAE" w:rsidRPr="00566DB0" w14:paraId="3E3218DE" w14:textId="77777777" w:rsidTr="00387FC5">
      <w:trPr>
        <w:trHeight w:hRule="exact" w:val="864"/>
      </w:trPr>
      <w:tc>
        <w:tcPr>
          <w:tcW w:w="4838" w:type="dxa"/>
          <w:vAlign w:val="bottom"/>
        </w:tcPr>
        <w:p w14:paraId="16BBE6EA" w14:textId="442244F8" w:rsidR="006B4FAE" w:rsidRPr="00566DB0" w:rsidRDefault="006B4FAE" w:rsidP="005F3F07">
          <w:pPr>
            <w:tabs>
              <w:tab w:val="center" w:pos="4819"/>
              <w:tab w:val="right" w:pos="9638"/>
            </w:tabs>
            <w:spacing w:after="80"/>
            <w:rPr>
              <w:rFonts w:eastAsia="Times New Roman" w:cs="Times New Roman"/>
              <w:b/>
              <w:szCs w:val="20"/>
              <w:lang w:val="en-US" w:eastAsia="en-GB"/>
            </w:rPr>
          </w:pPr>
          <w:r>
            <w:rPr>
              <w:rFonts w:eastAsia="Times New Roman" w:cs="Times New Roman"/>
              <w:b/>
              <w:sz w:val="17"/>
              <w:szCs w:val="17"/>
              <w:lang w:val="en-US" w:eastAsia="en-GB"/>
            </w:rPr>
            <w:t>DP/OPS/2020</w:t>
          </w:r>
          <w:r w:rsidRPr="00566DB0">
            <w:rPr>
              <w:rFonts w:eastAsia="Times New Roman" w:cs="Times New Roman"/>
              <w:b/>
              <w:sz w:val="17"/>
              <w:szCs w:val="17"/>
              <w:lang w:val="en-US" w:eastAsia="en-GB"/>
            </w:rPr>
            <w:t>/</w:t>
          </w:r>
          <w:r w:rsidRPr="00CF2B61">
            <w:rPr>
              <w:rFonts w:eastAsia="Times New Roman" w:cs="Times New Roman"/>
              <w:b/>
              <w:sz w:val="17"/>
              <w:szCs w:val="17"/>
              <w:lang w:val="en-US" w:eastAsia="en-GB"/>
            </w:rPr>
            <w:t>5</w:t>
          </w:r>
          <w:r w:rsidR="005F3F07">
            <w:rPr>
              <w:rFonts w:eastAsia="Times New Roman" w:cs="Times New Roman"/>
              <w:b/>
              <w:sz w:val="17"/>
              <w:szCs w:val="17"/>
              <w:lang w:val="en-US" w:eastAsia="en-GB"/>
            </w:rPr>
            <w:t>-Annexes</w:t>
          </w:r>
        </w:p>
      </w:tc>
      <w:tc>
        <w:tcPr>
          <w:tcW w:w="5047" w:type="dxa"/>
          <w:vAlign w:val="bottom"/>
        </w:tcPr>
        <w:p w14:paraId="41964DC3" w14:textId="77777777" w:rsidR="006B4FAE" w:rsidRPr="00566DB0" w:rsidRDefault="006B4FAE" w:rsidP="00387FC5">
          <w:pPr>
            <w:tabs>
              <w:tab w:val="clear" w:pos="425"/>
              <w:tab w:val="left" w:pos="426"/>
              <w:tab w:val="center" w:pos="4819"/>
              <w:tab w:val="right" w:pos="9638"/>
            </w:tabs>
            <w:jc w:val="right"/>
            <w:rPr>
              <w:rFonts w:eastAsia="Times New Roman" w:cs="Times New Roman"/>
              <w:sz w:val="17"/>
              <w:szCs w:val="17"/>
              <w:lang w:val="en-US" w:eastAsia="en-GB"/>
            </w:rPr>
          </w:pPr>
        </w:p>
      </w:tc>
    </w:tr>
  </w:tbl>
  <w:p w14:paraId="22F0CD20" w14:textId="77777777" w:rsidR="006B4FAE" w:rsidRPr="00566DB0" w:rsidRDefault="006B4FAE" w:rsidP="00566DB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25B22"/>
    <w:multiLevelType w:val="hybridMultilevel"/>
    <w:tmpl w:val="DDC2D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60EA8"/>
    <w:multiLevelType w:val="hybridMultilevel"/>
    <w:tmpl w:val="86025CB6"/>
    <w:lvl w:ilvl="0" w:tplc="1586F8F6">
      <w:start w:val="1"/>
      <w:numFmt w:val="upperRoman"/>
      <w:lvlText w:val="%1."/>
      <w:lvlJc w:val="left"/>
      <w:pPr>
        <w:ind w:left="153" w:hanging="72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15:restartNumberingAfterBreak="0">
    <w:nsid w:val="100F3D18"/>
    <w:multiLevelType w:val="hybridMultilevel"/>
    <w:tmpl w:val="C6AC3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C44FA"/>
    <w:multiLevelType w:val="hybridMultilevel"/>
    <w:tmpl w:val="C8BC8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8461EB"/>
    <w:multiLevelType w:val="hybridMultilevel"/>
    <w:tmpl w:val="8BF6F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845F5"/>
    <w:multiLevelType w:val="hybridMultilevel"/>
    <w:tmpl w:val="1B42FF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33B158E8"/>
    <w:multiLevelType w:val="hybridMultilevel"/>
    <w:tmpl w:val="0074DD5E"/>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3C862248"/>
    <w:multiLevelType w:val="hybridMultilevel"/>
    <w:tmpl w:val="BBFA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11485"/>
    <w:multiLevelType w:val="hybridMultilevel"/>
    <w:tmpl w:val="AF3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0D6761"/>
    <w:multiLevelType w:val="hybridMultilevel"/>
    <w:tmpl w:val="86201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7C6B2E"/>
    <w:multiLevelType w:val="hybridMultilevel"/>
    <w:tmpl w:val="36FA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3782A"/>
    <w:multiLevelType w:val="hybridMultilevel"/>
    <w:tmpl w:val="04E4018A"/>
    <w:lvl w:ilvl="0" w:tplc="7DA2452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DA13AB"/>
    <w:multiLevelType w:val="multilevel"/>
    <w:tmpl w:val="7D885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1A6FD7"/>
    <w:multiLevelType w:val="hybridMultilevel"/>
    <w:tmpl w:val="BDF4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D76EA"/>
    <w:multiLevelType w:val="hybridMultilevel"/>
    <w:tmpl w:val="8450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A6A4F"/>
    <w:multiLevelType w:val="hybridMultilevel"/>
    <w:tmpl w:val="E4A089C4"/>
    <w:lvl w:ilvl="0" w:tplc="AD6A717A">
      <w:start w:val="1"/>
      <w:numFmt w:val="upperRoman"/>
      <w:lvlText w:val="%1."/>
      <w:lvlJc w:val="left"/>
      <w:pPr>
        <w:ind w:left="153" w:hanging="72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6" w15:restartNumberingAfterBreak="0">
    <w:nsid w:val="77A7177A"/>
    <w:multiLevelType w:val="hybridMultilevel"/>
    <w:tmpl w:val="BDA4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num>
  <w:num w:numId="4">
    <w:abstractNumId w:val="4"/>
  </w:num>
  <w:num w:numId="5">
    <w:abstractNumId w:val="14"/>
  </w:num>
  <w:num w:numId="6">
    <w:abstractNumId w:val="7"/>
  </w:num>
  <w:num w:numId="7">
    <w:abstractNumId w:val="13"/>
  </w:num>
  <w:num w:numId="8">
    <w:abstractNumId w:val="2"/>
  </w:num>
  <w:num w:numId="9">
    <w:abstractNumId w:val="5"/>
  </w:num>
  <w:num w:numId="10">
    <w:abstractNumId w:val="10"/>
  </w:num>
  <w:num w:numId="11">
    <w:abstractNumId w:val="8"/>
  </w:num>
  <w:num w:numId="12">
    <w:abstractNumId w:val="9"/>
  </w:num>
  <w:num w:numId="13">
    <w:abstractNumId w:val="3"/>
  </w:num>
  <w:num w:numId="14">
    <w:abstractNumId w:val="16"/>
  </w:num>
  <w:num w:numId="15">
    <w:abstractNumId w:val="11"/>
  </w:num>
  <w:num w:numId="16">
    <w:abstractNumId w:val="1"/>
  </w:num>
  <w:num w:numId="1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trackRevisions/>
  <w:defaultTabStop w:val="720"/>
  <w:hyphenationZone w:val="425"/>
  <w:evenAndOddHeaders/>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3F0"/>
    <w:rsid w:val="000009A4"/>
    <w:rsid w:val="00000AD9"/>
    <w:rsid w:val="00000D61"/>
    <w:rsid w:val="00001430"/>
    <w:rsid w:val="0000154E"/>
    <w:rsid w:val="00001EE5"/>
    <w:rsid w:val="00002099"/>
    <w:rsid w:val="000023CA"/>
    <w:rsid w:val="00003EAD"/>
    <w:rsid w:val="0000476C"/>
    <w:rsid w:val="00004897"/>
    <w:rsid w:val="00004A6B"/>
    <w:rsid w:val="00004AA3"/>
    <w:rsid w:val="000052C2"/>
    <w:rsid w:val="00006570"/>
    <w:rsid w:val="0001101D"/>
    <w:rsid w:val="00011295"/>
    <w:rsid w:val="00011E17"/>
    <w:rsid w:val="0001213D"/>
    <w:rsid w:val="00013379"/>
    <w:rsid w:val="00014695"/>
    <w:rsid w:val="000159CF"/>
    <w:rsid w:val="00015B7D"/>
    <w:rsid w:val="0001640E"/>
    <w:rsid w:val="00016789"/>
    <w:rsid w:val="00017778"/>
    <w:rsid w:val="00021DA8"/>
    <w:rsid w:val="00021F17"/>
    <w:rsid w:val="00023736"/>
    <w:rsid w:val="00023DA4"/>
    <w:rsid w:val="000241FC"/>
    <w:rsid w:val="00024693"/>
    <w:rsid w:val="00025479"/>
    <w:rsid w:val="000269E6"/>
    <w:rsid w:val="000308FE"/>
    <w:rsid w:val="00031D23"/>
    <w:rsid w:val="00033330"/>
    <w:rsid w:val="00033497"/>
    <w:rsid w:val="000344B2"/>
    <w:rsid w:val="00034F89"/>
    <w:rsid w:val="0003565C"/>
    <w:rsid w:val="00036D69"/>
    <w:rsid w:val="00036FDE"/>
    <w:rsid w:val="000373BE"/>
    <w:rsid w:val="0004053C"/>
    <w:rsid w:val="00041BB9"/>
    <w:rsid w:val="00041C73"/>
    <w:rsid w:val="000426E3"/>
    <w:rsid w:val="00042D10"/>
    <w:rsid w:val="00042DF7"/>
    <w:rsid w:val="00042EC0"/>
    <w:rsid w:val="0004354F"/>
    <w:rsid w:val="00043B84"/>
    <w:rsid w:val="000447BF"/>
    <w:rsid w:val="000450E6"/>
    <w:rsid w:val="00045595"/>
    <w:rsid w:val="00045F66"/>
    <w:rsid w:val="00050F94"/>
    <w:rsid w:val="00052268"/>
    <w:rsid w:val="0005295C"/>
    <w:rsid w:val="00052B35"/>
    <w:rsid w:val="00053613"/>
    <w:rsid w:val="00055CCB"/>
    <w:rsid w:val="00056651"/>
    <w:rsid w:val="00056D9E"/>
    <w:rsid w:val="00057065"/>
    <w:rsid w:val="00057693"/>
    <w:rsid w:val="00061DB4"/>
    <w:rsid w:val="000622D4"/>
    <w:rsid w:val="00062ABB"/>
    <w:rsid w:val="00062C66"/>
    <w:rsid w:val="00062D48"/>
    <w:rsid w:val="0006311B"/>
    <w:rsid w:val="000638ED"/>
    <w:rsid w:val="00065339"/>
    <w:rsid w:val="00065DD4"/>
    <w:rsid w:val="00065E66"/>
    <w:rsid w:val="00067802"/>
    <w:rsid w:val="00070170"/>
    <w:rsid w:val="00070226"/>
    <w:rsid w:val="000702A3"/>
    <w:rsid w:val="00070368"/>
    <w:rsid w:val="000717CC"/>
    <w:rsid w:val="00071983"/>
    <w:rsid w:val="00073D92"/>
    <w:rsid w:val="00073E4B"/>
    <w:rsid w:val="000742D5"/>
    <w:rsid w:val="00077144"/>
    <w:rsid w:val="0007724D"/>
    <w:rsid w:val="000776F0"/>
    <w:rsid w:val="00077998"/>
    <w:rsid w:val="00077A52"/>
    <w:rsid w:val="000806FF"/>
    <w:rsid w:val="00080701"/>
    <w:rsid w:val="00080E1E"/>
    <w:rsid w:val="0008163C"/>
    <w:rsid w:val="00081B2C"/>
    <w:rsid w:val="00081F68"/>
    <w:rsid w:val="000822B6"/>
    <w:rsid w:val="00082586"/>
    <w:rsid w:val="0008422C"/>
    <w:rsid w:val="00084285"/>
    <w:rsid w:val="0008491D"/>
    <w:rsid w:val="00084973"/>
    <w:rsid w:val="00084A41"/>
    <w:rsid w:val="00085B9E"/>
    <w:rsid w:val="00086D99"/>
    <w:rsid w:val="00090D14"/>
    <w:rsid w:val="00091240"/>
    <w:rsid w:val="0009126A"/>
    <w:rsid w:val="00091828"/>
    <w:rsid w:val="00091F32"/>
    <w:rsid w:val="00091F7D"/>
    <w:rsid w:val="000934AD"/>
    <w:rsid w:val="00093B51"/>
    <w:rsid w:val="00093B7E"/>
    <w:rsid w:val="00094811"/>
    <w:rsid w:val="00094EAC"/>
    <w:rsid w:val="00095ACF"/>
    <w:rsid w:val="00096920"/>
    <w:rsid w:val="000976D3"/>
    <w:rsid w:val="000A10E3"/>
    <w:rsid w:val="000A14C8"/>
    <w:rsid w:val="000A1709"/>
    <w:rsid w:val="000A2F17"/>
    <w:rsid w:val="000A369D"/>
    <w:rsid w:val="000A5ADF"/>
    <w:rsid w:val="000A6656"/>
    <w:rsid w:val="000A6CAE"/>
    <w:rsid w:val="000A7489"/>
    <w:rsid w:val="000B02B6"/>
    <w:rsid w:val="000B04FC"/>
    <w:rsid w:val="000B1732"/>
    <w:rsid w:val="000B1A04"/>
    <w:rsid w:val="000B2380"/>
    <w:rsid w:val="000B3599"/>
    <w:rsid w:val="000B370C"/>
    <w:rsid w:val="000B39F8"/>
    <w:rsid w:val="000B483C"/>
    <w:rsid w:val="000B537B"/>
    <w:rsid w:val="000B575D"/>
    <w:rsid w:val="000B7EB2"/>
    <w:rsid w:val="000C0D7C"/>
    <w:rsid w:val="000C1A1F"/>
    <w:rsid w:val="000C26EB"/>
    <w:rsid w:val="000C3B77"/>
    <w:rsid w:val="000C43A2"/>
    <w:rsid w:val="000C4EBA"/>
    <w:rsid w:val="000C6011"/>
    <w:rsid w:val="000C64F8"/>
    <w:rsid w:val="000C680D"/>
    <w:rsid w:val="000C7458"/>
    <w:rsid w:val="000C763D"/>
    <w:rsid w:val="000C775B"/>
    <w:rsid w:val="000C77FC"/>
    <w:rsid w:val="000C79A0"/>
    <w:rsid w:val="000C79BE"/>
    <w:rsid w:val="000C7D20"/>
    <w:rsid w:val="000D06C5"/>
    <w:rsid w:val="000D200B"/>
    <w:rsid w:val="000D3363"/>
    <w:rsid w:val="000D3718"/>
    <w:rsid w:val="000D3D80"/>
    <w:rsid w:val="000D450F"/>
    <w:rsid w:val="000D4D4B"/>
    <w:rsid w:val="000D5473"/>
    <w:rsid w:val="000D5DE6"/>
    <w:rsid w:val="000E0637"/>
    <w:rsid w:val="000E0830"/>
    <w:rsid w:val="000E0BD3"/>
    <w:rsid w:val="000E0C5A"/>
    <w:rsid w:val="000E11DA"/>
    <w:rsid w:val="000E12D7"/>
    <w:rsid w:val="000E14AC"/>
    <w:rsid w:val="000E2857"/>
    <w:rsid w:val="000E2A4A"/>
    <w:rsid w:val="000E313F"/>
    <w:rsid w:val="000E3508"/>
    <w:rsid w:val="000E4E5A"/>
    <w:rsid w:val="000E5081"/>
    <w:rsid w:val="000E5651"/>
    <w:rsid w:val="000E5703"/>
    <w:rsid w:val="000E5DC4"/>
    <w:rsid w:val="000F033D"/>
    <w:rsid w:val="000F0631"/>
    <w:rsid w:val="000F0817"/>
    <w:rsid w:val="000F22D0"/>
    <w:rsid w:val="000F2DF8"/>
    <w:rsid w:val="000F3E6D"/>
    <w:rsid w:val="000F5D16"/>
    <w:rsid w:val="000F63BF"/>
    <w:rsid w:val="000F71C1"/>
    <w:rsid w:val="000F7274"/>
    <w:rsid w:val="000F72D9"/>
    <w:rsid w:val="000F74FA"/>
    <w:rsid w:val="0010055A"/>
    <w:rsid w:val="0010066C"/>
    <w:rsid w:val="001017A3"/>
    <w:rsid w:val="00101B98"/>
    <w:rsid w:val="00102251"/>
    <w:rsid w:val="00102AA7"/>
    <w:rsid w:val="00102CD3"/>
    <w:rsid w:val="00103E05"/>
    <w:rsid w:val="0010404A"/>
    <w:rsid w:val="001056C8"/>
    <w:rsid w:val="001056E9"/>
    <w:rsid w:val="0010594C"/>
    <w:rsid w:val="0010694B"/>
    <w:rsid w:val="00106951"/>
    <w:rsid w:val="00106E80"/>
    <w:rsid w:val="00110660"/>
    <w:rsid w:val="00110693"/>
    <w:rsid w:val="0011092B"/>
    <w:rsid w:val="001109FF"/>
    <w:rsid w:val="00110ECD"/>
    <w:rsid w:val="00112725"/>
    <w:rsid w:val="001128DA"/>
    <w:rsid w:val="00112CEF"/>
    <w:rsid w:val="00113344"/>
    <w:rsid w:val="00113B4A"/>
    <w:rsid w:val="00113B70"/>
    <w:rsid w:val="001146ED"/>
    <w:rsid w:val="00116598"/>
    <w:rsid w:val="00116843"/>
    <w:rsid w:val="001171C3"/>
    <w:rsid w:val="00117726"/>
    <w:rsid w:val="001177C4"/>
    <w:rsid w:val="00117942"/>
    <w:rsid w:val="00117F28"/>
    <w:rsid w:val="00122431"/>
    <w:rsid w:val="00122DE7"/>
    <w:rsid w:val="001243ED"/>
    <w:rsid w:val="001245DF"/>
    <w:rsid w:val="00125016"/>
    <w:rsid w:val="00125130"/>
    <w:rsid w:val="001253C5"/>
    <w:rsid w:val="0012739C"/>
    <w:rsid w:val="00127448"/>
    <w:rsid w:val="001275B3"/>
    <w:rsid w:val="00127EB4"/>
    <w:rsid w:val="00130176"/>
    <w:rsid w:val="00131707"/>
    <w:rsid w:val="001329B5"/>
    <w:rsid w:val="00133AB5"/>
    <w:rsid w:val="00134CEF"/>
    <w:rsid w:val="00134DB9"/>
    <w:rsid w:val="0013582E"/>
    <w:rsid w:val="00137C56"/>
    <w:rsid w:val="001416FC"/>
    <w:rsid w:val="00141818"/>
    <w:rsid w:val="00141F8C"/>
    <w:rsid w:val="0014235C"/>
    <w:rsid w:val="00142F2B"/>
    <w:rsid w:val="0014386C"/>
    <w:rsid w:val="001439CC"/>
    <w:rsid w:val="00143BDE"/>
    <w:rsid w:val="00145AF7"/>
    <w:rsid w:val="001472F5"/>
    <w:rsid w:val="0015014E"/>
    <w:rsid w:val="001501E8"/>
    <w:rsid w:val="0015021D"/>
    <w:rsid w:val="00150E93"/>
    <w:rsid w:val="001512DE"/>
    <w:rsid w:val="00152A54"/>
    <w:rsid w:val="00152AC7"/>
    <w:rsid w:val="00152E37"/>
    <w:rsid w:val="0015370D"/>
    <w:rsid w:val="00153E18"/>
    <w:rsid w:val="00155531"/>
    <w:rsid w:val="0015587C"/>
    <w:rsid w:val="00156E6D"/>
    <w:rsid w:val="00156ED5"/>
    <w:rsid w:val="0015705E"/>
    <w:rsid w:val="0016062F"/>
    <w:rsid w:val="00160AA4"/>
    <w:rsid w:val="00161FFB"/>
    <w:rsid w:val="00162A4E"/>
    <w:rsid w:val="00162DE6"/>
    <w:rsid w:val="00162E7E"/>
    <w:rsid w:val="0016365D"/>
    <w:rsid w:val="00164377"/>
    <w:rsid w:val="001644F5"/>
    <w:rsid w:val="00165B23"/>
    <w:rsid w:val="00166431"/>
    <w:rsid w:val="00167A7A"/>
    <w:rsid w:val="00170FD6"/>
    <w:rsid w:val="001715F4"/>
    <w:rsid w:val="0017220C"/>
    <w:rsid w:val="00172914"/>
    <w:rsid w:val="00174829"/>
    <w:rsid w:val="00174CC0"/>
    <w:rsid w:val="00175924"/>
    <w:rsid w:val="00175D2D"/>
    <w:rsid w:val="00176252"/>
    <w:rsid w:val="001763F0"/>
    <w:rsid w:val="0017713D"/>
    <w:rsid w:val="00181339"/>
    <w:rsid w:val="00181B72"/>
    <w:rsid w:val="00182A71"/>
    <w:rsid w:val="0018324F"/>
    <w:rsid w:val="001835CC"/>
    <w:rsid w:val="00183A2E"/>
    <w:rsid w:val="00183DC9"/>
    <w:rsid w:val="00184695"/>
    <w:rsid w:val="00184E33"/>
    <w:rsid w:val="00184E65"/>
    <w:rsid w:val="00185066"/>
    <w:rsid w:val="00185078"/>
    <w:rsid w:val="00185184"/>
    <w:rsid w:val="00185364"/>
    <w:rsid w:val="001853BE"/>
    <w:rsid w:val="001856F1"/>
    <w:rsid w:val="00185A1F"/>
    <w:rsid w:val="0019010E"/>
    <w:rsid w:val="00191126"/>
    <w:rsid w:val="001941CE"/>
    <w:rsid w:val="00194960"/>
    <w:rsid w:val="00195209"/>
    <w:rsid w:val="00195F95"/>
    <w:rsid w:val="001962DC"/>
    <w:rsid w:val="0019640F"/>
    <w:rsid w:val="001966E1"/>
    <w:rsid w:val="00196B2F"/>
    <w:rsid w:val="00197918"/>
    <w:rsid w:val="001A18B0"/>
    <w:rsid w:val="001A25CB"/>
    <w:rsid w:val="001A3207"/>
    <w:rsid w:val="001A4542"/>
    <w:rsid w:val="001A49B3"/>
    <w:rsid w:val="001A52BE"/>
    <w:rsid w:val="001A613B"/>
    <w:rsid w:val="001A7163"/>
    <w:rsid w:val="001A77A7"/>
    <w:rsid w:val="001A7B7E"/>
    <w:rsid w:val="001B0120"/>
    <w:rsid w:val="001B02C1"/>
    <w:rsid w:val="001B0EEC"/>
    <w:rsid w:val="001B1A29"/>
    <w:rsid w:val="001B1A84"/>
    <w:rsid w:val="001B26CA"/>
    <w:rsid w:val="001B27FA"/>
    <w:rsid w:val="001B4095"/>
    <w:rsid w:val="001B43F5"/>
    <w:rsid w:val="001B4ABB"/>
    <w:rsid w:val="001B5AFC"/>
    <w:rsid w:val="001B649B"/>
    <w:rsid w:val="001B7B16"/>
    <w:rsid w:val="001B7E15"/>
    <w:rsid w:val="001C0E90"/>
    <w:rsid w:val="001C107F"/>
    <w:rsid w:val="001C1A2F"/>
    <w:rsid w:val="001C24BB"/>
    <w:rsid w:val="001C3A2B"/>
    <w:rsid w:val="001C67BE"/>
    <w:rsid w:val="001C6808"/>
    <w:rsid w:val="001C79E1"/>
    <w:rsid w:val="001C7F25"/>
    <w:rsid w:val="001D098A"/>
    <w:rsid w:val="001D0A87"/>
    <w:rsid w:val="001D0C80"/>
    <w:rsid w:val="001D1510"/>
    <w:rsid w:val="001D2465"/>
    <w:rsid w:val="001D315F"/>
    <w:rsid w:val="001D41F0"/>
    <w:rsid w:val="001D4AAC"/>
    <w:rsid w:val="001D5987"/>
    <w:rsid w:val="001D63F4"/>
    <w:rsid w:val="001D696C"/>
    <w:rsid w:val="001D6DC0"/>
    <w:rsid w:val="001D707F"/>
    <w:rsid w:val="001D748E"/>
    <w:rsid w:val="001D7CBC"/>
    <w:rsid w:val="001E12DD"/>
    <w:rsid w:val="001E190E"/>
    <w:rsid w:val="001E1DFE"/>
    <w:rsid w:val="001E2B2E"/>
    <w:rsid w:val="001E2B71"/>
    <w:rsid w:val="001E39C1"/>
    <w:rsid w:val="001E4E29"/>
    <w:rsid w:val="001E565B"/>
    <w:rsid w:val="001E667D"/>
    <w:rsid w:val="001E6880"/>
    <w:rsid w:val="001E73BB"/>
    <w:rsid w:val="001E78C8"/>
    <w:rsid w:val="001F1821"/>
    <w:rsid w:val="001F1A96"/>
    <w:rsid w:val="001F1C71"/>
    <w:rsid w:val="001F1F0F"/>
    <w:rsid w:val="001F3689"/>
    <w:rsid w:val="001F5DCF"/>
    <w:rsid w:val="001F60DA"/>
    <w:rsid w:val="001F629F"/>
    <w:rsid w:val="001F6391"/>
    <w:rsid w:val="001F7D88"/>
    <w:rsid w:val="001F7E4E"/>
    <w:rsid w:val="0020028D"/>
    <w:rsid w:val="00200320"/>
    <w:rsid w:val="002008B5"/>
    <w:rsid w:val="00201471"/>
    <w:rsid w:val="0020225C"/>
    <w:rsid w:val="002037EA"/>
    <w:rsid w:val="0020398A"/>
    <w:rsid w:val="00204FC0"/>
    <w:rsid w:val="00205BA7"/>
    <w:rsid w:val="002060CE"/>
    <w:rsid w:val="0020689F"/>
    <w:rsid w:val="002069FE"/>
    <w:rsid w:val="00210A27"/>
    <w:rsid w:val="00210BC4"/>
    <w:rsid w:val="0021128E"/>
    <w:rsid w:val="00211E37"/>
    <w:rsid w:val="002137CB"/>
    <w:rsid w:val="00213C0E"/>
    <w:rsid w:val="00214903"/>
    <w:rsid w:val="00214ED5"/>
    <w:rsid w:val="002158EF"/>
    <w:rsid w:val="0021657A"/>
    <w:rsid w:val="002169D6"/>
    <w:rsid w:val="00216FF2"/>
    <w:rsid w:val="00217AF3"/>
    <w:rsid w:val="00217F88"/>
    <w:rsid w:val="00220AB4"/>
    <w:rsid w:val="002220D1"/>
    <w:rsid w:val="0022259F"/>
    <w:rsid w:val="00223133"/>
    <w:rsid w:val="002231A9"/>
    <w:rsid w:val="00223201"/>
    <w:rsid w:val="0022366C"/>
    <w:rsid w:val="00224951"/>
    <w:rsid w:val="002252A4"/>
    <w:rsid w:val="00226836"/>
    <w:rsid w:val="00227A4C"/>
    <w:rsid w:val="00227EB8"/>
    <w:rsid w:val="00230BF9"/>
    <w:rsid w:val="00230C34"/>
    <w:rsid w:val="002310BA"/>
    <w:rsid w:val="002312DD"/>
    <w:rsid w:val="00232178"/>
    <w:rsid w:val="002328C5"/>
    <w:rsid w:val="0023427F"/>
    <w:rsid w:val="002348E6"/>
    <w:rsid w:val="00236BC7"/>
    <w:rsid w:val="00240A6F"/>
    <w:rsid w:val="00241E6F"/>
    <w:rsid w:val="002429EA"/>
    <w:rsid w:val="00243301"/>
    <w:rsid w:val="002443B1"/>
    <w:rsid w:val="0024457A"/>
    <w:rsid w:val="00244FE6"/>
    <w:rsid w:val="002461B9"/>
    <w:rsid w:val="00246F91"/>
    <w:rsid w:val="00247471"/>
    <w:rsid w:val="00247C05"/>
    <w:rsid w:val="00250E73"/>
    <w:rsid w:val="00252804"/>
    <w:rsid w:val="002529D8"/>
    <w:rsid w:val="00252A25"/>
    <w:rsid w:val="0025326E"/>
    <w:rsid w:val="0025331D"/>
    <w:rsid w:val="002541D9"/>
    <w:rsid w:val="00254AF4"/>
    <w:rsid w:val="00256214"/>
    <w:rsid w:val="00257F60"/>
    <w:rsid w:val="00260BD7"/>
    <w:rsid w:val="00261557"/>
    <w:rsid w:val="00261C65"/>
    <w:rsid w:val="00262A5E"/>
    <w:rsid w:val="00263AF6"/>
    <w:rsid w:val="00263B08"/>
    <w:rsid w:val="00264639"/>
    <w:rsid w:val="0026463A"/>
    <w:rsid w:val="002646A9"/>
    <w:rsid w:val="00264AF7"/>
    <w:rsid w:val="00265195"/>
    <w:rsid w:val="00265804"/>
    <w:rsid w:val="00266524"/>
    <w:rsid w:val="00266A14"/>
    <w:rsid w:val="002671B8"/>
    <w:rsid w:val="00270EE9"/>
    <w:rsid w:val="00271D4C"/>
    <w:rsid w:val="00272264"/>
    <w:rsid w:val="0027261E"/>
    <w:rsid w:val="00272B60"/>
    <w:rsid w:val="00272BAB"/>
    <w:rsid w:val="0027437C"/>
    <w:rsid w:val="0027698F"/>
    <w:rsid w:val="00276F69"/>
    <w:rsid w:val="00277201"/>
    <w:rsid w:val="002775D0"/>
    <w:rsid w:val="00277850"/>
    <w:rsid w:val="00277DD5"/>
    <w:rsid w:val="00281064"/>
    <w:rsid w:val="00281812"/>
    <w:rsid w:val="00282EC2"/>
    <w:rsid w:val="00282F34"/>
    <w:rsid w:val="002837D8"/>
    <w:rsid w:val="0028439F"/>
    <w:rsid w:val="00285198"/>
    <w:rsid w:val="00285927"/>
    <w:rsid w:val="00285A82"/>
    <w:rsid w:val="002862C4"/>
    <w:rsid w:val="00286434"/>
    <w:rsid w:val="0028731C"/>
    <w:rsid w:val="0029011D"/>
    <w:rsid w:val="002908ED"/>
    <w:rsid w:val="00290B62"/>
    <w:rsid w:val="00290E4D"/>
    <w:rsid w:val="00291B2C"/>
    <w:rsid w:val="002925A4"/>
    <w:rsid w:val="002927E5"/>
    <w:rsid w:val="00292B7F"/>
    <w:rsid w:val="00292F92"/>
    <w:rsid w:val="002953A6"/>
    <w:rsid w:val="0029579B"/>
    <w:rsid w:val="00295DE1"/>
    <w:rsid w:val="0029645E"/>
    <w:rsid w:val="00297BE8"/>
    <w:rsid w:val="00297CA1"/>
    <w:rsid w:val="002A05FC"/>
    <w:rsid w:val="002A0DD7"/>
    <w:rsid w:val="002A1249"/>
    <w:rsid w:val="002A13A8"/>
    <w:rsid w:val="002A23AF"/>
    <w:rsid w:val="002A2651"/>
    <w:rsid w:val="002A2CB4"/>
    <w:rsid w:val="002A3133"/>
    <w:rsid w:val="002A4153"/>
    <w:rsid w:val="002A4FCD"/>
    <w:rsid w:val="002A5556"/>
    <w:rsid w:val="002A5F82"/>
    <w:rsid w:val="002A7ABA"/>
    <w:rsid w:val="002A7C0F"/>
    <w:rsid w:val="002A7FD6"/>
    <w:rsid w:val="002B1B72"/>
    <w:rsid w:val="002B1F19"/>
    <w:rsid w:val="002B2F71"/>
    <w:rsid w:val="002B4237"/>
    <w:rsid w:val="002B4807"/>
    <w:rsid w:val="002B4D9A"/>
    <w:rsid w:val="002B57BE"/>
    <w:rsid w:val="002B6B3E"/>
    <w:rsid w:val="002B6CE6"/>
    <w:rsid w:val="002B7C95"/>
    <w:rsid w:val="002B7EA2"/>
    <w:rsid w:val="002C17A2"/>
    <w:rsid w:val="002C18F0"/>
    <w:rsid w:val="002C1D65"/>
    <w:rsid w:val="002C2790"/>
    <w:rsid w:val="002C3DE6"/>
    <w:rsid w:val="002C3FEB"/>
    <w:rsid w:val="002C4B92"/>
    <w:rsid w:val="002C4F58"/>
    <w:rsid w:val="002C596E"/>
    <w:rsid w:val="002C5F07"/>
    <w:rsid w:val="002C658E"/>
    <w:rsid w:val="002C6D77"/>
    <w:rsid w:val="002D05AF"/>
    <w:rsid w:val="002D33AA"/>
    <w:rsid w:val="002D3536"/>
    <w:rsid w:val="002D370D"/>
    <w:rsid w:val="002D38D2"/>
    <w:rsid w:val="002D4875"/>
    <w:rsid w:val="002D48ED"/>
    <w:rsid w:val="002D4B16"/>
    <w:rsid w:val="002D5811"/>
    <w:rsid w:val="002D5A91"/>
    <w:rsid w:val="002D67FF"/>
    <w:rsid w:val="002D70FD"/>
    <w:rsid w:val="002D7994"/>
    <w:rsid w:val="002E0176"/>
    <w:rsid w:val="002E08A4"/>
    <w:rsid w:val="002E0C1D"/>
    <w:rsid w:val="002E0FDF"/>
    <w:rsid w:val="002E2362"/>
    <w:rsid w:val="002E2C9D"/>
    <w:rsid w:val="002E425C"/>
    <w:rsid w:val="002E466F"/>
    <w:rsid w:val="002E49C1"/>
    <w:rsid w:val="002E50A3"/>
    <w:rsid w:val="002E608A"/>
    <w:rsid w:val="002E6B43"/>
    <w:rsid w:val="002E6DC8"/>
    <w:rsid w:val="002E703C"/>
    <w:rsid w:val="002E77CF"/>
    <w:rsid w:val="002E7F9E"/>
    <w:rsid w:val="002F01C7"/>
    <w:rsid w:val="002F03D3"/>
    <w:rsid w:val="002F0F8F"/>
    <w:rsid w:val="002F11FC"/>
    <w:rsid w:val="002F150A"/>
    <w:rsid w:val="002F171E"/>
    <w:rsid w:val="002F24B7"/>
    <w:rsid w:val="002F2506"/>
    <w:rsid w:val="002F367F"/>
    <w:rsid w:val="002F5395"/>
    <w:rsid w:val="002F5778"/>
    <w:rsid w:val="002F5AFE"/>
    <w:rsid w:val="002F5D8B"/>
    <w:rsid w:val="002F62E4"/>
    <w:rsid w:val="002F66A8"/>
    <w:rsid w:val="002F714C"/>
    <w:rsid w:val="00300786"/>
    <w:rsid w:val="003012C1"/>
    <w:rsid w:val="00302224"/>
    <w:rsid w:val="003034B7"/>
    <w:rsid w:val="00303813"/>
    <w:rsid w:val="00304E29"/>
    <w:rsid w:val="00305838"/>
    <w:rsid w:val="0030584A"/>
    <w:rsid w:val="003059CA"/>
    <w:rsid w:val="00305E6C"/>
    <w:rsid w:val="0030602F"/>
    <w:rsid w:val="00306FDA"/>
    <w:rsid w:val="003076B1"/>
    <w:rsid w:val="0030780C"/>
    <w:rsid w:val="00307D4D"/>
    <w:rsid w:val="003102E9"/>
    <w:rsid w:val="00310986"/>
    <w:rsid w:val="00310E1E"/>
    <w:rsid w:val="003111EC"/>
    <w:rsid w:val="00311B0C"/>
    <w:rsid w:val="003125AB"/>
    <w:rsid w:val="0031274A"/>
    <w:rsid w:val="00313C90"/>
    <w:rsid w:val="00315D38"/>
    <w:rsid w:val="00320179"/>
    <w:rsid w:val="00322CBD"/>
    <w:rsid w:val="0032447F"/>
    <w:rsid w:val="00324557"/>
    <w:rsid w:val="00324CD5"/>
    <w:rsid w:val="00325005"/>
    <w:rsid w:val="00325753"/>
    <w:rsid w:val="00327680"/>
    <w:rsid w:val="00327BFC"/>
    <w:rsid w:val="00330351"/>
    <w:rsid w:val="003303C7"/>
    <w:rsid w:val="00331CC1"/>
    <w:rsid w:val="0033254F"/>
    <w:rsid w:val="0033317D"/>
    <w:rsid w:val="003337F3"/>
    <w:rsid w:val="00333FB8"/>
    <w:rsid w:val="00334379"/>
    <w:rsid w:val="00334C76"/>
    <w:rsid w:val="003351E6"/>
    <w:rsid w:val="00336185"/>
    <w:rsid w:val="00336867"/>
    <w:rsid w:val="003368DE"/>
    <w:rsid w:val="0033753F"/>
    <w:rsid w:val="003376A1"/>
    <w:rsid w:val="00340495"/>
    <w:rsid w:val="00340814"/>
    <w:rsid w:val="003423EC"/>
    <w:rsid w:val="003424A3"/>
    <w:rsid w:val="00343ED0"/>
    <w:rsid w:val="0034736B"/>
    <w:rsid w:val="003473BB"/>
    <w:rsid w:val="00350291"/>
    <w:rsid w:val="00351025"/>
    <w:rsid w:val="00351308"/>
    <w:rsid w:val="00351430"/>
    <w:rsid w:val="00351F0D"/>
    <w:rsid w:val="0035613F"/>
    <w:rsid w:val="003562F2"/>
    <w:rsid w:val="0035735D"/>
    <w:rsid w:val="0036007E"/>
    <w:rsid w:val="00360142"/>
    <w:rsid w:val="00361C73"/>
    <w:rsid w:val="00361FFD"/>
    <w:rsid w:val="0036300F"/>
    <w:rsid w:val="003655C2"/>
    <w:rsid w:val="00365E12"/>
    <w:rsid w:val="0037021C"/>
    <w:rsid w:val="0037066C"/>
    <w:rsid w:val="003717F7"/>
    <w:rsid w:val="00371E3D"/>
    <w:rsid w:val="00371FF0"/>
    <w:rsid w:val="0037314E"/>
    <w:rsid w:val="00373CD8"/>
    <w:rsid w:val="00373E53"/>
    <w:rsid w:val="0038007B"/>
    <w:rsid w:val="0038153C"/>
    <w:rsid w:val="00382D23"/>
    <w:rsid w:val="00382F24"/>
    <w:rsid w:val="00384F36"/>
    <w:rsid w:val="00385296"/>
    <w:rsid w:val="00385FC8"/>
    <w:rsid w:val="003862F0"/>
    <w:rsid w:val="0038648F"/>
    <w:rsid w:val="00387A44"/>
    <w:rsid w:val="00387FC5"/>
    <w:rsid w:val="00390A7F"/>
    <w:rsid w:val="00390D51"/>
    <w:rsid w:val="00391347"/>
    <w:rsid w:val="0039160A"/>
    <w:rsid w:val="00392249"/>
    <w:rsid w:val="00393722"/>
    <w:rsid w:val="003950D8"/>
    <w:rsid w:val="00395832"/>
    <w:rsid w:val="00395C2E"/>
    <w:rsid w:val="0039675E"/>
    <w:rsid w:val="00396F1B"/>
    <w:rsid w:val="00397BDA"/>
    <w:rsid w:val="003A00FA"/>
    <w:rsid w:val="003A0B78"/>
    <w:rsid w:val="003A1127"/>
    <w:rsid w:val="003A29F1"/>
    <w:rsid w:val="003A2ADB"/>
    <w:rsid w:val="003A3393"/>
    <w:rsid w:val="003A46C2"/>
    <w:rsid w:val="003A489C"/>
    <w:rsid w:val="003A6CB4"/>
    <w:rsid w:val="003A71AD"/>
    <w:rsid w:val="003A7621"/>
    <w:rsid w:val="003B13EF"/>
    <w:rsid w:val="003B1CC0"/>
    <w:rsid w:val="003B1D2D"/>
    <w:rsid w:val="003B20D3"/>
    <w:rsid w:val="003B303B"/>
    <w:rsid w:val="003B33E5"/>
    <w:rsid w:val="003B42E7"/>
    <w:rsid w:val="003B4B77"/>
    <w:rsid w:val="003B5A26"/>
    <w:rsid w:val="003B5D18"/>
    <w:rsid w:val="003B5F45"/>
    <w:rsid w:val="003B71C3"/>
    <w:rsid w:val="003B72CE"/>
    <w:rsid w:val="003B742A"/>
    <w:rsid w:val="003B78D4"/>
    <w:rsid w:val="003B79B7"/>
    <w:rsid w:val="003B7E93"/>
    <w:rsid w:val="003C0A5D"/>
    <w:rsid w:val="003C147E"/>
    <w:rsid w:val="003C2911"/>
    <w:rsid w:val="003C329E"/>
    <w:rsid w:val="003C3786"/>
    <w:rsid w:val="003C4697"/>
    <w:rsid w:val="003C4BB2"/>
    <w:rsid w:val="003C50FC"/>
    <w:rsid w:val="003C60BB"/>
    <w:rsid w:val="003C702F"/>
    <w:rsid w:val="003C770B"/>
    <w:rsid w:val="003C78A8"/>
    <w:rsid w:val="003D0297"/>
    <w:rsid w:val="003D191E"/>
    <w:rsid w:val="003D1ABC"/>
    <w:rsid w:val="003D1B31"/>
    <w:rsid w:val="003D1D31"/>
    <w:rsid w:val="003D205D"/>
    <w:rsid w:val="003D3472"/>
    <w:rsid w:val="003D5BFD"/>
    <w:rsid w:val="003D64B8"/>
    <w:rsid w:val="003D6CEE"/>
    <w:rsid w:val="003D740F"/>
    <w:rsid w:val="003E15B4"/>
    <w:rsid w:val="003E176A"/>
    <w:rsid w:val="003E1ADE"/>
    <w:rsid w:val="003E3DF9"/>
    <w:rsid w:val="003E4D56"/>
    <w:rsid w:val="003E4DC8"/>
    <w:rsid w:val="003E54F3"/>
    <w:rsid w:val="003E576A"/>
    <w:rsid w:val="003E6245"/>
    <w:rsid w:val="003E6E16"/>
    <w:rsid w:val="003F000F"/>
    <w:rsid w:val="003F1615"/>
    <w:rsid w:val="003F2418"/>
    <w:rsid w:val="003F33E6"/>
    <w:rsid w:val="003F40C1"/>
    <w:rsid w:val="003F4D5B"/>
    <w:rsid w:val="003F4E77"/>
    <w:rsid w:val="003F4F7E"/>
    <w:rsid w:val="003F5535"/>
    <w:rsid w:val="003F71DD"/>
    <w:rsid w:val="003F7277"/>
    <w:rsid w:val="003F7645"/>
    <w:rsid w:val="004005FB"/>
    <w:rsid w:val="0040110C"/>
    <w:rsid w:val="00402539"/>
    <w:rsid w:val="004031A8"/>
    <w:rsid w:val="004033B0"/>
    <w:rsid w:val="00403AA4"/>
    <w:rsid w:val="0040427D"/>
    <w:rsid w:val="00404332"/>
    <w:rsid w:val="00404B9B"/>
    <w:rsid w:val="00405060"/>
    <w:rsid w:val="00405811"/>
    <w:rsid w:val="00406D97"/>
    <w:rsid w:val="00406FEE"/>
    <w:rsid w:val="004073A2"/>
    <w:rsid w:val="004074BF"/>
    <w:rsid w:val="00407507"/>
    <w:rsid w:val="00407FFB"/>
    <w:rsid w:val="00414542"/>
    <w:rsid w:val="004146A0"/>
    <w:rsid w:val="0041552C"/>
    <w:rsid w:val="0041563F"/>
    <w:rsid w:val="00415D6E"/>
    <w:rsid w:val="004167AE"/>
    <w:rsid w:val="004203E9"/>
    <w:rsid w:val="0042044F"/>
    <w:rsid w:val="00420ECC"/>
    <w:rsid w:val="004218EC"/>
    <w:rsid w:val="00422167"/>
    <w:rsid w:val="00423281"/>
    <w:rsid w:val="00425A83"/>
    <w:rsid w:val="004260C9"/>
    <w:rsid w:val="00426789"/>
    <w:rsid w:val="004274B8"/>
    <w:rsid w:val="00427949"/>
    <w:rsid w:val="004303D1"/>
    <w:rsid w:val="004307DD"/>
    <w:rsid w:val="00430A0A"/>
    <w:rsid w:val="00432094"/>
    <w:rsid w:val="004326A1"/>
    <w:rsid w:val="00433995"/>
    <w:rsid w:val="00433C33"/>
    <w:rsid w:val="00434B6E"/>
    <w:rsid w:val="00434CDC"/>
    <w:rsid w:val="004357AA"/>
    <w:rsid w:val="0043613A"/>
    <w:rsid w:val="004366C6"/>
    <w:rsid w:val="00436B6B"/>
    <w:rsid w:val="00437264"/>
    <w:rsid w:val="00437925"/>
    <w:rsid w:val="00437A56"/>
    <w:rsid w:val="00437D15"/>
    <w:rsid w:val="0044197C"/>
    <w:rsid w:val="00441FD2"/>
    <w:rsid w:val="00444BF7"/>
    <w:rsid w:val="00445FD6"/>
    <w:rsid w:val="00446438"/>
    <w:rsid w:val="004468B5"/>
    <w:rsid w:val="00446CC4"/>
    <w:rsid w:val="00446E17"/>
    <w:rsid w:val="00446E79"/>
    <w:rsid w:val="00447637"/>
    <w:rsid w:val="00447803"/>
    <w:rsid w:val="004502E2"/>
    <w:rsid w:val="00450340"/>
    <w:rsid w:val="00450663"/>
    <w:rsid w:val="00451971"/>
    <w:rsid w:val="00452494"/>
    <w:rsid w:val="00453748"/>
    <w:rsid w:val="0045374B"/>
    <w:rsid w:val="00454CBD"/>
    <w:rsid w:val="00454EB4"/>
    <w:rsid w:val="004568DF"/>
    <w:rsid w:val="00460189"/>
    <w:rsid w:val="004602B9"/>
    <w:rsid w:val="00461696"/>
    <w:rsid w:val="00462402"/>
    <w:rsid w:val="004624B8"/>
    <w:rsid w:val="00462B2D"/>
    <w:rsid w:val="00463563"/>
    <w:rsid w:val="004636F2"/>
    <w:rsid w:val="00464EBE"/>
    <w:rsid w:val="004655E0"/>
    <w:rsid w:val="004661A7"/>
    <w:rsid w:val="0046695F"/>
    <w:rsid w:val="00466EF6"/>
    <w:rsid w:val="004674AA"/>
    <w:rsid w:val="004706BA"/>
    <w:rsid w:val="00470770"/>
    <w:rsid w:val="00470A40"/>
    <w:rsid w:val="004716B6"/>
    <w:rsid w:val="004718BD"/>
    <w:rsid w:val="00471CF8"/>
    <w:rsid w:val="00471E8E"/>
    <w:rsid w:val="004721A4"/>
    <w:rsid w:val="0047299B"/>
    <w:rsid w:val="00472A69"/>
    <w:rsid w:val="00473348"/>
    <w:rsid w:val="00473519"/>
    <w:rsid w:val="00473E04"/>
    <w:rsid w:val="00474BA8"/>
    <w:rsid w:val="004761A0"/>
    <w:rsid w:val="00476310"/>
    <w:rsid w:val="00476C26"/>
    <w:rsid w:val="00476DB8"/>
    <w:rsid w:val="00476FAF"/>
    <w:rsid w:val="00477426"/>
    <w:rsid w:val="004807B9"/>
    <w:rsid w:val="00481089"/>
    <w:rsid w:val="0048225B"/>
    <w:rsid w:val="00483048"/>
    <w:rsid w:val="00485847"/>
    <w:rsid w:val="00485D14"/>
    <w:rsid w:val="00487872"/>
    <w:rsid w:val="0049077D"/>
    <w:rsid w:val="00492509"/>
    <w:rsid w:val="00493853"/>
    <w:rsid w:val="00494080"/>
    <w:rsid w:val="00494842"/>
    <w:rsid w:val="004956D1"/>
    <w:rsid w:val="004956EE"/>
    <w:rsid w:val="004974C9"/>
    <w:rsid w:val="00497C00"/>
    <w:rsid w:val="004A0FB1"/>
    <w:rsid w:val="004A141F"/>
    <w:rsid w:val="004A2AF1"/>
    <w:rsid w:val="004A2D61"/>
    <w:rsid w:val="004A3CE1"/>
    <w:rsid w:val="004A3F27"/>
    <w:rsid w:val="004A40F3"/>
    <w:rsid w:val="004A57D4"/>
    <w:rsid w:val="004A5D33"/>
    <w:rsid w:val="004A7524"/>
    <w:rsid w:val="004A7899"/>
    <w:rsid w:val="004A7D30"/>
    <w:rsid w:val="004A7F78"/>
    <w:rsid w:val="004B13CB"/>
    <w:rsid w:val="004B15C6"/>
    <w:rsid w:val="004B2A59"/>
    <w:rsid w:val="004B2A65"/>
    <w:rsid w:val="004B2DFB"/>
    <w:rsid w:val="004B3113"/>
    <w:rsid w:val="004B3876"/>
    <w:rsid w:val="004B5678"/>
    <w:rsid w:val="004B5FAC"/>
    <w:rsid w:val="004B6D9F"/>
    <w:rsid w:val="004B6FF4"/>
    <w:rsid w:val="004B70B6"/>
    <w:rsid w:val="004B7CE3"/>
    <w:rsid w:val="004C02DD"/>
    <w:rsid w:val="004C07FC"/>
    <w:rsid w:val="004C1B8D"/>
    <w:rsid w:val="004C2B9A"/>
    <w:rsid w:val="004C4368"/>
    <w:rsid w:val="004C4CCB"/>
    <w:rsid w:val="004C4DBD"/>
    <w:rsid w:val="004C5674"/>
    <w:rsid w:val="004C5AD9"/>
    <w:rsid w:val="004C5AFB"/>
    <w:rsid w:val="004C6737"/>
    <w:rsid w:val="004C737C"/>
    <w:rsid w:val="004C791A"/>
    <w:rsid w:val="004D07AF"/>
    <w:rsid w:val="004D0836"/>
    <w:rsid w:val="004D1A9F"/>
    <w:rsid w:val="004D1F1A"/>
    <w:rsid w:val="004D211B"/>
    <w:rsid w:val="004D3777"/>
    <w:rsid w:val="004D4894"/>
    <w:rsid w:val="004D54E2"/>
    <w:rsid w:val="004D57FC"/>
    <w:rsid w:val="004D617B"/>
    <w:rsid w:val="004D666D"/>
    <w:rsid w:val="004D6CBF"/>
    <w:rsid w:val="004E0C28"/>
    <w:rsid w:val="004E0CBD"/>
    <w:rsid w:val="004E1AEE"/>
    <w:rsid w:val="004E4026"/>
    <w:rsid w:val="004E4BC6"/>
    <w:rsid w:val="004E5B05"/>
    <w:rsid w:val="004E6481"/>
    <w:rsid w:val="004E693B"/>
    <w:rsid w:val="004F02DC"/>
    <w:rsid w:val="004F0312"/>
    <w:rsid w:val="004F03F2"/>
    <w:rsid w:val="004F0527"/>
    <w:rsid w:val="004F0541"/>
    <w:rsid w:val="004F16C4"/>
    <w:rsid w:val="004F1BC7"/>
    <w:rsid w:val="004F2896"/>
    <w:rsid w:val="004F3331"/>
    <w:rsid w:val="004F438B"/>
    <w:rsid w:val="004F46CC"/>
    <w:rsid w:val="004F4B54"/>
    <w:rsid w:val="004F4D39"/>
    <w:rsid w:val="004F4E08"/>
    <w:rsid w:val="004F5148"/>
    <w:rsid w:val="004F5B7C"/>
    <w:rsid w:val="004F5F3B"/>
    <w:rsid w:val="004F624E"/>
    <w:rsid w:val="004F6739"/>
    <w:rsid w:val="004F694A"/>
    <w:rsid w:val="004F6990"/>
    <w:rsid w:val="004F71A3"/>
    <w:rsid w:val="004F761F"/>
    <w:rsid w:val="0050106D"/>
    <w:rsid w:val="00501EE4"/>
    <w:rsid w:val="0050210D"/>
    <w:rsid w:val="005022B5"/>
    <w:rsid w:val="0050464E"/>
    <w:rsid w:val="00504AC1"/>
    <w:rsid w:val="00504BE5"/>
    <w:rsid w:val="005051B5"/>
    <w:rsid w:val="00505271"/>
    <w:rsid w:val="00505B96"/>
    <w:rsid w:val="0051002B"/>
    <w:rsid w:val="0051025C"/>
    <w:rsid w:val="005104AF"/>
    <w:rsid w:val="00510864"/>
    <w:rsid w:val="005109D5"/>
    <w:rsid w:val="00510AFC"/>
    <w:rsid w:val="00511054"/>
    <w:rsid w:val="005120DD"/>
    <w:rsid w:val="00512138"/>
    <w:rsid w:val="005121B1"/>
    <w:rsid w:val="005122E2"/>
    <w:rsid w:val="00512CB7"/>
    <w:rsid w:val="00513EA0"/>
    <w:rsid w:val="00513F47"/>
    <w:rsid w:val="00514008"/>
    <w:rsid w:val="0051742B"/>
    <w:rsid w:val="0052027A"/>
    <w:rsid w:val="0052054A"/>
    <w:rsid w:val="0052094B"/>
    <w:rsid w:val="00520EB1"/>
    <w:rsid w:val="005217A1"/>
    <w:rsid w:val="00521A15"/>
    <w:rsid w:val="00521C22"/>
    <w:rsid w:val="005233B1"/>
    <w:rsid w:val="005245B1"/>
    <w:rsid w:val="00525AB2"/>
    <w:rsid w:val="00525C8E"/>
    <w:rsid w:val="00526DBC"/>
    <w:rsid w:val="0052740E"/>
    <w:rsid w:val="00527C29"/>
    <w:rsid w:val="00530808"/>
    <w:rsid w:val="00530CC5"/>
    <w:rsid w:val="005318EA"/>
    <w:rsid w:val="00531C49"/>
    <w:rsid w:val="0053231C"/>
    <w:rsid w:val="00532490"/>
    <w:rsid w:val="00532EEB"/>
    <w:rsid w:val="00534CA4"/>
    <w:rsid w:val="00534E77"/>
    <w:rsid w:val="00535AF4"/>
    <w:rsid w:val="00535B75"/>
    <w:rsid w:val="005365EE"/>
    <w:rsid w:val="00536780"/>
    <w:rsid w:val="00537473"/>
    <w:rsid w:val="00541CB7"/>
    <w:rsid w:val="00541FB6"/>
    <w:rsid w:val="00543668"/>
    <w:rsid w:val="00543A72"/>
    <w:rsid w:val="00545731"/>
    <w:rsid w:val="00545A26"/>
    <w:rsid w:val="0054627B"/>
    <w:rsid w:val="005476F9"/>
    <w:rsid w:val="00547CB0"/>
    <w:rsid w:val="005500AD"/>
    <w:rsid w:val="0055022A"/>
    <w:rsid w:val="00551A09"/>
    <w:rsid w:val="00551BFE"/>
    <w:rsid w:val="00552C22"/>
    <w:rsid w:val="00552E80"/>
    <w:rsid w:val="005535E9"/>
    <w:rsid w:val="005549CB"/>
    <w:rsid w:val="00555081"/>
    <w:rsid w:val="00556C24"/>
    <w:rsid w:val="005570AE"/>
    <w:rsid w:val="00557197"/>
    <w:rsid w:val="00560435"/>
    <w:rsid w:val="005608FC"/>
    <w:rsid w:val="00560DCB"/>
    <w:rsid w:val="0056121B"/>
    <w:rsid w:val="00562631"/>
    <w:rsid w:val="0056294A"/>
    <w:rsid w:val="00562EAF"/>
    <w:rsid w:val="00562EB7"/>
    <w:rsid w:val="00563521"/>
    <w:rsid w:val="0056451C"/>
    <w:rsid w:val="00564967"/>
    <w:rsid w:val="0056651F"/>
    <w:rsid w:val="00566DB0"/>
    <w:rsid w:val="0056742D"/>
    <w:rsid w:val="00567436"/>
    <w:rsid w:val="005705A7"/>
    <w:rsid w:val="0057069C"/>
    <w:rsid w:val="00571471"/>
    <w:rsid w:val="00571FA7"/>
    <w:rsid w:val="0057211D"/>
    <w:rsid w:val="00572951"/>
    <w:rsid w:val="00572ABA"/>
    <w:rsid w:val="00572D62"/>
    <w:rsid w:val="00572D9A"/>
    <w:rsid w:val="00573218"/>
    <w:rsid w:val="005733BB"/>
    <w:rsid w:val="00573735"/>
    <w:rsid w:val="00573D5B"/>
    <w:rsid w:val="005741F6"/>
    <w:rsid w:val="00575900"/>
    <w:rsid w:val="00575DEC"/>
    <w:rsid w:val="00575E47"/>
    <w:rsid w:val="00575F13"/>
    <w:rsid w:val="00576863"/>
    <w:rsid w:val="00576A6F"/>
    <w:rsid w:val="00580098"/>
    <w:rsid w:val="0058056D"/>
    <w:rsid w:val="00581A9F"/>
    <w:rsid w:val="00581E1C"/>
    <w:rsid w:val="0058217C"/>
    <w:rsid w:val="005829FC"/>
    <w:rsid w:val="0058316B"/>
    <w:rsid w:val="005854FC"/>
    <w:rsid w:val="00586463"/>
    <w:rsid w:val="00586846"/>
    <w:rsid w:val="00587E01"/>
    <w:rsid w:val="00590240"/>
    <w:rsid w:val="005903FD"/>
    <w:rsid w:val="00590F63"/>
    <w:rsid w:val="005914D4"/>
    <w:rsid w:val="00591957"/>
    <w:rsid w:val="005926A7"/>
    <w:rsid w:val="005943D1"/>
    <w:rsid w:val="00594A9C"/>
    <w:rsid w:val="00594DB4"/>
    <w:rsid w:val="00594FB3"/>
    <w:rsid w:val="005953C3"/>
    <w:rsid w:val="005955E8"/>
    <w:rsid w:val="00595EBF"/>
    <w:rsid w:val="005A0187"/>
    <w:rsid w:val="005A1C57"/>
    <w:rsid w:val="005A25E4"/>
    <w:rsid w:val="005A2D01"/>
    <w:rsid w:val="005A3EBF"/>
    <w:rsid w:val="005A4281"/>
    <w:rsid w:val="005A6344"/>
    <w:rsid w:val="005A6738"/>
    <w:rsid w:val="005A7804"/>
    <w:rsid w:val="005A7B6C"/>
    <w:rsid w:val="005B1480"/>
    <w:rsid w:val="005B1D2E"/>
    <w:rsid w:val="005B1F67"/>
    <w:rsid w:val="005B3382"/>
    <w:rsid w:val="005B3A5A"/>
    <w:rsid w:val="005B3CB9"/>
    <w:rsid w:val="005B473D"/>
    <w:rsid w:val="005B61F4"/>
    <w:rsid w:val="005C0FBE"/>
    <w:rsid w:val="005C192D"/>
    <w:rsid w:val="005C1DB1"/>
    <w:rsid w:val="005C226B"/>
    <w:rsid w:val="005C2B41"/>
    <w:rsid w:val="005C3CD0"/>
    <w:rsid w:val="005C3F02"/>
    <w:rsid w:val="005C4186"/>
    <w:rsid w:val="005C55FA"/>
    <w:rsid w:val="005C6D91"/>
    <w:rsid w:val="005D034F"/>
    <w:rsid w:val="005D1777"/>
    <w:rsid w:val="005D212C"/>
    <w:rsid w:val="005D2546"/>
    <w:rsid w:val="005D4111"/>
    <w:rsid w:val="005D4539"/>
    <w:rsid w:val="005D5778"/>
    <w:rsid w:val="005D6B8E"/>
    <w:rsid w:val="005D79A9"/>
    <w:rsid w:val="005D7B17"/>
    <w:rsid w:val="005E07DD"/>
    <w:rsid w:val="005E1350"/>
    <w:rsid w:val="005E17A0"/>
    <w:rsid w:val="005E1F22"/>
    <w:rsid w:val="005E2BC3"/>
    <w:rsid w:val="005E2F8F"/>
    <w:rsid w:val="005E3C90"/>
    <w:rsid w:val="005E3F04"/>
    <w:rsid w:val="005E58BA"/>
    <w:rsid w:val="005E59E4"/>
    <w:rsid w:val="005E6E8F"/>
    <w:rsid w:val="005E7E32"/>
    <w:rsid w:val="005F04C7"/>
    <w:rsid w:val="005F15EA"/>
    <w:rsid w:val="005F172E"/>
    <w:rsid w:val="005F2DF1"/>
    <w:rsid w:val="005F3F07"/>
    <w:rsid w:val="005F5F70"/>
    <w:rsid w:val="005F644A"/>
    <w:rsid w:val="005F7C4A"/>
    <w:rsid w:val="006000C4"/>
    <w:rsid w:val="00600B7E"/>
    <w:rsid w:val="00600C1F"/>
    <w:rsid w:val="00600F3A"/>
    <w:rsid w:val="0060156B"/>
    <w:rsid w:val="00601626"/>
    <w:rsid w:val="00601DC5"/>
    <w:rsid w:val="0060209D"/>
    <w:rsid w:val="00602A32"/>
    <w:rsid w:val="006040AB"/>
    <w:rsid w:val="00604936"/>
    <w:rsid w:val="00605CB1"/>
    <w:rsid w:val="006061C8"/>
    <w:rsid w:val="006062FC"/>
    <w:rsid w:val="0060649A"/>
    <w:rsid w:val="006070B3"/>
    <w:rsid w:val="00607573"/>
    <w:rsid w:val="0061053F"/>
    <w:rsid w:val="00610748"/>
    <w:rsid w:val="006107DF"/>
    <w:rsid w:val="00610DCF"/>
    <w:rsid w:val="006120DA"/>
    <w:rsid w:val="00613727"/>
    <w:rsid w:val="00613813"/>
    <w:rsid w:val="00613894"/>
    <w:rsid w:val="00613B42"/>
    <w:rsid w:val="0061418A"/>
    <w:rsid w:val="00614336"/>
    <w:rsid w:val="006144C5"/>
    <w:rsid w:val="006148AA"/>
    <w:rsid w:val="00614BB8"/>
    <w:rsid w:val="00616AE1"/>
    <w:rsid w:val="00617043"/>
    <w:rsid w:val="00617A81"/>
    <w:rsid w:val="00617FEE"/>
    <w:rsid w:val="006204BE"/>
    <w:rsid w:val="00620605"/>
    <w:rsid w:val="006208DA"/>
    <w:rsid w:val="00620FD3"/>
    <w:rsid w:val="0062257A"/>
    <w:rsid w:val="00622D52"/>
    <w:rsid w:val="006230B9"/>
    <w:rsid w:val="00623AA3"/>
    <w:rsid w:val="00623F36"/>
    <w:rsid w:val="006243B2"/>
    <w:rsid w:val="00624E81"/>
    <w:rsid w:val="0062549C"/>
    <w:rsid w:val="00625C0B"/>
    <w:rsid w:val="0062771D"/>
    <w:rsid w:val="0063009D"/>
    <w:rsid w:val="00631984"/>
    <w:rsid w:val="00633312"/>
    <w:rsid w:val="00633B2A"/>
    <w:rsid w:val="00634219"/>
    <w:rsid w:val="00636827"/>
    <w:rsid w:val="00637866"/>
    <w:rsid w:val="006379AF"/>
    <w:rsid w:val="00637C8D"/>
    <w:rsid w:val="00637E2D"/>
    <w:rsid w:val="0064026C"/>
    <w:rsid w:val="00641B4D"/>
    <w:rsid w:val="00643381"/>
    <w:rsid w:val="00644F3C"/>
    <w:rsid w:val="00645046"/>
    <w:rsid w:val="00645C33"/>
    <w:rsid w:val="00645E8F"/>
    <w:rsid w:val="00646717"/>
    <w:rsid w:val="00646B8E"/>
    <w:rsid w:val="006473C4"/>
    <w:rsid w:val="00647F78"/>
    <w:rsid w:val="00650BFA"/>
    <w:rsid w:val="006513DF"/>
    <w:rsid w:val="00651658"/>
    <w:rsid w:val="00651CA4"/>
    <w:rsid w:val="0065209A"/>
    <w:rsid w:val="006525A8"/>
    <w:rsid w:val="0065327C"/>
    <w:rsid w:val="006536EC"/>
    <w:rsid w:val="00653D03"/>
    <w:rsid w:val="0065410C"/>
    <w:rsid w:val="0065589E"/>
    <w:rsid w:val="00655C97"/>
    <w:rsid w:val="006561FE"/>
    <w:rsid w:val="00656A38"/>
    <w:rsid w:val="0065713B"/>
    <w:rsid w:val="00660854"/>
    <w:rsid w:val="00660CEA"/>
    <w:rsid w:val="0066100F"/>
    <w:rsid w:val="00661158"/>
    <w:rsid w:val="006611C8"/>
    <w:rsid w:val="00661AA8"/>
    <w:rsid w:val="00661BC0"/>
    <w:rsid w:val="00662146"/>
    <w:rsid w:val="00663713"/>
    <w:rsid w:val="00663A94"/>
    <w:rsid w:val="00665413"/>
    <w:rsid w:val="006659D3"/>
    <w:rsid w:val="00665EE0"/>
    <w:rsid w:val="00666133"/>
    <w:rsid w:val="00667E0C"/>
    <w:rsid w:val="00670222"/>
    <w:rsid w:val="00670CEA"/>
    <w:rsid w:val="0067172A"/>
    <w:rsid w:val="00671F3D"/>
    <w:rsid w:val="00671FD4"/>
    <w:rsid w:val="006724E7"/>
    <w:rsid w:val="00672789"/>
    <w:rsid w:val="00673616"/>
    <w:rsid w:val="006738FE"/>
    <w:rsid w:val="00673BAE"/>
    <w:rsid w:val="00675155"/>
    <w:rsid w:val="00680743"/>
    <w:rsid w:val="0068089C"/>
    <w:rsid w:val="00680CB2"/>
    <w:rsid w:val="0068100F"/>
    <w:rsid w:val="00681305"/>
    <w:rsid w:val="00681A0F"/>
    <w:rsid w:val="00681F45"/>
    <w:rsid w:val="0068203F"/>
    <w:rsid w:val="006824F6"/>
    <w:rsid w:val="00682578"/>
    <w:rsid w:val="00682742"/>
    <w:rsid w:val="006834C7"/>
    <w:rsid w:val="00683528"/>
    <w:rsid w:val="0068489D"/>
    <w:rsid w:val="00684B9D"/>
    <w:rsid w:val="00685C3A"/>
    <w:rsid w:val="00687B94"/>
    <w:rsid w:val="00687F8A"/>
    <w:rsid w:val="0069015D"/>
    <w:rsid w:val="00690B7B"/>
    <w:rsid w:val="00690F94"/>
    <w:rsid w:val="0069108E"/>
    <w:rsid w:val="0069112E"/>
    <w:rsid w:val="00692A58"/>
    <w:rsid w:val="00693E31"/>
    <w:rsid w:val="0069405D"/>
    <w:rsid w:val="00694589"/>
    <w:rsid w:val="00694796"/>
    <w:rsid w:val="006952FF"/>
    <w:rsid w:val="006972DA"/>
    <w:rsid w:val="006A06A7"/>
    <w:rsid w:val="006A166F"/>
    <w:rsid w:val="006A1980"/>
    <w:rsid w:val="006A2792"/>
    <w:rsid w:val="006A30CA"/>
    <w:rsid w:val="006A34D7"/>
    <w:rsid w:val="006A5761"/>
    <w:rsid w:val="006A5D00"/>
    <w:rsid w:val="006A6A49"/>
    <w:rsid w:val="006A79A8"/>
    <w:rsid w:val="006B00CB"/>
    <w:rsid w:val="006B115B"/>
    <w:rsid w:val="006B18C5"/>
    <w:rsid w:val="006B2536"/>
    <w:rsid w:val="006B2C42"/>
    <w:rsid w:val="006B387A"/>
    <w:rsid w:val="006B3F1B"/>
    <w:rsid w:val="006B48CF"/>
    <w:rsid w:val="006B4CAC"/>
    <w:rsid w:val="006B4FAE"/>
    <w:rsid w:val="006B521F"/>
    <w:rsid w:val="006B5722"/>
    <w:rsid w:val="006B6A92"/>
    <w:rsid w:val="006B6D6B"/>
    <w:rsid w:val="006B7F9F"/>
    <w:rsid w:val="006C0A9E"/>
    <w:rsid w:val="006C19DC"/>
    <w:rsid w:val="006C1C71"/>
    <w:rsid w:val="006C26D2"/>
    <w:rsid w:val="006C2E38"/>
    <w:rsid w:val="006C35BD"/>
    <w:rsid w:val="006C6152"/>
    <w:rsid w:val="006C66ED"/>
    <w:rsid w:val="006C67BA"/>
    <w:rsid w:val="006C690A"/>
    <w:rsid w:val="006D09E7"/>
    <w:rsid w:val="006D1073"/>
    <w:rsid w:val="006D128C"/>
    <w:rsid w:val="006D1702"/>
    <w:rsid w:val="006D1755"/>
    <w:rsid w:val="006D2B6D"/>
    <w:rsid w:val="006D3C6A"/>
    <w:rsid w:val="006D3D60"/>
    <w:rsid w:val="006D3FA9"/>
    <w:rsid w:val="006D4480"/>
    <w:rsid w:val="006D7518"/>
    <w:rsid w:val="006E026D"/>
    <w:rsid w:val="006E035B"/>
    <w:rsid w:val="006E095B"/>
    <w:rsid w:val="006E0BCD"/>
    <w:rsid w:val="006E114F"/>
    <w:rsid w:val="006E13A9"/>
    <w:rsid w:val="006E1FD0"/>
    <w:rsid w:val="006E39FF"/>
    <w:rsid w:val="006E4348"/>
    <w:rsid w:val="006E4BE6"/>
    <w:rsid w:val="006F018C"/>
    <w:rsid w:val="006F0B30"/>
    <w:rsid w:val="006F0FE2"/>
    <w:rsid w:val="006F132F"/>
    <w:rsid w:val="006F18A3"/>
    <w:rsid w:val="006F2F3B"/>
    <w:rsid w:val="006F3511"/>
    <w:rsid w:val="006F3865"/>
    <w:rsid w:val="006F4186"/>
    <w:rsid w:val="006F430B"/>
    <w:rsid w:val="006F5E07"/>
    <w:rsid w:val="006F6391"/>
    <w:rsid w:val="006F6580"/>
    <w:rsid w:val="006F6932"/>
    <w:rsid w:val="0070015D"/>
    <w:rsid w:val="0070124A"/>
    <w:rsid w:val="00701984"/>
    <w:rsid w:val="00702CDF"/>
    <w:rsid w:val="00703D33"/>
    <w:rsid w:val="00703F22"/>
    <w:rsid w:val="00704041"/>
    <w:rsid w:val="007041E1"/>
    <w:rsid w:val="007045A6"/>
    <w:rsid w:val="00705E28"/>
    <w:rsid w:val="00710D19"/>
    <w:rsid w:val="00711126"/>
    <w:rsid w:val="0071183F"/>
    <w:rsid w:val="0071264C"/>
    <w:rsid w:val="00713892"/>
    <w:rsid w:val="007147E2"/>
    <w:rsid w:val="0071497E"/>
    <w:rsid w:val="00714B46"/>
    <w:rsid w:val="00715B84"/>
    <w:rsid w:val="00716114"/>
    <w:rsid w:val="00716246"/>
    <w:rsid w:val="00717669"/>
    <w:rsid w:val="00717E1B"/>
    <w:rsid w:val="00720522"/>
    <w:rsid w:val="007205E2"/>
    <w:rsid w:val="00722075"/>
    <w:rsid w:val="00722310"/>
    <w:rsid w:val="00722EA0"/>
    <w:rsid w:val="00723DD8"/>
    <w:rsid w:val="00725378"/>
    <w:rsid w:val="00725533"/>
    <w:rsid w:val="00725580"/>
    <w:rsid w:val="007278F1"/>
    <w:rsid w:val="00727ADA"/>
    <w:rsid w:val="00730869"/>
    <w:rsid w:val="00730A3D"/>
    <w:rsid w:val="00731E39"/>
    <w:rsid w:val="00731FC2"/>
    <w:rsid w:val="007327BE"/>
    <w:rsid w:val="00732D6B"/>
    <w:rsid w:val="00734C79"/>
    <w:rsid w:val="0073565E"/>
    <w:rsid w:val="00735B04"/>
    <w:rsid w:val="007373C1"/>
    <w:rsid w:val="0073794B"/>
    <w:rsid w:val="00737D88"/>
    <w:rsid w:val="00740FFA"/>
    <w:rsid w:val="00741BDB"/>
    <w:rsid w:val="00742031"/>
    <w:rsid w:val="007423BA"/>
    <w:rsid w:val="00742CDA"/>
    <w:rsid w:val="00742F0F"/>
    <w:rsid w:val="007445E8"/>
    <w:rsid w:val="00744697"/>
    <w:rsid w:val="00745054"/>
    <w:rsid w:val="00745261"/>
    <w:rsid w:val="00745A3A"/>
    <w:rsid w:val="00745E1A"/>
    <w:rsid w:val="00746671"/>
    <w:rsid w:val="00746D93"/>
    <w:rsid w:val="00747317"/>
    <w:rsid w:val="0075077E"/>
    <w:rsid w:val="007512FA"/>
    <w:rsid w:val="00751D5B"/>
    <w:rsid w:val="00752FB7"/>
    <w:rsid w:val="007538E2"/>
    <w:rsid w:val="00755B45"/>
    <w:rsid w:val="0075638B"/>
    <w:rsid w:val="0075666B"/>
    <w:rsid w:val="007567BB"/>
    <w:rsid w:val="0075696F"/>
    <w:rsid w:val="00756F1C"/>
    <w:rsid w:val="00757159"/>
    <w:rsid w:val="007579BE"/>
    <w:rsid w:val="0076046B"/>
    <w:rsid w:val="00760694"/>
    <w:rsid w:val="00761067"/>
    <w:rsid w:val="007613EE"/>
    <w:rsid w:val="00762789"/>
    <w:rsid w:val="00763156"/>
    <w:rsid w:val="0076336F"/>
    <w:rsid w:val="0076440D"/>
    <w:rsid w:val="00764BC3"/>
    <w:rsid w:val="007653B6"/>
    <w:rsid w:val="007658AA"/>
    <w:rsid w:val="007659AD"/>
    <w:rsid w:val="00765C23"/>
    <w:rsid w:val="007668D5"/>
    <w:rsid w:val="0076757D"/>
    <w:rsid w:val="007702BF"/>
    <w:rsid w:val="007717C3"/>
    <w:rsid w:val="007727FC"/>
    <w:rsid w:val="007737EB"/>
    <w:rsid w:val="00774440"/>
    <w:rsid w:val="0077464A"/>
    <w:rsid w:val="00774B87"/>
    <w:rsid w:val="00781F0D"/>
    <w:rsid w:val="00782019"/>
    <w:rsid w:val="00783695"/>
    <w:rsid w:val="007838EF"/>
    <w:rsid w:val="00783FE4"/>
    <w:rsid w:val="00784407"/>
    <w:rsid w:val="00786643"/>
    <w:rsid w:val="007878CC"/>
    <w:rsid w:val="007906D7"/>
    <w:rsid w:val="0079312D"/>
    <w:rsid w:val="00793F6B"/>
    <w:rsid w:val="00794064"/>
    <w:rsid w:val="00794B6E"/>
    <w:rsid w:val="0079593A"/>
    <w:rsid w:val="00796248"/>
    <w:rsid w:val="0079635C"/>
    <w:rsid w:val="0079646A"/>
    <w:rsid w:val="00796754"/>
    <w:rsid w:val="007969B2"/>
    <w:rsid w:val="007A0683"/>
    <w:rsid w:val="007A0D67"/>
    <w:rsid w:val="007A0E85"/>
    <w:rsid w:val="007A1CCF"/>
    <w:rsid w:val="007A22C4"/>
    <w:rsid w:val="007A2F5F"/>
    <w:rsid w:val="007A4414"/>
    <w:rsid w:val="007A4B2B"/>
    <w:rsid w:val="007A5D9F"/>
    <w:rsid w:val="007B0447"/>
    <w:rsid w:val="007B1445"/>
    <w:rsid w:val="007B1C4D"/>
    <w:rsid w:val="007B1E3E"/>
    <w:rsid w:val="007B2488"/>
    <w:rsid w:val="007B2CF3"/>
    <w:rsid w:val="007B3200"/>
    <w:rsid w:val="007B32E8"/>
    <w:rsid w:val="007B451B"/>
    <w:rsid w:val="007B6198"/>
    <w:rsid w:val="007C05A0"/>
    <w:rsid w:val="007C0881"/>
    <w:rsid w:val="007C08B4"/>
    <w:rsid w:val="007C2663"/>
    <w:rsid w:val="007C3123"/>
    <w:rsid w:val="007C6150"/>
    <w:rsid w:val="007C6F32"/>
    <w:rsid w:val="007C7A90"/>
    <w:rsid w:val="007D02B6"/>
    <w:rsid w:val="007D034C"/>
    <w:rsid w:val="007D16ED"/>
    <w:rsid w:val="007D1B61"/>
    <w:rsid w:val="007D1F32"/>
    <w:rsid w:val="007D2FDA"/>
    <w:rsid w:val="007D3259"/>
    <w:rsid w:val="007D362B"/>
    <w:rsid w:val="007D4BCC"/>
    <w:rsid w:val="007D5628"/>
    <w:rsid w:val="007D6C40"/>
    <w:rsid w:val="007D7B09"/>
    <w:rsid w:val="007E0386"/>
    <w:rsid w:val="007E0825"/>
    <w:rsid w:val="007E0B55"/>
    <w:rsid w:val="007E0B5F"/>
    <w:rsid w:val="007E214A"/>
    <w:rsid w:val="007E369A"/>
    <w:rsid w:val="007E397A"/>
    <w:rsid w:val="007E43D0"/>
    <w:rsid w:val="007E4BB6"/>
    <w:rsid w:val="007E4C16"/>
    <w:rsid w:val="007E4CF5"/>
    <w:rsid w:val="007E55FF"/>
    <w:rsid w:val="007E56DC"/>
    <w:rsid w:val="007E653A"/>
    <w:rsid w:val="007E725B"/>
    <w:rsid w:val="007F01F0"/>
    <w:rsid w:val="007F0B38"/>
    <w:rsid w:val="007F0E92"/>
    <w:rsid w:val="007F10FA"/>
    <w:rsid w:val="007F125B"/>
    <w:rsid w:val="007F1814"/>
    <w:rsid w:val="007F1B80"/>
    <w:rsid w:val="007F248E"/>
    <w:rsid w:val="007F2A1D"/>
    <w:rsid w:val="007F2E67"/>
    <w:rsid w:val="007F306E"/>
    <w:rsid w:val="007F33B4"/>
    <w:rsid w:val="007F3B08"/>
    <w:rsid w:val="007F3F68"/>
    <w:rsid w:val="007F4352"/>
    <w:rsid w:val="007F4576"/>
    <w:rsid w:val="007F45D2"/>
    <w:rsid w:val="007F5427"/>
    <w:rsid w:val="007F59C5"/>
    <w:rsid w:val="007F6083"/>
    <w:rsid w:val="007F7440"/>
    <w:rsid w:val="007F7CD0"/>
    <w:rsid w:val="00800A11"/>
    <w:rsid w:val="0080222A"/>
    <w:rsid w:val="00802FD5"/>
    <w:rsid w:val="0080414E"/>
    <w:rsid w:val="0080465F"/>
    <w:rsid w:val="008047C7"/>
    <w:rsid w:val="00805838"/>
    <w:rsid w:val="0080586C"/>
    <w:rsid w:val="008060A5"/>
    <w:rsid w:val="008065A3"/>
    <w:rsid w:val="00806FAD"/>
    <w:rsid w:val="0081213E"/>
    <w:rsid w:val="008138FE"/>
    <w:rsid w:val="00814D49"/>
    <w:rsid w:val="00814EC6"/>
    <w:rsid w:val="008151CA"/>
    <w:rsid w:val="0081568D"/>
    <w:rsid w:val="00815BDA"/>
    <w:rsid w:val="0082017A"/>
    <w:rsid w:val="008203E8"/>
    <w:rsid w:val="00822883"/>
    <w:rsid w:val="00824513"/>
    <w:rsid w:val="00825418"/>
    <w:rsid w:val="008256A2"/>
    <w:rsid w:val="00825D65"/>
    <w:rsid w:val="008263EE"/>
    <w:rsid w:val="00831268"/>
    <w:rsid w:val="008316A6"/>
    <w:rsid w:val="008319A7"/>
    <w:rsid w:val="00831B26"/>
    <w:rsid w:val="00833893"/>
    <w:rsid w:val="008350EC"/>
    <w:rsid w:val="008363F9"/>
    <w:rsid w:val="00836B20"/>
    <w:rsid w:val="00836BDD"/>
    <w:rsid w:val="008370E5"/>
    <w:rsid w:val="00837C5C"/>
    <w:rsid w:val="008400A6"/>
    <w:rsid w:val="00840589"/>
    <w:rsid w:val="0084096B"/>
    <w:rsid w:val="008417A6"/>
    <w:rsid w:val="008443C8"/>
    <w:rsid w:val="0084456E"/>
    <w:rsid w:val="00844749"/>
    <w:rsid w:val="008457A5"/>
    <w:rsid w:val="00845954"/>
    <w:rsid w:val="00845D98"/>
    <w:rsid w:val="00845DCC"/>
    <w:rsid w:val="00845E55"/>
    <w:rsid w:val="008477CC"/>
    <w:rsid w:val="00847EAF"/>
    <w:rsid w:val="0085016A"/>
    <w:rsid w:val="00850F0D"/>
    <w:rsid w:val="00851A3F"/>
    <w:rsid w:val="00853398"/>
    <w:rsid w:val="00854064"/>
    <w:rsid w:val="00854129"/>
    <w:rsid w:val="008559C3"/>
    <w:rsid w:val="00855DDE"/>
    <w:rsid w:val="0085627A"/>
    <w:rsid w:val="00856461"/>
    <w:rsid w:val="0086095B"/>
    <w:rsid w:val="008617EB"/>
    <w:rsid w:val="00861E2E"/>
    <w:rsid w:val="008620F0"/>
    <w:rsid w:val="00862202"/>
    <w:rsid w:val="008623BB"/>
    <w:rsid w:val="00862722"/>
    <w:rsid w:val="00862B01"/>
    <w:rsid w:val="008642C0"/>
    <w:rsid w:val="00864477"/>
    <w:rsid w:val="00864985"/>
    <w:rsid w:val="00865193"/>
    <w:rsid w:val="008655AB"/>
    <w:rsid w:val="008710E2"/>
    <w:rsid w:val="00872C5D"/>
    <w:rsid w:val="0087409B"/>
    <w:rsid w:val="00874DFE"/>
    <w:rsid w:val="00876318"/>
    <w:rsid w:val="008768BC"/>
    <w:rsid w:val="00876C1B"/>
    <w:rsid w:val="00877948"/>
    <w:rsid w:val="00877AF5"/>
    <w:rsid w:val="00880604"/>
    <w:rsid w:val="00880827"/>
    <w:rsid w:val="00880873"/>
    <w:rsid w:val="00880ACE"/>
    <w:rsid w:val="00881C7D"/>
    <w:rsid w:val="00882110"/>
    <w:rsid w:val="008830DF"/>
    <w:rsid w:val="0088383D"/>
    <w:rsid w:val="00883CFA"/>
    <w:rsid w:val="00884F16"/>
    <w:rsid w:val="0088616B"/>
    <w:rsid w:val="00887F3E"/>
    <w:rsid w:val="00891267"/>
    <w:rsid w:val="008920CD"/>
    <w:rsid w:val="008921A3"/>
    <w:rsid w:val="00892A1E"/>
    <w:rsid w:val="0089330B"/>
    <w:rsid w:val="008935FE"/>
    <w:rsid w:val="00893AEE"/>
    <w:rsid w:val="0089459C"/>
    <w:rsid w:val="00895915"/>
    <w:rsid w:val="00895E72"/>
    <w:rsid w:val="00896420"/>
    <w:rsid w:val="0089734C"/>
    <w:rsid w:val="00897447"/>
    <w:rsid w:val="00897679"/>
    <w:rsid w:val="008A05ED"/>
    <w:rsid w:val="008A4002"/>
    <w:rsid w:val="008A45FB"/>
    <w:rsid w:val="008A6003"/>
    <w:rsid w:val="008A69BB"/>
    <w:rsid w:val="008A6E79"/>
    <w:rsid w:val="008A7C93"/>
    <w:rsid w:val="008B2088"/>
    <w:rsid w:val="008B2209"/>
    <w:rsid w:val="008B25B2"/>
    <w:rsid w:val="008B2612"/>
    <w:rsid w:val="008B2C20"/>
    <w:rsid w:val="008B2E8E"/>
    <w:rsid w:val="008B3028"/>
    <w:rsid w:val="008B4E7C"/>
    <w:rsid w:val="008B5BC0"/>
    <w:rsid w:val="008B69B0"/>
    <w:rsid w:val="008B6B94"/>
    <w:rsid w:val="008C1DF8"/>
    <w:rsid w:val="008C27F9"/>
    <w:rsid w:val="008C2E8E"/>
    <w:rsid w:val="008C304F"/>
    <w:rsid w:val="008C3954"/>
    <w:rsid w:val="008C4E3A"/>
    <w:rsid w:val="008C5196"/>
    <w:rsid w:val="008C5394"/>
    <w:rsid w:val="008C55BD"/>
    <w:rsid w:val="008C5F13"/>
    <w:rsid w:val="008C6511"/>
    <w:rsid w:val="008C6646"/>
    <w:rsid w:val="008C6D8A"/>
    <w:rsid w:val="008C7280"/>
    <w:rsid w:val="008C7D95"/>
    <w:rsid w:val="008D00E3"/>
    <w:rsid w:val="008D018D"/>
    <w:rsid w:val="008D163C"/>
    <w:rsid w:val="008D2E27"/>
    <w:rsid w:val="008D2E57"/>
    <w:rsid w:val="008D33C5"/>
    <w:rsid w:val="008D4A93"/>
    <w:rsid w:val="008D4D2E"/>
    <w:rsid w:val="008D4E9C"/>
    <w:rsid w:val="008D5339"/>
    <w:rsid w:val="008D5AED"/>
    <w:rsid w:val="008D63E2"/>
    <w:rsid w:val="008D63EB"/>
    <w:rsid w:val="008E01C2"/>
    <w:rsid w:val="008E07A4"/>
    <w:rsid w:val="008E0A2E"/>
    <w:rsid w:val="008E0EDC"/>
    <w:rsid w:val="008E15E4"/>
    <w:rsid w:val="008E1B3C"/>
    <w:rsid w:val="008E22A4"/>
    <w:rsid w:val="008E2B07"/>
    <w:rsid w:val="008E374D"/>
    <w:rsid w:val="008E3A57"/>
    <w:rsid w:val="008E3BAF"/>
    <w:rsid w:val="008F0239"/>
    <w:rsid w:val="008F125B"/>
    <w:rsid w:val="008F20B7"/>
    <w:rsid w:val="008F2A08"/>
    <w:rsid w:val="008F3DD7"/>
    <w:rsid w:val="008F3E30"/>
    <w:rsid w:val="008F4985"/>
    <w:rsid w:val="008F4CC0"/>
    <w:rsid w:val="008F530F"/>
    <w:rsid w:val="008F582B"/>
    <w:rsid w:val="008F6B67"/>
    <w:rsid w:val="008F6D31"/>
    <w:rsid w:val="008F76D5"/>
    <w:rsid w:val="00900123"/>
    <w:rsid w:val="00900D87"/>
    <w:rsid w:val="00901129"/>
    <w:rsid w:val="00901AC6"/>
    <w:rsid w:val="00902071"/>
    <w:rsid w:val="009027CF"/>
    <w:rsid w:val="00904C58"/>
    <w:rsid w:val="009050C2"/>
    <w:rsid w:val="009052BB"/>
    <w:rsid w:val="00905613"/>
    <w:rsid w:val="00905F53"/>
    <w:rsid w:val="009066F8"/>
    <w:rsid w:val="00906F8B"/>
    <w:rsid w:val="00907A70"/>
    <w:rsid w:val="00907C82"/>
    <w:rsid w:val="009109C7"/>
    <w:rsid w:val="00911B46"/>
    <w:rsid w:val="00912C1B"/>
    <w:rsid w:val="00913AA4"/>
    <w:rsid w:val="00914AD1"/>
    <w:rsid w:val="00915333"/>
    <w:rsid w:val="00916035"/>
    <w:rsid w:val="00916335"/>
    <w:rsid w:val="00916349"/>
    <w:rsid w:val="00916E99"/>
    <w:rsid w:val="00917A21"/>
    <w:rsid w:val="0092109E"/>
    <w:rsid w:val="00921115"/>
    <w:rsid w:val="00921F58"/>
    <w:rsid w:val="00922229"/>
    <w:rsid w:val="00922257"/>
    <w:rsid w:val="0092245D"/>
    <w:rsid w:val="00924748"/>
    <w:rsid w:val="00924944"/>
    <w:rsid w:val="0092534E"/>
    <w:rsid w:val="00925A5A"/>
    <w:rsid w:val="009301DE"/>
    <w:rsid w:val="009306F8"/>
    <w:rsid w:val="009307A5"/>
    <w:rsid w:val="009313F0"/>
    <w:rsid w:val="00931BB5"/>
    <w:rsid w:val="00931FC1"/>
    <w:rsid w:val="0093337D"/>
    <w:rsid w:val="00933584"/>
    <w:rsid w:val="0093486A"/>
    <w:rsid w:val="00935283"/>
    <w:rsid w:val="00936C4B"/>
    <w:rsid w:val="009377A6"/>
    <w:rsid w:val="00937E6D"/>
    <w:rsid w:val="009417C0"/>
    <w:rsid w:val="00942493"/>
    <w:rsid w:val="00942CBD"/>
    <w:rsid w:val="00942EFC"/>
    <w:rsid w:val="00943237"/>
    <w:rsid w:val="00944338"/>
    <w:rsid w:val="009444BE"/>
    <w:rsid w:val="009446ED"/>
    <w:rsid w:val="009450BF"/>
    <w:rsid w:val="00945EF5"/>
    <w:rsid w:val="00952F49"/>
    <w:rsid w:val="009542E9"/>
    <w:rsid w:val="00954B7C"/>
    <w:rsid w:val="00954F43"/>
    <w:rsid w:val="00955504"/>
    <w:rsid w:val="009564C3"/>
    <w:rsid w:val="0095655E"/>
    <w:rsid w:val="00956BF0"/>
    <w:rsid w:val="009601CC"/>
    <w:rsid w:val="0096262C"/>
    <w:rsid w:val="00962931"/>
    <w:rsid w:val="00962EC9"/>
    <w:rsid w:val="0096347E"/>
    <w:rsid w:val="00963AE7"/>
    <w:rsid w:val="00963C2F"/>
    <w:rsid w:val="00964599"/>
    <w:rsid w:val="00964C0B"/>
    <w:rsid w:val="00966A41"/>
    <w:rsid w:val="00966DDC"/>
    <w:rsid w:val="00966DEB"/>
    <w:rsid w:val="00967C54"/>
    <w:rsid w:val="009702AF"/>
    <w:rsid w:val="0097048B"/>
    <w:rsid w:val="009710E4"/>
    <w:rsid w:val="0097327C"/>
    <w:rsid w:val="00974C0B"/>
    <w:rsid w:val="009753D0"/>
    <w:rsid w:val="0097649E"/>
    <w:rsid w:val="00976975"/>
    <w:rsid w:val="00977444"/>
    <w:rsid w:val="00980700"/>
    <w:rsid w:val="009808A6"/>
    <w:rsid w:val="00981E18"/>
    <w:rsid w:val="009835D3"/>
    <w:rsid w:val="00983BF2"/>
    <w:rsid w:val="009858C4"/>
    <w:rsid w:val="00985B0C"/>
    <w:rsid w:val="00985E7F"/>
    <w:rsid w:val="0098773F"/>
    <w:rsid w:val="009877E7"/>
    <w:rsid w:val="00991078"/>
    <w:rsid w:val="009915DA"/>
    <w:rsid w:val="00991E6F"/>
    <w:rsid w:val="009929A6"/>
    <w:rsid w:val="0099351D"/>
    <w:rsid w:val="00993BE3"/>
    <w:rsid w:val="00994F85"/>
    <w:rsid w:val="00995D2B"/>
    <w:rsid w:val="009977D7"/>
    <w:rsid w:val="009A0448"/>
    <w:rsid w:val="009A15C7"/>
    <w:rsid w:val="009A1CE8"/>
    <w:rsid w:val="009A2969"/>
    <w:rsid w:val="009A36B6"/>
    <w:rsid w:val="009A3840"/>
    <w:rsid w:val="009A38FB"/>
    <w:rsid w:val="009A3F68"/>
    <w:rsid w:val="009A4401"/>
    <w:rsid w:val="009A4E5D"/>
    <w:rsid w:val="009A5A78"/>
    <w:rsid w:val="009A6D7F"/>
    <w:rsid w:val="009A7434"/>
    <w:rsid w:val="009B0D1E"/>
    <w:rsid w:val="009B119C"/>
    <w:rsid w:val="009B1AB0"/>
    <w:rsid w:val="009B22DB"/>
    <w:rsid w:val="009B2CE7"/>
    <w:rsid w:val="009B3594"/>
    <w:rsid w:val="009B47A5"/>
    <w:rsid w:val="009B4BE5"/>
    <w:rsid w:val="009B4FF6"/>
    <w:rsid w:val="009B52F6"/>
    <w:rsid w:val="009B6160"/>
    <w:rsid w:val="009C022C"/>
    <w:rsid w:val="009C0439"/>
    <w:rsid w:val="009C0599"/>
    <w:rsid w:val="009C0766"/>
    <w:rsid w:val="009C2185"/>
    <w:rsid w:val="009C3E7E"/>
    <w:rsid w:val="009C4624"/>
    <w:rsid w:val="009C48BF"/>
    <w:rsid w:val="009C5467"/>
    <w:rsid w:val="009C559C"/>
    <w:rsid w:val="009C5F73"/>
    <w:rsid w:val="009C6058"/>
    <w:rsid w:val="009C693D"/>
    <w:rsid w:val="009C7415"/>
    <w:rsid w:val="009D0752"/>
    <w:rsid w:val="009D1AFF"/>
    <w:rsid w:val="009D1DAF"/>
    <w:rsid w:val="009D1F25"/>
    <w:rsid w:val="009D22CC"/>
    <w:rsid w:val="009D27D9"/>
    <w:rsid w:val="009D2947"/>
    <w:rsid w:val="009D3983"/>
    <w:rsid w:val="009D3D38"/>
    <w:rsid w:val="009D4FCB"/>
    <w:rsid w:val="009D5011"/>
    <w:rsid w:val="009D51B0"/>
    <w:rsid w:val="009D5914"/>
    <w:rsid w:val="009D59EF"/>
    <w:rsid w:val="009D699E"/>
    <w:rsid w:val="009D721B"/>
    <w:rsid w:val="009D7633"/>
    <w:rsid w:val="009E0F70"/>
    <w:rsid w:val="009E1DF5"/>
    <w:rsid w:val="009E300B"/>
    <w:rsid w:val="009E33B9"/>
    <w:rsid w:val="009E360A"/>
    <w:rsid w:val="009E3D96"/>
    <w:rsid w:val="009E414C"/>
    <w:rsid w:val="009E4151"/>
    <w:rsid w:val="009E43A1"/>
    <w:rsid w:val="009E5F0E"/>
    <w:rsid w:val="009E6397"/>
    <w:rsid w:val="009E654C"/>
    <w:rsid w:val="009E6A5F"/>
    <w:rsid w:val="009F11D8"/>
    <w:rsid w:val="009F137B"/>
    <w:rsid w:val="009F1571"/>
    <w:rsid w:val="009F15B9"/>
    <w:rsid w:val="009F185F"/>
    <w:rsid w:val="009F26AF"/>
    <w:rsid w:val="009F3B19"/>
    <w:rsid w:val="009F4232"/>
    <w:rsid w:val="009F45DD"/>
    <w:rsid w:val="009F64AC"/>
    <w:rsid w:val="009F669C"/>
    <w:rsid w:val="009F6DA8"/>
    <w:rsid w:val="009F71C7"/>
    <w:rsid w:val="009F7B0A"/>
    <w:rsid w:val="00A00A9D"/>
    <w:rsid w:val="00A00F92"/>
    <w:rsid w:val="00A0172B"/>
    <w:rsid w:val="00A02029"/>
    <w:rsid w:val="00A0670E"/>
    <w:rsid w:val="00A06A15"/>
    <w:rsid w:val="00A07B28"/>
    <w:rsid w:val="00A106B5"/>
    <w:rsid w:val="00A107C1"/>
    <w:rsid w:val="00A12C9C"/>
    <w:rsid w:val="00A135F5"/>
    <w:rsid w:val="00A13A77"/>
    <w:rsid w:val="00A141D1"/>
    <w:rsid w:val="00A14952"/>
    <w:rsid w:val="00A1594F"/>
    <w:rsid w:val="00A15ABC"/>
    <w:rsid w:val="00A1744E"/>
    <w:rsid w:val="00A17988"/>
    <w:rsid w:val="00A21FD7"/>
    <w:rsid w:val="00A222E2"/>
    <w:rsid w:val="00A23699"/>
    <w:rsid w:val="00A23CD1"/>
    <w:rsid w:val="00A2600C"/>
    <w:rsid w:val="00A274CD"/>
    <w:rsid w:val="00A27F50"/>
    <w:rsid w:val="00A30129"/>
    <w:rsid w:val="00A3066F"/>
    <w:rsid w:val="00A31F0A"/>
    <w:rsid w:val="00A32B81"/>
    <w:rsid w:val="00A32F18"/>
    <w:rsid w:val="00A3329F"/>
    <w:rsid w:val="00A347CD"/>
    <w:rsid w:val="00A354EF"/>
    <w:rsid w:val="00A36B3F"/>
    <w:rsid w:val="00A36BF5"/>
    <w:rsid w:val="00A36DE4"/>
    <w:rsid w:val="00A374B8"/>
    <w:rsid w:val="00A37E08"/>
    <w:rsid w:val="00A41CC1"/>
    <w:rsid w:val="00A42326"/>
    <w:rsid w:val="00A42A81"/>
    <w:rsid w:val="00A42AC1"/>
    <w:rsid w:val="00A432A0"/>
    <w:rsid w:val="00A43E55"/>
    <w:rsid w:val="00A446DD"/>
    <w:rsid w:val="00A469DE"/>
    <w:rsid w:val="00A46D93"/>
    <w:rsid w:val="00A475C9"/>
    <w:rsid w:val="00A4771B"/>
    <w:rsid w:val="00A47D96"/>
    <w:rsid w:val="00A500E4"/>
    <w:rsid w:val="00A50BD7"/>
    <w:rsid w:val="00A511ED"/>
    <w:rsid w:val="00A5273D"/>
    <w:rsid w:val="00A52814"/>
    <w:rsid w:val="00A52C3A"/>
    <w:rsid w:val="00A52CEA"/>
    <w:rsid w:val="00A5398A"/>
    <w:rsid w:val="00A54050"/>
    <w:rsid w:val="00A55009"/>
    <w:rsid w:val="00A55A83"/>
    <w:rsid w:val="00A55B51"/>
    <w:rsid w:val="00A55C3B"/>
    <w:rsid w:val="00A560C6"/>
    <w:rsid w:val="00A5689B"/>
    <w:rsid w:val="00A569FB"/>
    <w:rsid w:val="00A579D8"/>
    <w:rsid w:val="00A60B86"/>
    <w:rsid w:val="00A60D5D"/>
    <w:rsid w:val="00A60DF7"/>
    <w:rsid w:val="00A61384"/>
    <w:rsid w:val="00A61777"/>
    <w:rsid w:val="00A6281A"/>
    <w:rsid w:val="00A6400E"/>
    <w:rsid w:val="00A6429E"/>
    <w:rsid w:val="00A65B8F"/>
    <w:rsid w:val="00A65C6F"/>
    <w:rsid w:val="00A6714E"/>
    <w:rsid w:val="00A67B6D"/>
    <w:rsid w:val="00A70214"/>
    <w:rsid w:val="00A70662"/>
    <w:rsid w:val="00A71459"/>
    <w:rsid w:val="00A715A2"/>
    <w:rsid w:val="00A71E46"/>
    <w:rsid w:val="00A7225D"/>
    <w:rsid w:val="00A72413"/>
    <w:rsid w:val="00A74730"/>
    <w:rsid w:val="00A75754"/>
    <w:rsid w:val="00A75E4F"/>
    <w:rsid w:val="00A760D4"/>
    <w:rsid w:val="00A76490"/>
    <w:rsid w:val="00A76566"/>
    <w:rsid w:val="00A7656E"/>
    <w:rsid w:val="00A76F8B"/>
    <w:rsid w:val="00A77A06"/>
    <w:rsid w:val="00A77C20"/>
    <w:rsid w:val="00A80CBB"/>
    <w:rsid w:val="00A811FA"/>
    <w:rsid w:val="00A8152C"/>
    <w:rsid w:val="00A815E1"/>
    <w:rsid w:val="00A81CC3"/>
    <w:rsid w:val="00A825EA"/>
    <w:rsid w:val="00A82A65"/>
    <w:rsid w:val="00A84EB5"/>
    <w:rsid w:val="00A84F3D"/>
    <w:rsid w:val="00A87A59"/>
    <w:rsid w:val="00A90326"/>
    <w:rsid w:val="00A9060D"/>
    <w:rsid w:val="00A90FB9"/>
    <w:rsid w:val="00A92758"/>
    <w:rsid w:val="00A92F9F"/>
    <w:rsid w:val="00A93078"/>
    <w:rsid w:val="00A939C7"/>
    <w:rsid w:val="00A94268"/>
    <w:rsid w:val="00A9480B"/>
    <w:rsid w:val="00A94F11"/>
    <w:rsid w:val="00A94F51"/>
    <w:rsid w:val="00A95475"/>
    <w:rsid w:val="00A96599"/>
    <w:rsid w:val="00A97C07"/>
    <w:rsid w:val="00AA016C"/>
    <w:rsid w:val="00AA02AF"/>
    <w:rsid w:val="00AA0484"/>
    <w:rsid w:val="00AA1E4F"/>
    <w:rsid w:val="00AA210C"/>
    <w:rsid w:val="00AA266C"/>
    <w:rsid w:val="00AA3275"/>
    <w:rsid w:val="00AA4290"/>
    <w:rsid w:val="00AA5618"/>
    <w:rsid w:val="00AA6942"/>
    <w:rsid w:val="00AA6DB4"/>
    <w:rsid w:val="00AA74FC"/>
    <w:rsid w:val="00AA7C69"/>
    <w:rsid w:val="00AB0C9C"/>
    <w:rsid w:val="00AB0C9D"/>
    <w:rsid w:val="00AB14D1"/>
    <w:rsid w:val="00AB14E9"/>
    <w:rsid w:val="00AB1900"/>
    <w:rsid w:val="00AB23E9"/>
    <w:rsid w:val="00AB2AF3"/>
    <w:rsid w:val="00AB4396"/>
    <w:rsid w:val="00AB46AD"/>
    <w:rsid w:val="00AB5856"/>
    <w:rsid w:val="00AB5884"/>
    <w:rsid w:val="00AB6657"/>
    <w:rsid w:val="00AB78BA"/>
    <w:rsid w:val="00AB7AB4"/>
    <w:rsid w:val="00AC1330"/>
    <w:rsid w:val="00AC34B9"/>
    <w:rsid w:val="00AC4231"/>
    <w:rsid w:val="00AC4B4D"/>
    <w:rsid w:val="00AC5479"/>
    <w:rsid w:val="00AC5FA4"/>
    <w:rsid w:val="00AC6EF3"/>
    <w:rsid w:val="00AD075C"/>
    <w:rsid w:val="00AD0E4D"/>
    <w:rsid w:val="00AD0F0C"/>
    <w:rsid w:val="00AD0F72"/>
    <w:rsid w:val="00AD1053"/>
    <w:rsid w:val="00AD11D0"/>
    <w:rsid w:val="00AD2BD0"/>
    <w:rsid w:val="00AD37AF"/>
    <w:rsid w:val="00AD4721"/>
    <w:rsid w:val="00AD569F"/>
    <w:rsid w:val="00AD58EB"/>
    <w:rsid w:val="00AD59C7"/>
    <w:rsid w:val="00AD5A7F"/>
    <w:rsid w:val="00AD5BEE"/>
    <w:rsid w:val="00AD5F36"/>
    <w:rsid w:val="00AD602D"/>
    <w:rsid w:val="00AD7003"/>
    <w:rsid w:val="00AD7AAF"/>
    <w:rsid w:val="00AD7F41"/>
    <w:rsid w:val="00AE051C"/>
    <w:rsid w:val="00AE0CCE"/>
    <w:rsid w:val="00AE13C7"/>
    <w:rsid w:val="00AE1667"/>
    <w:rsid w:val="00AE1E39"/>
    <w:rsid w:val="00AE2B42"/>
    <w:rsid w:val="00AE2DD9"/>
    <w:rsid w:val="00AE2F43"/>
    <w:rsid w:val="00AE49B2"/>
    <w:rsid w:val="00AE4AA7"/>
    <w:rsid w:val="00AE53E3"/>
    <w:rsid w:val="00AE56B5"/>
    <w:rsid w:val="00AE6409"/>
    <w:rsid w:val="00AE65C1"/>
    <w:rsid w:val="00AE7258"/>
    <w:rsid w:val="00AF12FF"/>
    <w:rsid w:val="00AF1920"/>
    <w:rsid w:val="00AF1A6E"/>
    <w:rsid w:val="00AF27AF"/>
    <w:rsid w:val="00AF2C5D"/>
    <w:rsid w:val="00AF2D83"/>
    <w:rsid w:val="00AF33EF"/>
    <w:rsid w:val="00AF4C5F"/>
    <w:rsid w:val="00AF4CF0"/>
    <w:rsid w:val="00AF5B01"/>
    <w:rsid w:val="00AF61A9"/>
    <w:rsid w:val="00AF65C4"/>
    <w:rsid w:val="00AF79B5"/>
    <w:rsid w:val="00B00ACE"/>
    <w:rsid w:val="00B018DE"/>
    <w:rsid w:val="00B01F10"/>
    <w:rsid w:val="00B02A7D"/>
    <w:rsid w:val="00B02FE5"/>
    <w:rsid w:val="00B0309D"/>
    <w:rsid w:val="00B03832"/>
    <w:rsid w:val="00B03B9C"/>
    <w:rsid w:val="00B04847"/>
    <w:rsid w:val="00B051C7"/>
    <w:rsid w:val="00B06022"/>
    <w:rsid w:val="00B0632B"/>
    <w:rsid w:val="00B06621"/>
    <w:rsid w:val="00B06A04"/>
    <w:rsid w:val="00B0719E"/>
    <w:rsid w:val="00B07626"/>
    <w:rsid w:val="00B07BE8"/>
    <w:rsid w:val="00B12441"/>
    <w:rsid w:val="00B12AC9"/>
    <w:rsid w:val="00B13529"/>
    <w:rsid w:val="00B13C00"/>
    <w:rsid w:val="00B147FD"/>
    <w:rsid w:val="00B14BA0"/>
    <w:rsid w:val="00B15FA3"/>
    <w:rsid w:val="00B16149"/>
    <w:rsid w:val="00B16F31"/>
    <w:rsid w:val="00B1717F"/>
    <w:rsid w:val="00B17D47"/>
    <w:rsid w:val="00B20668"/>
    <w:rsid w:val="00B223BB"/>
    <w:rsid w:val="00B23377"/>
    <w:rsid w:val="00B23519"/>
    <w:rsid w:val="00B23701"/>
    <w:rsid w:val="00B23969"/>
    <w:rsid w:val="00B23B40"/>
    <w:rsid w:val="00B23B44"/>
    <w:rsid w:val="00B24CEF"/>
    <w:rsid w:val="00B24F17"/>
    <w:rsid w:val="00B25BED"/>
    <w:rsid w:val="00B2693A"/>
    <w:rsid w:val="00B269BA"/>
    <w:rsid w:val="00B27472"/>
    <w:rsid w:val="00B305BC"/>
    <w:rsid w:val="00B30B42"/>
    <w:rsid w:val="00B311DF"/>
    <w:rsid w:val="00B31C2B"/>
    <w:rsid w:val="00B33E39"/>
    <w:rsid w:val="00B341E9"/>
    <w:rsid w:val="00B347D1"/>
    <w:rsid w:val="00B3496B"/>
    <w:rsid w:val="00B35547"/>
    <w:rsid w:val="00B35C58"/>
    <w:rsid w:val="00B363ED"/>
    <w:rsid w:val="00B365A8"/>
    <w:rsid w:val="00B36690"/>
    <w:rsid w:val="00B375FD"/>
    <w:rsid w:val="00B404F7"/>
    <w:rsid w:val="00B40AE8"/>
    <w:rsid w:val="00B40DAF"/>
    <w:rsid w:val="00B41D32"/>
    <w:rsid w:val="00B42E59"/>
    <w:rsid w:val="00B43E35"/>
    <w:rsid w:val="00B44629"/>
    <w:rsid w:val="00B44A1B"/>
    <w:rsid w:val="00B44C51"/>
    <w:rsid w:val="00B44F18"/>
    <w:rsid w:val="00B452F2"/>
    <w:rsid w:val="00B46324"/>
    <w:rsid w:val="00B50840"/>
    <w:rsid w:val="00B526D0"/>
    <w:rsid w:val="00B536E7"/>
    <w:rsid w:val="00B541EE"/>
    <w:rsid w:val="00B55A5D"/>
    <w:rsid w:val="00B56A94"/>
    <w:rsid w:val="00B56D17"/>
    <w:rsid w:val="00B60AFE"/>
    <w:rsid w:val="00B64A23"/>
    <w:rsid w:val="00B64B37"/>
    <w:rsid w:val="00B652AB"/>
    <w:rsid w:val="00B660E4"/>
    <w:rsid w:val="00B668F9"/>
    <w:rsid w:val="00B679A7"/>
    <w:rsid w:val="00B67D45"/>
    <w:rsid w:val="00B7162D"/>
    <w:rsid w:val="00B71E16"/>
    <w:rsid w:val="00B728E1"/>
    <w:rsid w:val="00B7299D"/>
    <w:rsid w:val="00B72CC5"/>
    <w:rsid w:val="00B73449"/>
    <w:rsid w:val="00B7419B"/>
    <w:rsid w:val="00B76874"/>
    <w:rsid w:val="00B77237"/>
    <w:rsid w:val="00B776AD"/>
    <w:rsid w:val="00B81266"/>
    <w:rsid w:val="00B81B87"/>
    <w:rsid w:val="00B82803"/>
    <w:rsid w:val="00B82D0C"/>
    <w:rsid w:val="00B8379F"/>
    <w:rsid w:val="00B84344"/>
    <w:rsid w:val="00B85050"/>
    <w:rsid w:val="00B873C0"/>
    <w:rsid w:val="00B878C9"/>
    <w:rsid w:val="00B87AE2"/>
    <w:rsid w:val="00B917FE"/>
    <w:rsid w:val="00B918A1"/>
    <w:rsid w:val="00B92EBD"/>
    <w:rsid w:val="00B94F1D"/>
    <w:rsid w:val="00B95D3D"/>
    <w:rsid w:val="00B95FF8"/>
    <w:rsid w:val="00B97D0D"/>
    <w:rsid w:val="00B97E3A"/>
    <w:rsid w:val="00BA0731"/>
    <w:rsid w:val="00BA1676"/>
    <w:rsid w:val="00BA1968"/>
    <w:rsid w:val="00BA1E6F"/>
    <w:rsid w:val="00BA2438"/>
    <w:rsid w:val="00BA2847"/>
    <w:rsid w:val="00BA2A10"/>
    <w:rsid w:val="00BA2B84"/>
    <w:rsid w:val="00BA5AFB"/>
    <w:rsid w:val="00BA63FC"/>
    <w:rsid w:val="00BB0E47"/>
    <w:rsid w:val="00BB1060"/>
    <w:rsid w:val="00BB2DCB"/>
    <w:rsid w:val="00BB32F7"/>
    <w:rsid w:val="00BB37BD"/>
    <w:rsid w:val="00BB3968"/>
    <w:rsid w:val="00BB6A0E"/>
    <w:rsid w:val="00BB6E9A"/>
    <w:rsid w:val="00BB7B9F"/>
    <w:rsid w:val="00BC0DB5"/>
    <w:rsid w:val="00BC0F18"/>
    <w:rsid w:val="00BC1CEA"/>
    <w:rsid w:val="00BC1DFE"/>
    <w:rsid w:val="00BC1FDA"/>
    <w:rsid w:val="00BC3F14"/>
    <w:rsid w:val="00BC466C"/>
    <w:rsid w:val="00BC4A0C"/>
    <w:rsid w:val="00BC4EBF"/>
    <w:rsid w:val="00BC53B8"/>
    <w:rsid w:val="00BC55D9"/>
    <w:rsid w:val="00BC5679"/>
    <w:rsid w:val="00BD0534"/>
    <w:rsid w:val="00BD0D92"/>
    <w:rsid w:val="00BD1611"/>
    <w:rsid w:val="00BD1C93"/>
    <w:rsid w:val="00BD200A"/>
    <w:rsid w:val="00BD2147"/>
    <w:rsid w:val="00BD226D"/>
    <w:rsid w:val="00BD2570"/>
    <w:rsid w:val="00BD31D3"/>
    <w:rsid w:val="00BD38D8"/>
    <w:rsid w:val="00BD4278"/>
    <w:rsid w:val="00BD6149"/>
    <w:rsid w:val="00BD68DD"/>
    <w:rsid w:val="00BD7BF0"/>
    <w:rsid w:val="00BE024C"/>
    <w:rsid w:val="00BE0C47"/>
    <w:rsid w:val="00BE0C9A"/>
    <w:rsid w:val="00BE1392"/>
    <w:rsid w:val="00BE1A8C"/>
    <w:rsid w:val="00BE39D4"/>
    <w:rsid w:val="00BE40DE"/>
    <w:rsid w:val="00BE60C5"/>
    <w:rsid w:val="00BE66E5"/>
    <w:rsid w:val="00BE7AEA"/>
    <w:rsid w:val="00BE7D2E"/>
    <w:rsid w:val="00BF0BBD"/>
    <w:rsid w:val="00BF0E3C"/>
    <w:rsid w:val="00BF1078"/>
    <w:rsid w:val="00BF168F"/>
    <w:rsid w:val="00BF1E9D"/>
    <w:rsid w:val="00BF209B"/>
    <w:rsid w:val="00BF2E35"/>
    <w:rsid w:val="00BF374C"/>
    <w:rsid w:val="00BF3DC6"/>
    <w:rsid w:val="00BF64B0"/>
    <w:rsid w:val="00BF64E3"/>
    <w:rsid w:val="00BF67EA"/>
    <w:rsid w:val="00BF697C"/>
    <w:rsid w:val="00BF6E23"/>
    <w:rsid w:val="00C006FC"/>
    <w:rsid w:val="00C01F93"/>
    <w:rsid w:val="00C0245B"/>
    <w:rsid w:val="00C025D6"/>
    <w:rsid w:val="00C02815"/>
    <w:rsid w:val="00C02F43"/>
    <w:rsid w:val="00C03D49"/>
    <w:rsid w:val="00C040F4"/>
    <w:rsid w:val="00C0478F"/>
    <w:rsid w:val="00C04CA6"/>
    <w:rsid w:val="00C06539"/>
    <w:rsid w:val="00C07128"/>
    <w:rsid w:val="00C073EA"/>
    <w:rsid w:val="00C07D4F"/>
    <w:rsid w:val="00C109B5"/>
    <w:rsid w:val="00C10D92"/>
    <w:rsid w:val="00C11AD3"/>
    <w:rsid w:val="00C11B76"/>
    <w:rsid w:val="00C127D8"/>
    <w:rsid w:val="00C128EB"/>
    <w:rsid w:val="00C1359E"/>
    <w:rsid w:val="00C145E2"/>
    <w:rsid w:val="00C14BE1"/>
    <w:rsid w:val="00C1752C"/>
    <w:rsid w:val="00C17756"/>
    <w:rsid w:val="00C2068F"/>
    <w:rsid w:val="00C20F29"/>
    <w:rsid w:val="00C21094"/>
    <w:rsid w:val="00C2143A"/>
    <w:rsid w:val="00C22172"/>
    <w:rsid w:val="00C22440"/>
    <w:rsid w:val="00C22DCE"/>
    <w:rsid w:val="00C22DD0"/>
    <w:rsid w:val="00C238CE"/>
    <w:rsid w:val="00C2411B"/>
    <w:rsid w:val="00C24305"/>
    <w:rsid w:val="00C24390"/>
    <w:rsid w:val="00C2546E"/>
    <w:rsid w:val="00C256B1"/>
    <w:rsid w:val="00C26841"/>
    <w:rsid w:val="00C26986"/>
    <w:rsid w:val="00C26E95"/>
    <w:rsid w:val="00C2728C"/>
    <w:rsid w:val="00C30082"/>
    <w:rsid w:val="00C3025A"/>
    <w:rsid w:val="00C30524"/>
    <w:rsid w:val="00C30C7D"/>
    <w:rsid w:val="00C3288F"/>
    <w:rsid w:val="00C35DAC"/>
    <w:rsid w:val="00C36182"/>
    <w:rsid w:val="00C36639"/>
    <w:rsid w:val="00C36D6B"/>
    <w:rsid w:val="00C37148"/>
    <w:rsid w:val="00C40075"/>
    <w:rsid w:val="00C401F5"/>
    <w:rsid w:val="00C4079E"/>
    <w:rsid w:val="00C40827"/>
    <w:rsid w:val="00C4088F"/>
    <w:rsid w:val="00C410B4"/>
    <w:rsid w:val="00C4181E"/>
    <w:rsid w:val="00C41D33"/>
    <w:rsid w:val="00C421D9"/>
    <w:rsid w:val="00C423CD"/>
    <w:rsid w:val="00C432D3"/>
    <w:rsid w:val="00C449A6"/>
    <w:rsid w:val="00C44CFF"/>
    <w:rsid w:val="00C45AE6"/>
    <w:rsid w:val="00C50041"/>
    <w:rsid w:val="00C505E7"/>
    <w:rsid w:val="00C50E9D"/>
    <w:rsid w:val="00C52DB2"/>
    <w:rsid w:val="00C5314E"/>
    <w:rsid w:val="00C5337B"/>
    <w:rsid w:val="00C578A2"/>
    <w:rsid w:val="00C605A0"/>
    <w:rsid w:val="00C6081C"/>
    <w:rsid w:val="00C626D5"/>
    <w:rsid w:val="00C629E8"/>
    <w:rsid w:val="00C65041"/>
    <w:rsid w:val="00C651A6"/>
    <w:rsid w:val="00C65439"/>
    <w:rsid w:val="00C65808"/>
    <w:rsid w:val="00C662AB"/>
    <w:rsid w:val="00C6659A"/>
    <w:rsid w:val="00C6796A"/>
    <w:rsid w:val="00C7081D"/>
    <w:rsid w:val="00C71901"/>
    <w:rsid w:val="00C757EC"/>
    <w:rsid w:val="00C76E0A"/>
    <w:rsid w:val="00C77242"/>
    <w:rsid w:val="00C77B70"/>
    <w:rsid w:val="00C77EBD"/>
    <w:rsid w:val="00C82169"/>
    <w:rsid w:val="00C83927"/>
    <w:rsid w:val="00C84CAC"/>
    <w:rsid w:val="00C86758"/>
    <w:rsid w:val="00C87677"/>
    <w:rsid w:val="00C87DBE"/>
    <w:rsid w:val="00C90653"/>
    <w:rsid w:val="00C90E69"/>
    <w:rsid w:val="00C910C5"/>
    <w:rsid w:val="00C91941"/>
    <w:rsid w:val="00C92816"/>
    <w:rsid w:val="00C93309"/>
    <w:rsid w:val="00C93582"/>
    <w:rsid w:val="00C9358E"/>
    <w:rsid w:val="00C93E55"/>
    <w:rsid w:val="00C95657"/>
    <w:rsid w:val="00C95F91"/>
    <w:rsid w:val="00C96A8D"/>
    <w:rsid w:val="00C96B0B"/>
    <w:rsid w:val="00C96DB1"/>
    <w:rsid w:val="00C96FA9"/>
    <w:rsid w:val="00C9793F"/>
    <w:rsid w:val="00C97DE8"/>
    <w:rsid w:val="00C97ECD"/>
    <w:rsid w:val="00CA0455"/>
    <w:rsid w:val="00CA0B79"/>
    <w:rsid w:val="00CA10A3"/>
    <w:rsid w:val="00CA1A5F"/>
    <w:rsid w:val="00CA1B4A"/>
    <w:rsid w:val="00CA2C18"/>
    <w:rsid w:val="00CA313B"/>
    <w:rsid w:val="00CA31AB"/>
    <w:rsid w:val="00CA3337"/>
    <w:rsid w:val="00CA354A"/>
    <w:rsid w:val="00CA3F70"/>
    <w:rsid w:val="00CA4030"/>
    <w:rsid w:val="00CA52B6"/>
    <w:rsid w:val="00CA5945"/>
    <w:rsid w:val="00CA623E"/>
    <w:rsid w:val="00CA6400"/>
    <w:rsid w:val="00CA6C5E"/>
    <w:rsid w:val="00CA7588"/>
    <w:rsid w:val="00CB0AA7"/>
    <w:rsid w:val="00CB15E9"/>
    <w:rsid w:val="00CB1601"/>
    <w:rsid w:val="00CB2A85"/>
    <w:rsid w:val="00CB3D5A"/>
    <w:rsid w:val="00CB4B3F"/>
    <w:rsid w:val="00CB507B"/>
    <w:rsid w:val="00CB5C9E"/>
    <w:rsid w:val="00CC0494"/>
    <w:rsid w:val="00CC062F"/>
    <w:rsid w:val="00CC0AD8"/>
    <w:rsid w:val="00CC0D47"/>
    <w:rsid w:val="00CC1011"/>
    <w:rsid w:val="00CC11EA"/>
    <w:rsid w:val="00CC1D2A"/>
    <w:rsid w:val="00CC4040"/>
    <w:rsid w:val="00CC4052"/>
    <w:rsid w:val="00CC4584"/>
    <w:rsid w:val="00CC4738"/>
    <w:rsid w:val="00CC5896"/>
    <w:rsid w:val="00CC69D8"/>
    <w:rsid w:val="00CC6A3F"/>
    <w:rsid w:val="00CD03C1"/>
    <w:rsid w:val="00CD05B2"/>
    <w:rsid w:val="00CD15F4"/>
    <w:rsid w:val="00CD2894"/>
    <w:rsid w:val="00CD3183"/>
    <w:rsid w:val="00CD337A"/>
    <w:rsid w:val="00CD379E"/>
    <w:rsid w:val="00CD3C88"/>
    <w:rsid w:val="00CD3D3C"/>
    <w:rsid w:val="00CD400D"/>
    <w:rsid w:val="00CD449B"/>
    <w:rsid w:val="00CD4912"/>
    <w:rsid w:val="00CD6C2D"/>
    <w:rsid w:val="00CE07B1"/>
    <w:rsid w:val="00CE0F8F"/>
    <w:rsid w:val="00CE1173"/>
    <w:rsid w:val="00CE1E5C"/>
    <w:rsid w:val="00CE35A9"/>
    <w:rsid w:val="00CE39D1"/>
    <w:rsid w:val="00CE3A2D"/>
    <w:rsid w:val="00CE4328"/>
    <w:rsid w:val="00CE4484"/>
    <w:rsid w:val="00CE52B3"/>
    <w:rsid w:val="00CE5C57"/>
    <w:rsid w:val="00CE5CC3"/>
    <w:rsid w:val="00CE605E"/>
    <w:rsid w:val="00CE614E"/>
    <w:rsid w:val="00CE6B2B"/>
    <w:rsid w:val="00CE747E"/>
    <w:rsid w:val="00CF1378"/>
    <w:rsid w:val="00CF2B61"/>
    <w:rsid w:val="00CF2C09"/>
    <w:rsid w:val="00CF2FBD"/>
    <w:rsid w:val="00CF3D1A"/>
    <w:rsid w:val="00CF47D3"/>
    <w:rsid w:val="00CF5FF9"/>
    <w:rsid w:val="00CF600E"/>
    <w:rsid w:val="00CF666F"/>
    <w:rsid w:val="00CF6E37"/>
    <w:rsid w:val="00CF7467"/>
    <w:rsid w:val="00CF74B5"/>
    <w:rsid w:val="00D00095"/>
    <w:rsid w:val="00D039B8"/>
    <w:rsid w:val="00D03BFE"/>
    <w:rsid w:val="00D041C6"/>
    <w:rsid w:val="00D049D5"/>
    <w:rsid w:val="00D06221"/>
    <w:rsid w:val="00D06CD5"/>
    <w:rsid w:val="00D11E69"/>
    <w:rsid w:val="00D124D6"/>
    <w:rsid w:val="00D12D37"/>
    <w:rsid w:val="00D1337F"/>
    <w:rsid w:val="00D13A88"/>
    <w:rsid w:val="00D13D37"/>
    <w:rsid w:val="00D146C4"/>
    <w:rsid w:val="00D15174"/>
    <w:rsid w:val="00D15BDC"/>
    <w:rsid w:val="00D15F94"/>
    <w:rsid w:val="00D161EB"/>
    <w:rsid w:val="00D21423"/>
    <w:rsid w:val="00D21EA4"/>
    <w:rsid w:val="00D22004"/>
    <w:rsid w:val="00D2261A"/>
    <w:rsid w:val="00D236D8"/>
    <w:rsid w:val="00D23872"/>
    <w:rsid w:val="00D2416F"/>
    <w:rsid w:val="00D24B3D"/>
    <w:rsid w:val="00D24E80"/>
    <w:rsid w:val="00D25861"/>
    <w:rsid w:val="00D265A9"/>
    <w:rsid w:val="00D26836"/>
    <w:rsid w:val="00D30D68"/>
    <w:rsid w:val="00D30F8E"/>
    <w:rsid w:val="00D3124C"/>
    <w:rsid w:val="00D32D0A"/>
    <w:rsid w:val="00D33151"/>
    <w:rsid w:val="00D3320E"/>
    <w:rsid w:val="00D34058"/>
    <w:rsid w:val="00D34E78"/>
    <w:rsid w:val="00D351B4"/>
    <w:rsid w:val="00D356EC"/>
    <w:rsid w:val="00D35FCC"/>
    <w:rsid w:val="00D36A6F"/>
    <w:rsid w:val="00D411DE"/>
    <w:rsid w:val="00D41307"/>
    <w:rsid w:val="00D43BF0"/>
    <w:rsid w:val="00D44383"/>
    <w:rsid w:val="00D45802"/>
    <w:rsid w:val="00D45AAB"/>
    <w:rsid w:val="00D475A7"/>
    <w:rsid w:val="00D50602"/>
    <w:rsid w:val="00D506BC"/>
    <w:rsid w:val="00D5098D"/>
    <w:rsid w:val="00D50CC4"/>
    <w:rsid w:val="00D53D21"/>
    <w:rsid w:val="00D5404C"/>
    <w:rsid w:val="00D54AC9"/>
    <w:rsid w:val="00D551D9"/>
    <w:rsid w:val="00D557E4"/>
    <w:rsid w:val="00D562ED"/>
    <w:rsid w:val="00D56362"/>
    <w:rsid w:val="00D56679"/>
    <w:rsid w:val="00D577EB"/>
    <w:rsid w:val="00D579DF"/>
    <w:rsid w:val="00D57F5D"/>
    <w:rsid w:val="00D611D1"/>
    <w:rsid w:val="00D61521"/>
    <w:rsid w:val="00D6234F"/>
    <w:rsid w:val="00D623DE"/>
    <w:rsid w:val="00D62A59"/>
    <w:rsid w:val="00D62B0E"/>
    <w:rsid w:val="00D62D54"/>
    <w:rsid w:val="00D630F7"/>
    <w:rsid w:val="00D63FAE"/>
    <w:rsid w:val="00D644BC"/>
    <w:rsid w:val="00D645C9"/>
    <w:rsid w:val="00D64719"/>
    <w:rsid w:val="00D64A8F"/>
    <w:rsid w:val="00D66920"/>
    <w:rsid w:val="00D670A0"/>
    <w:rsid w:val="00D700CD"/>
    <w:rsid w:val="00D70BA2"/>
    <w:rsid w:val="00D70E0C"/>
    <w:rsid w:val="00D7111B"/>
    <w:rsid w:val="00D71490"/>
    <w:rsid w:val="00D72042"/>
    <w:rsid w:val="00D721FC"/>
    <w:rsid w:val="00D7226D"/>
    <w:rsid w:val="00D727B2"/>
    <w:rsid w:val="00D72B84"/>
    <w:rsid w:val="00D730F9"/>
    <w:rsid w:val="00D7388B"/>
    <w:rsid w:val="00D73CDD"/>
    <w:rsid w:val="00D7476C"/>
    <w:rsid w:val="00D74BE8"/>
    <w:rsid w:val="00D75110"/>
    <w:rsid w:val="00D762A5"/>
    <w:rsid w:val="00D77CEC"/>
    <w:rsid w:val="00D80D51"/>
    <w:rsid w:val="00D82AD3"/>
    <w:rsid w:val="00D840F8"/>
    <w:rsid w:val="00D84D2F"/>
    <w:rsid w:val="00D84F81"/>
    <w:rsid w:val="00D87AC0"/>
    <w:rsid w:val="00D87F17"/>
    <w:rsid w:val="00D910B1"/>
    <w:rsid w:val="00D9208F"/>
    <w:rsid w:val="00D92CC3"/>
    <w:rsid w:val="00D93116"/>
    <w:rsid w:val="00D93324"/>
    <w:rsid w:val="00D93A14"/>
    <w:rsid w:val="00D942F5"/>
    <w:rsid w:val="00D94487"/>
    <w:rsid w:val="00D9477A"/>
    <w:rsid w:val="00D95872"/>
    <w:rsid w:val="00D960C1"/>
    <w:rsid w:val="00D96F15"/>
    <w:rsid w:val="00DA04E6"/>
    <w:rsid w:val="00DA1017"/>
    <w:rsid w:val="00DA1045"/>
    <w:rsid w:val="00DA2223"/>
    <w:rsid w:val="00DA2331"/>
    <w:rsid w:val="00DA24F9"/>
    <w:rsid w:val="00DA2C5E"/>
    <w:rsid w:val="00DA33D0"/>
    <w:rsid w:val="00DA3FF5"/>
    <w:rsid w:val="00DA470C"/>
    <w:rsid w:val="00DA4CC1"/>
    <w:rsid w:val="00DA597C"/>
    <w:rsid w:val="00DA6A28"/>
    <w:rsid w:val="00DA6C86"/>
    <w:rsid w:val="00DA73BB"/>
    <w:rsid w:val="00DA7B7C"/>
    <w:rsid w:val="00DA7E18"/>
    <w:rsid w:val="00DB09FA"/>
    <w:rsid w:val="00DB0A4B"/>
    <w:rsid w:val="00DB1210"/>
    <w:rsid w:val="00DB17FF"/>
    <w:rsid w:val="00DB1E0E"/>
    <w:rsid w:val="00DB260C"/>
    <w:rsid w:val="00DB347F"/>
    <w:rsid w:val="00DB350A"/>
    <w:rsid w:val="00DB37FA"/>
    <w:rsid w:val="00DB64EA"/>
    <w:rsid w:val="00DB79D3"/>
    <w:rsid w:val="00DC0A72"/>
    <w:rsid w:val="00DC10C0"/>
    <w:rsid w:val="00DC163A"/>
    <w:rsid w:val="00DC41CC"/>
    <w:rsid w:val="00DC41F4"/>
    <w:rsid w:val="00DC4493"/>
    <w:rsid w:val="00DC59A5"/>
    <w:rsid w:val="00DC5D6D"/>
    <w:rsid w:val="00DC684C"/>
    <w:rsid w:val="00DD0707"/>
    <w:rsid w:val="00DD0BBD"/>
    <w:rsid w:val="00DD1146"/>
    <w:rsid w:val="00DD148A"/>
    <w:rsid w:val="00DD55AB"/>
    <w:rsid w:val="00DD570E"/>
    <w:rsid w:val="00DD6D78"/>
    <w:rsid w:val="00DD7240"/>
    <w:rsid w:val="00DE0649"/>
    <w:rsid w:val="00DE0B82"/>
    <w:rsid w:val="00DE0C86"/>
    <w:rsid w:val="00DE10FF"/>
    <w:rsid w:val="00DE29DD"/>
    <w:rsid w:val="00DE3EFE"/>
    <w:rsid w:val="00DE41F4"/>
    <w:rsid w:val="00DE42C3"/>
    <w:rsid w:val="00DE5BE1"/>
    <w:rsid w:val="00DE6E19"/>
    <w:rsid w:val="00DE73CB"/>
    <w:rsid w:val="00DE7960"/>
    <w:rsid w:val="00DE7F06"/>
    <w:rsid w:val="00DF09AC"/>
    <w:rsid w:val="00DF142F"/>
    <w:rsid w:val="00DF2D34"/>
    <w:rsid w:val="00DF2E3D"/>
    <w:rsid w:val="00DF2FE7"/>
    <w:rsid w:val="00DF3BCE"/>
    <w:rsid w:val="00DF43B7"/>
    <w:rsid w:val="00DF6439"/>
    <w:rsid w:val="00DF6A42"/>
    <w:rsid w:val="00DF7CAA"/>
    <w:rsid w:val="00DF7F45"/>
    <w:rsid w:val="00DF7FC1"/>
    <w:rsid w:val="00E00EA6"/>
    <w:rsid w:val="00E00EC0"/>
    <w:rsid w:val="00E01781"/>
    <w:rsid w:val="00E02915"/>
    <w:rsid w:val="00E0338C"/>
    <w:rsid w:val="00E04889"/>
    <w:rsid w:val="00E05C46"/>
    <w:rsid w:val="00E063A4"/>
    <w:rsid w:val="00E078EF"/>
    <w:rsid w:val="00E07A40"/>
    <w:rsid w:val="00E07EEF"/>
    <w:rsid w:val="00E10359"/>
    <w:rsid w:val="00E103E9"/>
    <w:rsid w:val="00E10BD5"/>
    <w:rsid w:val="00E10D08"/>
    <w:rsid w:val="00E10E93"/>
    <w:rsid w:val="00E115E3"/>
    <w:rsid w:val="00E116B2"/>
    <w:rsid w:val="00E11758"/>
    <w:rsid w:val="00E120C8"/>
    <w:rsid w:val="00E1286B"/>
    <w:rsid w:val="00E13396"/>
    <w:rsid w:val="00E1384C"/>
    <w:rsid w:val="00E13A20"/>
    <w:rsid w:val="00E13C25"/>
    <w:rsid w:val="00E13C94"/>
    <w:rsid w:val="00E13DB9"/>
    <w:rsid w:val="00E14215"/>
    <w:rsid w:val="00E15831"/>
    <w:rsid w:val="00E167C5"/>
    <w:rsid w:val="00E16AE0"/>
    <w:rsid w:val="00E17D59"/>
    <w:rsid w:val="00E201B2"/>
    <w:rsid w:val="00E20235"/>
    <w:rsid w:val="00E20524"/>
    <w:rsid w:val="00E208B1"/>
    <w:rsid w:val="00E20BBB"/>
    <w:rsid w:val="00E21104"/>
    <w:rsid w:val="00E228A3"/>
    <w:rsid w:val="00E22DEA"/>
    <w:rsid w:val="00E235FE"/>
    <w:rsid w:val="00E23E1A"/>
    <w:rsid w:val="00E2444C"/>
    <w:rsid w:val="00E24BB1"/>
    <w:rsid w:val="00E24E35"/>
    <w:rsid w:val="00E24F3A"/>
    <w:rsid w:val="00E24FC8"/>
    <w:rsid w:val="00E25405"/>
    <w:rsid w:val="00E26D89"/>
    <w:rsid w:val="00E274A0"/>
    <w:rsid w:val="00E27F39"/>
    <w:rsid w:val="00E3138B"/>
    <w:rsid w:val="00E31791"/>
    <w:rsid w:val="00E31802"/>
    <w:rsid w:val="00E33209"/>
    <w:rsid w:val="00E33AC7"/>
    <w:rsid w:val="00E34C94"/>
    <w:rsid w:val="00E34D09"/>
    <w:rsid w:val="00E357A1"/>
    <w:rsid w:val="00E36E5B"/>
    <w:rsid w:val="00E37127"/>
    <w:rsid w:val="00E37552"/>
    <w:rsid w:val="00E37C0D"/>
    <w:rsid w:val="00E40D55"/>
    <w:rsid w:val="00E412D4"/>
    <w:rsid w:val="00E429E2"/>
    <w:rsid w:val="00E431B2"/>
    <w:rsid w:val="00E44381"/>
    <w:rsid w:val="00E44A42"/>
    <w:rsid w:val="00E47032"/>
    <w:rsid w:val="00E4729B"/>
    <w:rsid w:val="00E478BA"/>
    <w:rsid w:val="00E5016F"/>
    <w:rsid w:val="00E51011"/>
    <w:rsid w:val="00E513B4"/>
    <w:rsid w:val="00E515C5"/>
    <w:rsid w:val="00E53A84"/>
    <w:rsid w:val="00E54165"/>
    <w:rsid w:val="00E55D78"/>
    <w:rsid w:val="00E561F3"/>
    <w:rsid w:val="00E56641"/>
    <w:rsid w:val="00E56977"/>
    <w:rsid w:val="00E56F0F"/>
    <w:rsid w:val="00E5702F"/>
    <w:rsid w:val="00E60235"/>
    <w:rsid w:val="00E60809"/>
    <w:rsid w:val="00E60AE0"/>
    <w:rsid w:val="00E61390"/>
    <w:rsid w:val="00E63232"/>
    <w:rsid w:val="00E63C72"/>
    <w:rsid w:val="00E643EF"/>
    <w:rsid w:val="00E65332"/>
    <w:rsid w:val="00E66B22"/>
    <w:rsid w:val="00E67989"/>
    <w:rsid w:val="00E67B5D"/>
    <w:rsid w:val="00E67D7B"/>
    <w:rsid w:val="00E7031B"/>
    <w:rsid w:val="00E70382"/>
    <w:rsid w:val="00E7096E"/>
    <w:rsid w:val="00E70F11"/>
    <w:rsid w:val="00E7101D"/>
    <w:rsid w:val="00E71E9A"/>
    <w:rsid w:val="00E72368"/>
    <w:rsid w:val="00E728DD"/>
    <w:rsid w:val="00E72E17"/>
    <w:rsid w:val="00E7348F"/>
    <w:rsid w:val="00E74DE7"/>
    <w:rsid w:val="00E77867"/>
    <w:rsid w:val="00E77E8E"/>
    <w:rsid w:val="00E80994"/>
    <w:rsid w:val="00E81F3E"/>
    <w:rsid w:val="00E83BC1"/>
    <w:rsid w:val="00E84540"/>
    <w:rsid w:val="00E8495D"/>
    <w:rsid w:val="00E852ED"/>
    <w:rsid w:val="00E863DD"/>
    <w:rsid w:val="00E874F4"/>
    <w:rsid w:val="00E876F6"/>
    <w:rsid w:val="00E87826"/>
    <w:rsid w:val="00E87D39"/>
    <w:rsid w:val="00E87EAC"/>
    <w:rsid w:val="00E90436"/>
    <w:rsid w:val="00E90920"/>
    <w:rsid w:val="00E934FA"/>
    <w:rsid w:val="00E93510"/>
    <w:rsid w:val="00E93CD9"/>
    <w:rsid w:val="00E93F3B"/>
    <w:rsid w:val="00E962E2"/>
    <w:rsid w:val="00E97539"/>
    <w:rsid w:val="00E979F4"/>
    <w:rsid w:val="00E97ADC"/>
    <w:rsid w:val="00E97D9C"/>
    <w:rsid w:val="00EA0281"/>
    <w:rsid w:val="00EA09F2"/>
    <w:rsid w:val="00EA2899"/>
    <w:rsid w:val="00EA2C01"/>
    <w:rsid w:val="00EA30F2"/>
    <w:rsid w:val="00EA313D"/>
    <w:rsid w:val="00EA4821"/>
    <w:rsid w:val="00EA4966"/>
    <w:rsid w:val="00EA49BD"/>
    <w:rsid w:val="00EA4C49"/>
    <w:rsid w:val="00EA4FC0"/>
    <w:rsid w:val="00EA602D"/>
    <w:rsid w:val="00EA62FE"/>
    <w:rsid w:val="00EA6E83"/>
    <w:rsid w:val="00EA6F00"/>
    <w:rsid w:val="00EB08C6"/>
    <w:rsid w:val="00EB1512"/>
    <w:rsid w:val="00EB2762"/>
    <w:rsid w:val="00EB3CAF"/>
    <w:rsid w:val="00EB3DA7"/>
    <w:rsid w:val="00EB4119"/>
    <w:rsid w:val="00EB42C2"/>
    <w:rsid w:val="00EB4390"/>
    <w:rsid w:val="00EB4CA1"/>
    <w:rsid w:val="00EB5668"/>
    <w:rsid w:val="00EB64E9"/>
    <w:rsid w:val="00EB6691"/>
    <w:rsid w:val="00EC0908"/>
    <w:rsid w:val="00EC143C"/>
    <w:rsid w:val="00EC1E72"/>
    <w:rsid w:val="00EC20C2"/>
    <w:rsid w:val="00EC2D0C"/>
    <w:rsid w:val="00EC3FC1"/>
    <w:rsid w:val="00EC41C5"/>
    <w:rsid w:val="00EC4262"/>
    <w:rsid w:val="00EC50FB"/>
    <w:rsid w:val="00EC7069"/>
    <w:rsid w:val="00ED0461"/>
    <w:rsid w:val="00ED13F7"/>
    <w:rsid w:val="00ED14C1"/>
    <w:rsid w:val="00ED1C68"/>
    <w:rsid w:val="00ED2061"/>
    <w:rsid w:val="00ED21A3"/>
    <w:rsid w:val="00ED2AAC"/>
    <w:rsid w:val="00ED2F75"/>
    <w:rsid w:val="00ED3401"/>
    <w:rsid w:val="00ED3A04"/>
    <w:rsid w:val="00ED5A55"/>
    <w:rsid w:val="00ED5E0F"/>
    <w:rsid w:val="00ED6EA9"/>
    <w:rsid w:val="00ED7D28"/>
    <w:rsid w:val="00EE09CE"/>
    <w:rsid w:val="00EE279C"/>
    <w:rsid w:val="00EE304E"/>
    <w:rsid w:val="00EE4ADE"/>
    <w:rsid w:val="00EE5418"/>
    <w:rsid w:val="00EE5523"/>
    <w:rsid w:val="00EE58B5"/>
    <w:rsid w:val="00EE617B"/>
    <w:rsid w:val="00EE7438"/>
    <w:rsid w:val="00EE769E"/>
    <w:rsid w:val="00EE7844"/>
    <w:rsid w:val="00EF2043"/>
    <w:rsid w:val="00EF2629"/>
    <w:rsid w:val="00EF26FC"/>
    <w:rsid w:val="00EF271A"/>
    <w:rsid w:val="00EF3F87"/>
    <w:rsid w:val="00EF570A"/>
    <w:rsid w:val="00EF5B54"/>
    <w:rsid w:val="00EF6662"/>
    <w:rsid w:val="00F004C5"/>
    <w:rsid w:val="00F006D2"/>
    <w:rsid w:val="00F00873"/>
    <w:rsid w:val="00F013D7"/>
    <w:rsid w:val="00F02A7D"/>
    <w:rsid w:val="00F02BF9"/>
    <w:rsid w:val="00F0351C"/>
    <w:rsid w:val="00F04277"/>
    <w:rsid w:val="00F0475B"/>
    <w:rsid w:val="00F058A4"/>
    <w:rsid w:val="00F065E7"/>
    <w:rsid w:val="00F0734C"/>
    <w:rsid w:val="00F078D2"/>
    <w:rsid w:val="00F07D8C"/>
    <w:rsid w:val="00F113C1"/>
    <w:rsid w:val="00F11476"/>
    <w:rsid w:val="00F116D6"/>
    <w:rsid w:val="00F1178A"/>
    <w:rsid w:val="00F11BAA"/>
    <w:rsid w:val="00F132F2"/>
    <w:rsid w:val="00F14B75"/>
    <w:rsid w:val="00F14DFD"/>
    <w:rsid w:val="00F15323"/>
    <w:rsid w:val="00F168BE"/>
    <w:rsid w:val="00F17834"/>
    <w:rsid w:val="00F201CF"/>
    <w:rsid w:val="00F20247"/>
    <w:rsid w:val="00F20945"/>
    <w:rsid w:val="00F21CC5"/>
    <w:rsid w:val="00F21D2D"/>
    <w:rsid w:val="00F22A84"/>
    <w:rsid w:val="00F238AD"/>
    <w:rsid w:val="00F23AA2"/>
    <w:rsid w:val="00F257C5"/>
    <w:rsid w:val="00F25B9B"/>
    <w:rsid w:val="00F261BD"/>
    <w:rsid w:val="00F2778D"/>
    <w:rsid w:val="00F30713"/>
    <w:rsid w:val="00F30801"/>
    <w:rsid w:val="00F32CB0"/>
    <w:rsid w:val="00F330AB"/>
    <w:rsid w:val="00F3389C"/>
    <w:rsid w:val="00F33C4E"/>
    <w:rsid w:val="00F3409A"/>
    <w:rsid w:val="00F34896"/>
    <w:rsid w:val="00F35B70"/>
    <w:rsid w:val="00F36915"/>
    <w:rsid w:val="00F3797E"/>
    <w:rsid w:val="00F40AFF"/>
    <w:rsid w:val="00F42BD8"/>
    <w:rsid w:val="00F43201"/>
    <w:rsid w:val="00F433DB"/>
    <w:rsid w:val="00F43406"/>
    <w:rsid w:val="00F4422A"/>
    <w:rsid w:val="00F444A0"/>
    <w:rsid w:val="00F44D37"/>
    <w:rsid w:val="00F452C8"/>
    <w:rsid w:val="00F454A3"/>
    <w:rsid w:val="00F470CC"/>
    <w:rsid w:val="00F50994"/>
    <w:rsid w:val="00F51B7C"/>
    <w:rsid w:val="00F531A3"/>
    <w:rsid w:val="00F53446"/>
    <w:rsid w:val="00F53BE5"/>
    <w:rsid w:val="00F53D4B"/>
    <w:rsid w:val="00F548C4"/>
    <w:rsid w:val="00F551DB"/>
    <w:rsid w:val="00F55B2C"/>
    <w:rsid w:val="00F56345"/>
    <w:rsid w:val="00F57C2E"/>
    <w:rsid w:val="00F61715"/>
    <w:rsid w:val="00F61A93"/>
    <w:rsid w:val="00F63311"/>
    <w:rsid w:val="00F63BA2"/>
    <w:rsid w:val="00F653DA"/>
    <w:rsid w:val="00F654F0"/>
    <w:rsid w:val="00F664DD"/>
    <w:rsid w:val="00F667C1"/>
    <w:rsid w:val="00F66F35"/>
    <w:rsid w:val="00F6706C"/>
    <w:rsid w:val="00F67629"/>
    <w:rsid w:val="00F707A4"/>
    <w:rsid w:val="00F70AD0"/>
    <w:rsid w:val="00F7207D"/>
    <w:rsid w:val="00F72CBE"/>
    <w:rsid w:val="00F72F73"/>
    <w:rsid w:val="00F7376B"/>
    <w:rsid w:val="00F73838"/>
    <w:rsid w:val="00F7414D"/>
    <w:rsid w:val="00F74611"/>
    <w:rsid w:val="00F757B4"/>
    <w:rsid w:val="00F8041C"/>
    <w:rsid w:val="00F80F3C"/>
    <w:rsid w:val="00F81FB3"/>
    <w:rsid w:val="00F821AB"/>
    <w:rsid w:val="00F824C2"/>
    <w:rsid w:val="00F83EFB"/>
    <w:rsid w:val="00F87149"/>
    <w:rsid w:val="00F903C1"/>
    <w:rsid w:val="00F90B92"/>
    <w:rsid w:val="00F9127B"/>
    <w:rsid w:val="00F9192D"/>
    <w:rsid w:val="00F91EC8"/>
    <w:rsid w:val="00F92DC7"/>
    <w:rsid w:val="00F936F0"/>
    <w:rsid w:val="00F96952"/>
    <w:rsid w:val="00F96BCC"/>
    <w:rsid w:val="00F97736"/>
    <w:rsid w:val="00FA0E4D"/>
    <w:rsid w:val="00FA1791"/>
    <w:rsid w:val="00FA19EE"/>
    <w:rsid w:val="00FA2E4E"/>
    <w:rsid w:val="00FA355F"/>
    <w:rsid w:val="00FA3F41"/>
    <w:rsid w:val="00FA4095"/>
    <w:rsid w:val="00FA4456"/>
    <w:rsid w:val="00FA4A4D"/>
    <w:rsid w:val="00FA5CAC"/>
    <w:rsid w:val="00FA5D70"/>
    <w:rsid w:val="00FA68D6"/>
    <w:rsid w:val="00FA68EA"/>
    <w:rsid w:val="00FA6C74"/>
    <w:rsid w:val="00FA7496"/>
    <w:rsid w:val="00FA76D1"/>
    <w:rsid w:val="00FA7BBF"/>
    <w:rsid w:val="00FB14CD"/>
    <w:rsid w:val="00FB388E"/>
    <w:rsid w:val="00FB4A78"/>
    <w:rsid w:val="00FB543A"/>
    <w:rsid w:val="00FB548C"/>
    <w:rsid w:val="00FB6188"/>
    <w:rsid w:val="00FB6C2D"/>
    <w:rsid w:val="00FB7538"/>
    <w:rsid w:val="00FB7818"/>
    <w:rsid w:val="00FB7C7F"/>
    <w:rsid w:val="00FC0203"/>
    <w:rsid w:val="00FC0223"/>
    <w:rsid w:val="00FC0598"/>
    <w:rsid w:val="00FC0B73"/>
    <w:rsid w:val="00FC10B1"/>
    <w:rsid w:val="00FC2799"/>
    <w:rsid w:val="00FC34AB"/>
    <w:rsid w:val="00FC4762"/>
    <w:rsid w:val="00FC64D0"/>
    <w:rsid w:val="00FC6F9E"/>
    <w:rsid w:val="00FC6FF0"/>
    <w:rsid w:val="00FC7B42"/>
    <w:rsid w:val="00FC7C94"/>
    <w:rsid w:val="00FD0E8C"/>
    <w:rsid w:val="00FD16B4"/>
    <w:rsid w:val="00FD3C11"/>
    <w:rsid w:val="00FD47AE"/>
    <w:rsid w:val="00FD5D05"/>
    <w:rsid w:val="00FD60AF"/>
    <w:rsid w:val="00FD65B1"/>
    <w:rsid w:val="00FD6775"/>
    <w:rsid w:val="00FE0477"/>
    <w:rsid w:val="00FE0C36"/>
    <w:rsid w:val="00FE0FAF"/>
    <w:rsid w:val="00FE1516"/>
    <w:rsid w:val="00FE75D8"/>
    <w:rsid w:val="00FF02FD"/>
    <w:rsid w:val="00FF03B2"/>
    <w:rsid w:val="00FF12FB"/>
    <w:rsid w:val="00FF1382"/>
    <w:rsid w:val="00FF148F"/>
    <w:rsid w:val="00FF16C5"/>
    <w:rsid w:val="00FF1735"/>
    <w:rsid w:val="00FF24C9"/>
    <w:rsid w:val="00FF24EF"/>
    <w:rsid w:val="00FF2BC4"/>
    <w:rsid w:val="00FF3F81"/>
    <w:rsid w:val="00FF4202"/>
    <w:rsid w:val="00FF4352"/>
    <w:rsid w:val="00FF4955"/>
    <w:rsid w:val="00FF4AB9"/>
    <w:rsid w:val="00FF6BCA"/>
    <w:rsid w:val="00FF6F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84673"/>
    <o:shapelayout v:ext="edit">
      <o:idmap v:ext="edit" data="1"/>
    </o:shapelayout>
  </w:shapeDefaults>
  <w:decimalSymbol w:val="."/>
  <w:listSeparator w:val=","/>
  <w14:docId w14:val="76AFDD65"/>
  <w15:docId w15:val="{34CD8950-4A90-420D-B8E2-CD418386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804"/>
    <w:pPr>
      <w:tabs>
        <w:tab w:val="left" w:pos="425"/>
      </w:tabs>
      <w:spacing w:after="0" w:line="240" w:lineRule="auto"/>
      <w:jc w:val="both"/>
    </w:pPr>
    <w:rPr>
      <w:rFonts w:ascii="Times New Roman" w:hAnsi="Times New Roman"/>
      <w:sz w:val="20"/>
    </w:rPr>
  </w:style>
  <w:style w:type="paragraph" w:styleId="Heading1">
    <w:name w:val="heading 1"/>
    <w:basedOn w:val="Normal"/>
    <w:next w:val="Normal"/>
    <w:link w:val="Heading1Char"/>
    <w:uiPriority w:val="9"/>
    <w:qFormat/>
    <w:rsid w:val="00566DB0"/>
    <w:pPr>
      <w:keepNext/>
      <w:keepLines/>
      <w:ind w:left="-567"/>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6E13A9"/>
    <w:pPr>
      <w:keepNext/>
      <w:keepLines/>
      <w:outlineLvl w:val="1"/>
    </w:pPr>
    <w:rPr>
      <w:rFonts w:eastAsiaTheme="majorEastAsia" w:cstheme="majorBidi"/>
      <w:b/>
      <w:bCs/>
      <w:sz w:val="24"/>
      <w:szCs w:val="26"/>
    </w:rPr>
  </w:style>
  <w:style w:type="paragraph" w:styleId="Heading3">
    <w:name w:val="heading 3"/>
    <w:basedOn w:val="Normal"/>
    <w:next w:val="Normal"/>
    <w:link w:val="Heading3Char"/>
    <w:autoRedefine/>
    <w:uiPriority w:val="9"/>
    <w:unhideWhenUsed/>
    <w:qFormat/>
    <w:rsid w:val="00E90920"/>
    <w:pPr>
      <w:keepNext/>
      <w:keepLines/>
      <w:spacing w:after="120"/>
      <w:outlineLvl w:val="2"/>
    </w:pPr>
    <w:rPr>
      <w:rFonts w:eastAsia="Open Sans" w:cstheme="majorBidi"/>
      <w:b/>
      <w:bCs/>
      <w:i/>
    </w:rPr>
  </w:style>
  <w:style w:type="paragraph" w:styleId="Heading4">
    <w:name w:val="heading 4"/>
    <w:basedOn w:val="Normal"/>
    <w:next w:val="Normal"/>
    <w:link w:val="Heading4Char"/>
    <w:autoRedefine/>
    <w:uiPriority w:val="9"/>
    <w:unhideWhenUsed/>
    <w:qFormat/>
    <w:rsid w:val="00B7162D"/>
    <w:pPr>
      <w:keepNext/>
      <w:keepLines/>
      <w:spacing w:after="12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763F0"/>
    <w:rPr>
      <w:szCs w:val="20"/>
    </w:rPr>
  </w:style>
  <w:style w:type="character" w:customStyle="1" w:styleId="FootnoteTextChar">
    <w:name w:val="Footnote Text Char"/>
    <w:basedOn w:val="DefaultParagraphFont"/>
    <w:link w:val="FootnoteText"/>
    <w:uiPriority w:val="99"/>
    <w:rsid w:val="001763F0"/>
    <w:rPr>
      <w:sz w:val="20"/>
      <w:szCs w:val="20"/>
    </w:rPr>
  </w:style>
  <w:style w:type="character" w:styleId="FootnoteReference">
    <w:name w:val="footnote reference"/>
    <w:basedOn w:val="DefaultParagraphFont"/>
    <w:unhideWhenUsed/>
    <w:rsid w:val="001763F0"/>
    <w:rPr>
      <w:vertAlign w:val="superscript"/>
    </w:rPr>
  </w:style>
  <w:style w:type="character" w:styleId="Hyperlink">
    <w:name w:val="Hyperlink"/>
    <w:basedOn w:val="DefaultParagraphFont"/>
    <w:uiPriority w:val="99"/>
    <w:unhideWhenUsed/>
    <w:rsid w:val="001763F0"/>
    <w:rPr>
      <w:color w:val="0000FF" w:themeColor="hyperlink"/>
      <w:u w:val="single"/>
    </w:rPr>
  </w:style>
  <w:style w:type="paragraph" w:styleId="ListParagraph">
    <w:name w:val="List Paragraph"/>
    <w:basedOn w:val="Normal"/>
    <w:uiPriority w:val="34"/>
    <w:qFormat/>
    <w:rsid w:val="00AD7F41"/>
    <w:pPr>
      <w:ind w:left="720"/>
      <w:contextualSpacing/>
    </w:pPr>
  </w:style>
  <w:style w:type="paragraph" w:customStyle="1" w:styleId="Default">
    <w:name w:val="Default"/>
    <w:rsid w:val="000D4D4B"/>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153E18"/>
    <w:pPr>
      <w:tabs>
        <w:tab w:val="center" w:pos="4513"/>
        <w:tab w:val="right" w:pos="9026"/>
      </w:tabs>
    </w:pPr>
  </w:style>
  <w:style w:type="character" w:customStyle="1" w:styleId="HeaderChar">
    <w:name w:val="Header Char"/>
    <w:basedOn w:val="DefaultParagraphFont"/>
    <w:link w:val="Header"/>
    <w:uiPriority w:val="99"/>
    <w:rsid w:val="00153E18"/>
  </w:style>
  <w:style w:type="paragraph" w:styleId="Footer">
    <w:name w:val="footer"/>
    <w:basedOn w:val="Normal"/>
    <w:link w:val="FooterChar"/>
    <w:uiPriority w:val="99"/>
    <w:unhideWhenUsed/>
    <w:rsid w:val="00153E18"/>
    <w:pPr>
      <w:tabs>
        <w:tab w:val="center" w:pos="4513"/>
        <w:tab w:val="right" w:pos="9026"/>
      </w:tabs>
    </w:pPr>
  </w:style>
  <w:style w:type="character" w:customStyle="1" w:styleId="FooterChar">
    <w:name w:val="Footer Char"/>
    <w:basedOn w:val="DefaultParagraphFont"/>
    <w:link w:val="Footer"/>
    <w:uiPriority w:val="99"/>
    <w:rsid w:val="00153E18"/>
  </w:style>
  <w:style w:type="paragraph" w:styleId="BalloonText">
    <w:name w:val="Balloon Text"/>
    <w:basedOn w:val="Normal"/>
    <w:link w:val="BalloonTextChar"/>
    <w:uiPriority w:val="99"/>
    <w:semiHidden/>
    <w:unhideWhenUsed/>
    <w:rsid w:val="00B92EBD"/>
    <w:rPr>
      <w:rFonts w:ascii="Tahoma" w:hAnsi="Tahoma" w:cs="Tahoma"/>
      <w:sz w:val="16"/>
      <w:szCs w:val="16"/>
    </w:rPr>
  </w:style>
  <w:style w:type="character" w:customStyle="1" w:styleId="BalloonTextChar">
    <w:name w:val="Balloon Text Char"/>
    <w:basedOn w:val="DefaultParagraphFont"/>
    <w:link w:val="BalloonText"/>
    <w:uiPriority w:val="99"/>
    <w:semiHidden/>
    <w:rsid w:val="00B92EBD"/>
    <w:rPr>
      <w:rFonts w:ascii="Tahoma" w:hAnsi="Tahoma" w:cs="Tahoma"/>
      <w:sz w:val="16"/>
      <w:szCs w:val="16"/>
    </w:rPr>
  </w:style>
  <w:style w:type="character" w:styleId="FollowedHyperlink">
    <w:name w:val="FollowedHyperlink"/>
    <w:basedOn w:val="DefaultParagraphFont"/>
    <w:uiPriority w:val="99"/>
    <w:semiHidden/>
    <w:unhideWhenUsed/>
    <w:rsid w:val="001D2465"/>
    <w:rPr>
      <w:color w:val="800080" w:themeColor="followedHyperlink"/>
      <w:u w:val="single"/>
    </w:rPr>
  </w:style>
  <w:style w:type="character" w:customStyle="1" w:styleId="Heading1Char">
    <w:name w:val="Heading 1 Char"/>
    <w:basedOn w:val="DefaultParagraphFont"/>
    <w:link w:val="Heading1"/>
    <w:uiPriority w:val="9"/>
    <w:rsid w:val="00566DB0"/>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6E13A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E90920"/>
    <w:rPr>
      <w:rFonts w:ascii="Times New Roman" w:eastAsia="Open Sans" w:hAnsi="Times New Roman" w:cstheme="majorBidi"/>
      <w:b/>
      <w:bCs/>
      <w:i/>
      <w:sz w:val="20"/>
    </w:rPr>
  </w:style>
  <w:style w:type="character" w:customStyle="1" w:styleId="Heading4Char">
    <w:name w:val="Heading 4 Char"/>
    <w:basedOn w:val="DefaultParagraphFont"/>
    <w:link w:val="Heading4"/>
    <w:uiPriority w:val="9"/>
    <w:rsid w:val="00B7162D"/>
    <w:rPr>
      <w:rFonts w:ascii="Times New Roman" w:eastAsiaTheme="majorEastAsia" w:hAnsi="Times New Roman" w:cstheme="majorBidi"/>
      <w:bCs/>
      <w:i/>
      <w:iCs/>
      <w:sz w:val="20"/>
    </w:rPr>
  </w:style>
  <w:style w:type="paragraph" w:styleId="NormalWeb">
    <w:name w:val="Normal (Web)"/>
    <w:basedOn w:val="Normal"/>
    <w:uiPriority w:val="99"/>
    <w:unhideWhenUsed/>
    <w:rsid w:val="002E7F9E"/>
    <w:pPr>
      <w:spacing w:before="100" w:beforeAutospacing="1" w:after="100" w:afterAutospacing="1"/>
    </w:pPr>
    <w:rPr>
      <w:rFonts w:eastAsia="Times New Roman" w:cs="Times New Roman"/>
      <w:sz w:val="24"/>
      <w:szCs w:val="24"/>
      <w:lang w:eastAsia="en-GB"/>
    </w:rPr>
  </w:style>
  <w:style w:type="paragraph" w:styleId="TOC1">
    <w:name w:val="toc 1"/>
    <w:basedOn w:val="Normal"/>
    <w:next w:val="Normal"/>
    <w:autoRedefine/>
    <w:uiPriority w:val="39"/>
    <w:unhideWhenUsed/>
    <w:rsid w:val="00DB350A"/>
    <w:pPr>
      <w:tabs>
        <w:tab w:val="clear" w:pos="425"/>
        <w:tab w:val="left" w:pos="426"/>
        <w:tab w:val="right" w:leader="dot" w:pos="7655"/>
      </w:tabs>
      <w:ind w:right="284"/>
    </w:pPr>
    <w:rPr>
      <w:rFonts w:cs="Times New Roman"/>
      <w:b/>
      <w:bCs/>
      <w:noProof/>
      <w:szCs w:val="20"/>
    </w:rPr>
  </w:style>
  <w:style w:type="paragraph" w:styleId="TOC2">
    <w:name w:val="toc 2"/>
    <w:basedOn w:val="Normal"/>
    <w:next w:val="Normal"/>
    <w:autoRedefine/>
    <w:uiPriority w:val="39"/>
    <w:unhideWhenUsed/>
    <w:rsid w:val="00361FFD"/>
    <w:pPr>
      <w:tabs>
        <w:tab w:val="clear" w:pos="425"/>
        <w:tab w:val="left" w:pos="709"/>
        <w:tab w:val="right" w:leader="dot" w:pos="7655"/>
      </w:tabs>
      <w:spacing w:before="120" w:after="120"/>
      <w:ind w:left="426"/>
    </w:pPr>
    <w:rPr>
      <w:rFonts w:cs="Times New Roman"/>
      <w:noProof/>
      <w:szCs w:val="20"/>
    </w:rPr>
  </w:style>
  <w:style w:type="paragraph" w:styleId="TOC3">
    <w:name w:val="toc 3"/>
    <w:basedOn w:val="Normal"/>
    <w:next w:val="Normal"/>
    <w:autoRedefine/>
    <w:uiPriority w:val="39"/>
    <w:unhideWhenUsed/>
    <w:rsid w:val="00351F0D"/>
    <w:pPr>
      <w:ind w:left="440"/>
    </w:pPr>
    <w:rPr>
      <w:rFonts w:asciiTheme="minorHAnsi" w:hAnsiTheme="minorHAnsi"/>
      <w:i/>
      <w:iCs/>
      <w:szCs w:val="20"/>
    </w:rPr>
  </w:style>
  <w:style w:type="paragraph" w:styleId="TOC4">
    <w:name w:val="toc 4"/>
    <w:basedOn w:val="Normal"/>
    <w:next w:val="Normal"/>
    <w:autoRedefine/>
    <w:uiPriority w:val="39"/>
    <w:unhideWhenUsed/>
    <w:rsid w:val="00351F0D"/>
    <w:pPr>
      <w:ind w:left="660"/>
    </w:pPr>
    <w:rPr>
      <w:rFonts w:asciiTheme="minorHAnsi" w:hAnsiTheme="minorHAnsi"/>
      <w:sz w:val="18"/>
      <w:szCs w:val="18"/>
    </w:rPr>
  </w:style>
  <w:style w:type="paragraph" w:styleId="TOC5">
    <w:name w:val="toc 5"/>
    <w:basedOn w:val="Normal"/>
    <w:next w:val="Normal"/>
    <w:autoRedefine/>
    <w:uiPriority w:val="39"/>
    <w:unhideWhenUsed/>
    <w:rsid w:val="00351F0D"/>
    <w:pPr>
      <w:ind w:left="880"/>
    </w:pPr>
    <w:rPr>
      <w:rFonts w:asciiTheme="minorHAnsi" w:hAnsiTheme="minorHAnsi"/>
      <w:sz w:val="18"/>
      <w:szCs w:val="18"/>
    </w:rPr>
  </w:style>
  <w:style w:type="paragraph" w:styleId="TOC6">
    <w:name w:val="toc 6"/>
    <w:basedOn w:val="Normal"/>
    <w:next w:val="Normal"/>
    <w:autoRedefine/>
    <w:uiPriority w:val="39"/>
    <w:unhideWhenUsed/>
    <w:rsid w:val="00351F0D"/>
    <w:pPr>
      <w:ind w:left="1100"/>
    </w:pPr>
    <w:rPr>
      <w:rFonts w:asciiTheme="minorHAnsi" w:hAnsiTheme="minorHAnsi"/>
      <w:sz w:val="18"/>
      <w:szCs w:val="18"/>
    </w:rPr>
  </w:style>
  <w:style w:type="paragraph" w:styleId="TOC7">
    <w:name w:val="toc 7"/>
    <w:basedOn w:val="Normal"/>
    <w:next w:val="Normal"/>
    <w:autoRedefine/>
    <w:uiPriority w:val="39"/>
    <w:unhideWhenUsed/>
    <w:rsid w:val="00351F0D"/>
    <w:pPr>
      <w:ind w:left="1320"/>
    </w:pPr>
    <w:rPr>
      <w:rFonts w:asciiTheme="minorHAnsi" w:hAnsiTheme="minorHAnsi"/>
      <w:sz w:val="18"/>
      <w:szCs w:val="18"/>
    </w:rPr>
  </w:style>
  <w:style w:type="paragraph" w:styleId="TOC8">
    <w:name w:val="toc 8"/>
    <w:basedOn w:val="Normal"/>
    <w:next w:val="Normal"/>
    <w:autoRedefine/>
    <w:uiPriority w:val="39"/>
    <w:unhideWhenUsed/>
    <w:rsid w:val="00351F0D"/>
    <w:pPr>
      <w:ind w:left="1540"/>
    </w:pPr>
    <w:rPr>
      <w:rFonts w:asciiTheme="minorHAnsi" w:hAnsiTheme="minorHAnsi"/>
      <w:sz w:val="18"/>
      <w:szCs w:val="18"/>
    </w:rPr>
  </w:style>
  <w:style w:type="paragraph" w:styleId="TOC9">
    <w:name w:val="toc 9"/>
    <w:basedOn w:val="Normal"/>
    <w:next w:val="Normal"/>
    <w:autoRedefine/>
    <w:uiPriority w:val="39"/>
    <w:unhideWhenUsed/>
    <w:rsid w:val="00351F0D"/>
    <w:pPr>
      <w:ind w:left="1760"/>
    </w:pPr>
    <w:rPr>
      <w:rFonts w:asciiTheme="minorHAnsi" w:hAnsiTheme="minorHAnsi"/>
      <w:sz w:val="18"/>
      <w:szCs w:val="18"/>
    </w:rPr>
  </w:style>
  <w:style w:type="character" w:styleId="CommentReference">
    <w:name w:val="annotation reference"/>
    <w:basedOn w:val="DefaultParagraphFont"/>
    <w:uiPriority w:val="99"/>
    <w:semiHidden/>
    <w:unhideWhenUsed/>
    <w:rsid w:val="009D5914"/>
    <w:rPr>
      <w:sz w:val="16"/>
      <w:szCs w:val="16"/>
    </w:rPr>
  </w:style>
  <w:style w:type="paragraph" w:styleId="CommentText">
    <w:name w:val="annotation text"/>
    <w:basedOn w:val="Normal"/>
    <w:link w:val="CommentTextChar"/>
    <w:uiPriority w:val="99"/>
    <w:semiHidden/>
    <w:unhideWhenUsed/>
    <w:rsid w:val="009D5914"/>
    <w:rPr>
      <w:szCs w:val="20"/>
    </w:rPr>
  </w:style>
  <w:style w:type="character" w:customStyle="1" w:styleId="CommentTextChar">
    <w:name w:val="Comment Text Char"/>
    <w:basedOn w:val="DefaultParagraphFont"/>
    <w:link w:val="CommentText"/>
    <w:uiPriority w:val="99"/>
    <w:semiHidden/>
    <w:rsid w:val="009D591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5914"/>
    <w:rPr>
      <w:b/>
      <w:bCs/>
    </w:rPr>
  </w:style>
  <w:style w:type="character" w:customStyle="1" w:styleId="CommentSubjectChar">
    <w:name w:val="Comment Subject Char"/>
    <w:basedOn w:val="CommentTextChar"/>
    <w:link w:val="CommentSubject"/>
    <w:uiPriority w:val="99"/>
    <w:semiHidden/>
    <w:rsid w:val="009D5914"/>
    <w:rPr>
      <w:rFonts w:ascii="Times New Roman" w:hAnsi="Times New Roman"/>
      <w:b/>
      <w:bCs/>
      <w:sz w:val="20"/>
      <w:szCs w:val="20"/>
    </w:rPr>
  </w:style>
  <w:style w:type="paragraph" w:styleId="Revision">
    <w:name w:val="Revision"/>
    <w:hidden/>
    <w:uiPriority w:val="99"/>
    <w:semiHidden/>
    <w:rsid w:val="00AD11D0"/>
    <w:pPr>
      <w:spacing w:after="0" w:line="240" w:lineRule="auto"/>
    </w:pPr>
    <w:rPr>
      <w:rFonts w:ascii="Times New Roman" w:hAnsi="Times New Roman"/>
      <w:sz w:val="20"/>
    </w:rPr>
  </w:style>
  <w:style w:type="character" w:styleId="SubtleEmphasis">
    <w:name w:val="Subtle Emphasis"/>
    <w:basedOn w:val="DefaultParagraphFont"/>
    <w:uiPriority w:val="19"/>
    <w:qFormat/>
    <w:rsid w:val="00331CC1"/>
    <w:rPr>
      <w:i/>
      <w:iCs/>
      <w:color w:val="404040" w:themeColor="text1" w:themeTint="BF"/>
    </w:rPr>
  </w:style>
  <w:style w:type="character" w:customStyle="1" w:styleId="gmaildefault">
    <w:name w:val="gmail_default"/>
    <w:basedOn w:val="DefaultParagraphFont"/>
    <w:rsid w:val="00220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24710">
      <w:bodyDiv w:val="1"/>
      <w:marLeft w:val="0"/>
      <w:marRight w:val="0"/>
      <w:marTop w:val="0"/>
      <w:marBottom w:val="0"/>
      <w:divBdr>
        <w:top w:val="none" w:sz="0" w:space="0" w:color="auto"/>
        <w:left w:val="none" w:sz="0" w:space="0" w:color="auto"/>
        <w:bottom w:val="none" w:sz="0" w:space="0" w:color="auto"/>
        <w:right w:val="none" w:sz="0" w:space="0" w:color="auto"/>
      </w:divBdr>
    </w:div>
    <w:div w:id="438990807">
      <w:bodyDiv w:val="1"/>
      <w:marLeft w:val="0"/>
      <w:marRight w:val="0"/>
      <w:marTop w:val="0"/>
      <w:marBottom w:val="0"/>
      <w:divBdr>
        <w:top w:val="none" w:sz="0" w:space="0" w:color="auto"/>
        <w:left w:val="none" w:sz="0" w:space="0" w:color="auto"/>
        <w:bottom w:val="none" w:sz="0" w:space="0" w:color="auto"/>
        <w:right w:val="none" w:sz="0" w:space="0" w:color="auto"/>
      </w:divBdr>
      <w:divsChild>
        <w:div w:id="590815525">
          <w:marLeft w:val="850"/>
          <w:marRight w:val="0"/>
          <w:marTop w:val="77"/>
          <w:marBottom w:val="0"/>
          <w:divBdr>
            <w:top w:val="none" w:sz="0" w:space="0" w:color="auto"/>
            <w:left w:val="none" w:sz="0" w:space="0" w:color="auto"/>
            <w:bottom w:val="none" w:sz="0" w:space="0" w:color="auto"/>
            <w:right w:val="none" w:sz="0" w:space="0" w:color="auto"/>
          </w:divBdr>
        </w:div>
      </w:divsChild>
    </w:div>
    <w:div w:id="588389762">
      <w:bodyDiv w:val="1"/>
      <w:marLeft w:val="0"/>
      <w:marRight w:val="0"/>
      <w:marTop w:val="0"/>
      <w:marBottom w:val="0"/>
      <w:divBdr>
        <w:top w:val="none" w:sz="0" w:space="0" w:color="auto"/>
        <w:left w:val="none" w:sz="0" w:space="0" w:color="auto"/>
        <w:bottom w:val="none" w:sz="0" w:space="0" w:color="auto"/>
        <w:right w:val="none" w:sz="0" w:space="0" w:color="auto"/>
      </w:divBdr>
    </w:div>
    <w:div w:id="604845480">
      <w:bodyDiv w:val="1"/>
      <w:marLeft w:val="0"/>
      <w:marRight w:val="0"/>
      <w:marTop w:val="0"/>
      <w:marBottom w:val="0"/>
      <w:divBdr>
        <w:top w:val="none" w:sz="0" w:space="0" w:color="auto"/>
        <w:left w:val="none" w:sz="0" w:space="0" w:color="auto"/>
        <w:bottom w:val="none" w:sz="0" w:space="0" w:color="auto"/>
        <w:right w:val="none" w:sz="0" w:space="0" w:color="auto"/>
      </w:divBdr>
    </w:div>
    <w:div w:id="821969577">
      <w:bodyDiv w:val="1"/>
      <w:marLeft w:val="0"/>
      <w:marRight w:val="0"/>
      <w:marTop w:val="0"/>
      <w:marBottom w:val="0"/>
      <w:divBdr>
        <w:top w:val="none" w:sz="0" w:space="0" w:color="auto"/>
        <w:left w:val="none" w:sz="0" w:space="0" w:color="auto"/>
        <w:bottom w:val="none" w:sz="0" w:space="0" w:color="auto"/>
        <w:right w:val="none" w:sz="0" w:space="0" w:color="auto"/>
      </w:divBdr>
    </w:div>
    <w:div w:id="944385529">
      <w:bodyDiv w:val="1"/>
      <w:marLeft w:val="0"/>
      <w:marRight w:val="0"/>
      <w:marTop w:val="0"/>
      <w:marBottom w:val="0"/>
      <w:divBdr>
        <w:top w:val="none" w:sz="0" w:space="0" w:color="auto"/>
        <w:left w:val="none" w:sz="0" w:space="0" w:color="auto"/>
        <w:bottom w:val="none" w:sz="0" w:space="0" w:color="auto"/>
        <w:right w:val="none" w:sz="0" w:space="0" w:color="auto"/>
      </w:divBdr>
      <w:divsChild>
        <w:div w:id="1088695781">
          <w:marLeft w:val="850"/>
          <w:marRight w:val="0"/>
          <w:marTop w:val="77"/>
          <w:marBottom w:val="0"/>
          <w:divBdr>
            <w:top w:val="none" w:sz="0" w:space="0" w:color="auto"/>
            <w:left w:val="none" w:sz="0" w:space="0" w:color="auto"/>
            <w:bottom w:val="none" w:sz="0" w:space="0" w:color="auto"/>
            <w:right w:val="none" w:sz="0" w:space="0" w:color="auto"/>
          </w:divBdr>
        </w:div>
      </w:divsChild>
    </w:div>
    <w:div w:id="986084469">
      <w:bodyDiv w:val="1"/>
      <w:marLeft w:val="0"/>
      <w:marRight w:val="0"/>
      <w:marTop w:val="0"/>
      <w:marBottom w:val="0"/>
      <w:divBdr>
        <w:top w:val="none" w:sz="0" w:space="0" w:color="auto"/>
        <w:left w:val="none" w:sz="0" w:space="0" w:color="auto"/>
        <w:bottom w:val="none" w:sz="0" w:space="0" w:color="auto"/>
        <w:right w:val="none" w:sz="0" w:space="0" w:color="auto"/>
      </w:divBdr>
    </w:div>
    <w:div w:id="1010255791">
      <w:bodyDiv w:val="1"/>
      <w:marLeft w:val="0"/>
      <w:marRight w:val="0"/>
      <w:marTop w:val="0"/>
      <w:marBottom w:val="0"/>
      <w:divBdr>
        <w:top w:val="none" w:sz="0" w:space="0" w:color="auto"/>
        <w:left w:val="none" w:sz="0" w:space="0" w:color="auto"/>
        <w:bottom w:val="none" w:sz="0" w:space="0" w:color="auto"/>
        <w:right w:val="none" w:sz="0" w:space="0" w:color="auto"/>
      </w:divBdr>
      <w:divsChild>
        <w:div w:id="55596249">
          <w:marLeft w:val="0"/>
          <w:marRight w:val="0"/>
          <w:marTop w:val="0"/>
          <w:marBottom w:val="0"/>
          <w:divBdr>
            <w:top w:val="none" w:sz="0" w:space="0" w:color="auto"/>
            <w:left w:val="none" w:sz="0" w:space="0" w:color="auto"/>
            <w:bottom w:val="none" w:sz="0" w:space="0" w:color="auto"/>
            <w:right w:val="none" w:sz="0" w:space="0" w:color="auto"/>
          </w:divBdr>
        </w:div>
      </w:divsChild>
    </w:div>
    <w:div w:id="1147167491">
      <w:bodyDiv w:val="1"/>
      <w:marLeft w:val="0"/>
      <w:marRight w:val="0"/>
      <w:marTop w:val="0"/>
      <w:marBottom w:val="0"/>
      <w:divBdr>
        <w:top w:val="none" w:sz="0" w:space="0" w:color="auto"/>
        <w:left w:val="none" w:sz="0" w:space="0" w:color="auto"/>
        <w:bottom w:val="none" w:sz="0" w:space="0" w:color="auto"/>
        <w:right w:val="none" w:sz="0" w:space="0" w:color="auto"/>
      </w:divBdr>
    </w:div>
    <w:div w:id="1240824969">
      <w:bodyDiv w:val="1"/>
      <w:marLeft w:val="0"/>
      <w:marRight w:val="0"/>
      <w:marTop w:val="0"/>
      <w:marBottom w:val="0"/>
      <w:divBdr>
        <w:top w:val="none" w:sz="0" w:space="0" w:color="auto"/>
        <w:left w:val="none" w:sz="0" w:space="0" w:color="auto"/>
        <w:bottom w:val="none" w:sz="0" w:space="0" w:color="auto"/>
        <w:right w:val="none" w:sz="0" w:space="0" w:color="auto"/>
      </w:divBdr>
      <w:divsChild>
        <w:div w:id="1356495616">
          <w:marLeft w:val="0"/>
          <w:marRight w:val="0"/>
          <w:marTop w:val="0"/>
          <w:marBottom w:val="0"/>
          <w:divBdr>
            <w:top w:val="none" w:sz="0" w:space="0" w:color="auto"/>
            <w:left w:val="none" w:sz="0" w:space="0" w:color="auto"/>
            <w:bottom w:val="none" w:sz="0" w:space="0" w:color="auto"/>
            <w:right w:val="none" w:sz="0" w:space="0" w:color="auto"/>
          </w:divBdr>
        </w:div>
      </w:divsChild>
    </w:div>
    <w:div w:id="1605764613">
      <w:bodyDiv w:val="1"/>
      <w:marLeft w:val="0"/>
      <w:marRight w:val="0"/>
      <w:marTop w:val="0"/>
      <w:marBottom w:val="0"/>
      <w:divBdr>
        <w:top w:val="none" w:sz="0" w:space="0" w:color="auto"/>
        <w:left w:val="none" w:sz="0" w:space="0" w:color="auto"/>
        <w:bottom w:val="none" w:sz="0" w:space="0" w:color="auto"/>
        <w:right w:val="none" w:sz="0" w:space="0" w:color="auto"/>
      </w:divBdr>
    </w:div>
    <w:div w:id="1648124369">
      <w:bodyDiv w:val="1"/>
      <w:marLeft w:val="0"/>
      <w:marRight w:val="0"/>
      <w:marTop w:val="0"/>
      <w:marBottom w:val="0"/>
      <w:divBdr>
        <w:top w:val="none" w:sz="0" w:space="0" w:color="auto"/>
        <w:left w:val="none" w:sz="0" w:space="0" w:color="auto"/>
        <w:bottom w:val="none" w:sz="0" w:space="0" w:color="auto"/>
        <w:right w:val="none" w:sz="0" w:space="0" w:color="auto"/>
      </w:divBdr>
      <w:divsChild>
        <w:div w:id="181941624">
          <w:marLeft w:val="1267"/>
          <w:marRight w:val="0"/>
          <w:marTop w:val="62"/>
          <w:marBottom w:val="0"/>
          <w:divBdr>
            <w:top w:val="none" w:sz="0" w:space="0" w:color="auto"/>
            <w:left w:val="none" w:sz="0" w:space="0" w:color="auto"/>
            <w:bottom w:val="none" w:sz="0" w:space="0" w:color="auto"/>
            <w:right w:val="none" w:sz="0" w:space="0" w:color="auto"/>
          </w:divBdr>
        </w:div>
        <w:div w:id="559639149">
          <w:marLeft w:val="418"/>
          <w:marRight w:val="0"/>
          <w:marTop w:val="67"/>
          <w:marBottom w:val="0"/>
          <w:divBdr>
            <w:top w:val="none" w:sz="0" w:space="0" w:color="auto"/>
            <w:left w:val="none" w:sz="0" w:space="0" w:color="auto"/>
            <w:bottom w:val="none" w:sz="0" w:space="0" w:color="auto"/>
            <w:right w:val="none" w:sz="0" w:space="0" w:color="auto"/>
          </w:divBdr>
        </w:div>
        <w:div w:id="1062480656">
          <w:marLeft w:val="850"/>
          <w:marRight w:val="0"/>
          <w:marTop w:val="62"/>
          <w:marBottom w:val="0"/>
          <w:divBdr>
            <w:top w:val="none" w:sz="0" w:space="0" w:color="auto"/>
            <w:left w:val="none" w:sz="0" w:space="0" w:color="auto"/>
            <w:bottom w:val="none" w:sz="0" w:space="0" w:color="auto"/>
            <w:right w:val="none" w:sz="0" w:space="0" w:color="auto"/>
          </w:divBdr>
        </w:div>
        <w:div w:id="1927686919">
          <w:marLeft w:val="850"/>
          <w:marRight w:val="0"/>
          <w:marTop w:val="62"/>
          <w:marBottom w:val="0"/>
          <w:divBdr>
            <w:top w:val="none" w:sz="0" w:space="0" w:color="auto"/>
            <w:left w:val="none" w:sz="0" w:space="0" w:color="auto"/>
            <w:bottom w:val="none" w:sz="0" w:space="0" w:color="auto"/>
            <w:right w:val="none" w:sz="0" w:space="0" w:color="auto"/>
          </w:divBdr>
        </w:div>
      </w:divsChild>
    </w:div>
    <w:div w:id="1699696959">
      <w:bodyDiv w:val="1"/>
      <w:marLeft w:val="0"/>
      <w:marRight w:val="0"/>
      <w:marTop w:val="0"/>
      <w:marBottom w:val="0"/>
      <w:divBdr>
        <w:top w:val="none" w:sz="0" w:space="0" w:color="auto"/>
        <w:left w:val="none" w:sz="0" w:space="0" w:color="auto"/>
        <w:bottom w:val="none" w:sz="0" w:space="0" w:color="auto"/>
        <w:right w:val="none" w:sz="0" w:space="0" w:color="auto"/>
      </w:divBdr>
      <w:divsChild>
        <w:div w:id="755518732">
          <w:marLeft w:val="418"/>
          <w:marRight w:val="0"/>
          <w:marTop w:val="106"/>
          <w:marBottom w:val="0"/>
          <w:divBdr>
            <w:top w:val="none" w:sz="0" w:space="0" w:color="auto"/>
            <w:left w:val="none" w:sz="0" w:space="0" w:color="auto"/>
            <w:bottom w:val="none" w:sz="0" w:space="0" w:color="auto"/>
            <w:right w:val="none" w:sz="0" w:space="0" w:color="auto"/>
          </w:divBdr>
        </w:div>
      </w:divsChild>
    </w:div>
    <w:div w:id="1756394307">
      <w:bodyDiv w:val="1"/>
      <w:marLeft w:val="0"/>
      <w:marRight w:val="0"/>
      <w:marTop w:val="0"/>
      <w:marBottom w:val="0"/>
      <w:divBdr>
        <w:top w:val="none" w:sz="0" w:space="0" w:color="auto"/>
        <w:left w:val="none" w:sz="0" w:space="0" w:color="auto"/>
        <w:bottom w:val="none" w:sz="0" w:space="0" w:color="auto"/>
        <w:right w:val="none" w:sz="0" w:space="0" w:color="auto"/>
      </w:divBdr>
    </w:div>
    <w:div w:id="1810438477">
      <w:bodyDiv w:val="1"/>
      <w:marLeft w:val="0"/>
      <w:marRight w:val="0"/>
      <w:marTop w:val="0"/>
      <w:marBottom w:val="0"/>
      <w:divBdr>
        <w:top w:val="none" w:sz="0" w:space="0" w:color="auto"/>
        <w:left w:val="none" w:sz="0" w:space="0" w:color="auto"/>
        <w:bottom w:val="none" w:sz="0" w:space="0" w:color="auto"/>
        <w:right w:val="none" w:sz="0" w:space="0" w:color="auto"/>
      </w:divBdr>
    </w:div>
    <w:div w:id="1816137669">
      <w:bodyDiv w:val="1"/>
      <w:marLeft w:val="0"/>
      <w:marRight w:val="0"/>
      <w:marTop w:val="0"/>
      <w:marBottom w:val="0"/>
      <w:divBdr>
        <w:top w:val="none" w:sz="0" w:space="0" w:color="auto"/>
        <w:left w:val="none" w:sz="0" w:space="0" w:color="auto"/>
        <w:bottom w:val="none" w:sz="0" w:space="0" w:color="auto"/>
        <w:right w:val="none" w:sz="0" w:space="0" w:color="auto"/>
      </w:divBdr>
      <w:divsChild>
        <w:div w:id="1349140640">
          <w:marLeft w:val="418"/>
          <w:marRight w:val="0"/>
          <w:marTop w:val="67"/>
          <w:marBottom w:val="0"/>
          <w:divBdr>
            <w:top w:val="none" w:sz="0" w:space="0" w:color="auto"/>
            <w:left w:val="none" w:sz="0" w:space="0" w:color="auto"/>
            <w:bottom w:val="none" w:sz="0" w:space="0" w:color="auto"/>
            <w:right w:val="none" w:sz="0" w:space="0" w:color="auto"/>
          </w:divBdr>
        </w:div>
        <w:div w:id="1746032342">
          <w:marLeft w:val="850"/>
          <w:marRight w:val="0"/>
          <w:marTop w:val="67"/>
          <w:marBottom w:val="0"/>
          <w:divBdr>
            <w:top w:val="none" w:sz="0" w:space="0" w:color="auto"/>
            <w:left w:val="none" w:sz="0" w:space="0" w:color="auto"/>
            <w:bottom w:val="none" w:sz="0" w:space="0" w:color="auto"/>
            <w:right w:val="none" w:sz="0" w:space="0" w:color="auto"/>
          </w:divBdr>
        </w:div>
      </w:divsChild>
    </w:div>
    <w:div w:id="1881358559">
      <w:bodyDiv w:val="1"/>
      <w:marLeft w:val="0"/>
      <w:marRight w:val="0"/>
      <w:marTop w:val="0"/>
      <w:marBottom w:val="0"/>
      <w:divBdr>
        <w:top w:val="none" w:sz="0" w:space="0" w:color="auto"/>
        <w:left w:val="none" w:sz="0" w:space="0" w:color="auto"/>
        <w:bottom w:val="none" w:sz="0" w:space="0" w:color="auto"/>
        <w:right w:val="none" w:sz="0" w:space="0" w:color="auto"/>
      </w:divBdr>
      <w:divsChild>
        <w:div w:id="417483530">
          <w:marLeft w:val="850"/>
          <w:marRight w:val="0"/>
          <w:marTop w:val="96"/>
          <w:marBottom w:val="0"/>
          <w:divBdr>
            <w:top w:val="none" w:sz="0" w:space="0" w:color="auto"/>
            <w:left w:val="none" w:sz="0" w:space="0" w:color="auto"/>
            <w:bottom w:val="none" w:sz="0" w:space="0" w:color="auto"/>
            <w:right w:val="none" w:sz="0" w:space="0" w:color="auto"/>
          </w:divBdr>
        </w:div>
        <w:div w:id="762069459">
          <w:marLeft w:val="850"/>
          <w:marRight w:val="0"/>
          <w:marTop w:val="96"/>
          <w:marBottom w:val="0"/>
          <w:divBdr>
            <w:top w:val="none" w:sz="0" w:space="0" w:color="auto"/>
            <w:left w:val="none" w:sz="0" w:space="0" w:color="auto"/>
            <w:bottom w:val="none" w:sz="0" w:space="0" w:color="auto"/>
            <w:right w:val="none" w:sz="0" w:space="0" w:color="auto"/>
          </w:divBdr>
        </w:div>
        <w:div w:id="882063618">
          <w:marLeft w:val="850"/>
          <w:marRight w:val="0"/>
          <w:marTop w:val="96"/>
          <w:marBottom w:val="0"/>
          <w:divBdr>
            <w:top w:val="none" w:sz="0" w:space="0" w:color="auto"/>
            <w:left w:val="none" w:sz="0" w:space="0" w:color="auto"/>
            <w:bottom w:val="none" w:sz="0" w:space="0" w:color="auto"/>
            <w:right w:val="none" w:sz="0" w:space="0" w:color="auto"/>
          </w:divBdr>
        </w:div>
        <w:div w:id="904335250">
          <w:marLeft w:val="850"/>
          <w:marRight w:val="0"/>
          <w:marTop w:val="96"/>
          <w:marBottom w:val="0"/>
          <w:divBdr>
            <w:top w:val="none" w:sz="0" w:space="0" w:color="auto"/>
            <w:left w:val="none" w:sz="0" w:space="0" w:color="auto"/>
            <w:bottom w:val="none" w:sz="0" w:space="0" w:color="auto"/>
            <w:right w:val="none" w:sz="0" w:space="0" w:color="auto"/>
          </w:divBdr>
        </w:div>
        <w:div w:id="1208644526">
          <w:marLeft w:val="850"/>
          <w:marRight w:val="0"/>
          <w:marTop w:val="96"/>
          <w:marBottom w:val="0"/>
          <w:divBdr>
            <w:top w:val="none" w:sz="0" w:space="0" w:color="auto"/>
            <w:left w:val="none" w:sz="0" w:space="0" w:color="auto"/>
            <w:bottom w:val="none" w:sz="0" w:space="0" w:color="auto"/>
            <w:right w:val="none" w:sz="0" w:space="0" w:color="auto"/>
          </w:divBdr>
        </w:div>
        <w:div w:id="1391884357">
          <w:marLeft w:val="850"/>
          <w:marRight w:val="0"/>
          <w:marTop w:val="96"/>
          <w:marBottom w:val="0"/>
          <w:divBdr>
            <w:top w:val="none" w:sz="0" w:space="0" w:color="auto"/>
            <w:left w:val="none" w:sz="0" w:space="0" w:color="auto"/>
            <w:bottom w:val="none" w:sz="0" w:space="0" w:color="auto"/>
            <w:right w:val="none" w:sz="0" w:space="0" w:color="auto"/>
          </w:divBdr>
        </w:div>
        <w:div w:id="1961063641">
          <w:marLeft w:val="1267"/>
          <w:marRight w:val="0"/>
          <w:marTop w:val="86"/>
          <w:marBottom w:val="0"/>
          <w:divBdr>
            <w:top w:val="none" w:sz="0" w:space="0" w:color="auto"/>
            <w:left w:val="none" w:sz="0" w:space="0" w:color="auto"/>
            <w:bottom w:val="none" w:sz="0" w:space="0" w:color="auto"/>
            <w:right w:val="none" w:sz="0" w:space="0" w:color="auto"/>
          </w:divBdr>
        </w:div>
        <w:div w:id="2084833542">
          <w:marLeft w:val="1267"/>
          <w:marRight w:val="0"/>
          <w:marTop w:val="86"/>
          <w:marBottom w:val="0"/>
          <w:divBdr>
            <w:top w:val="none" w:sz="0" w:space="0" w:color="auto"/>
            <w:left w:val="none" w:sz="0" w:space="0" w:color="auto"/>
            <w:bottom w:val="none" w:sz="0" w:space="0" w:color="auto"/>
            <w:right w:val="none" w:sz="0" w:space="0" w:color="auto"/>
          </w:divBdr>
        </w:div>
      </w:divsChild>
    </w:div>
    <w:div w:id="1909029704">
      <w:bodyDiv w:val="1"/>
      <w:marLeft w:val="0"/>
      <w:marRight w:val="0"/>
      <w:marTop w:val="0"/>
      <w:marBottom w:val="0"/>
      <w:divBdr>
        <w:top w:val="none" w:sz="0" w:space="0" w:color="auto"/>
        <w:left w:val="none" w:sz="0" w:space="0" w:color="auto"/>
        <w:bottom w:val="none" w:sz="0" w:space="0" w:color="auto"/>
        <w:right w:val="none" w:sz="0" w:space="0" w:color="auto"/>
      </w:divBdr>
    </w:div>
    <w:div w:id="1922789991">
      <w:bodyDiv w:val="1"/>
      <w:marLeft w:val="0"/>
      <w:marRight w:val="0"/>
      <w:marTop w:val="0"/>
      <w:marBottom w:val="0"/>
      <w:divBdr>
        <w:top w:val="none" w:sz="0" w:space="0" w:color="auto"/>
        <w:left w:val="none" w:sz="0" w:space="0" w:color="auto"/>
        <w:bottom w:val="none" w:sz="0" w:space="0" w:color="auto"/>
        <w:right w:val="none" w:sz="0" w:space="0" w:color="auto"/>
      </w:divBdr>
    </w:div>
    <w:div w:id="2073846968">
      <w:bodyDiv w:val="1"/>
      <w:marLeft w:val="0"/>
      <w:marRight w:val="0"/>
      <w:marTop w:val="0"/>
      <w:marBottom w:val="0"/>
      <w:divBdr>
        <w:top w:val="none" w:sz="0" w:space="0" w:color="auto"/>
        <w:left w:val="none" w:sz="0" w:space="0" w:color="auto"/>
        <w:bottom w:val="none" w:sz="0" w:space="0" w:color="auto"/>
        <w:right w:val="none" w:sz="0" w:space="0" w:color="auto"/>
      </w:divBdr>
      <w:divsChild>
        <w:div w:id="2029867671">
          <w:marLeft w:val="1267"/>
          <w:marRight w:val="0"/>
          <w:marTop w:val="86"/>
          <w:marBottom w:val="0"/>
          <w:divBdr>
            <w:top w:val="none" w:sz="0" w:space="0" w:color="auto"/>
            <w:left w:val="none" w:sz="0" w:space="0" w:color="auto"/>
            <w:bottom w:val="none" w:sz="0" w:space="0" w:color="auto"/>
            <w:right w:val="none" w:sz="0" w:space="0" w:color="auto"/>
          </w:divBdr>
        </w:div>
      </w:divsChild>
    </w:div>
    <w:div w:id="2107996234">
      <w:bodyDiv w:val="1"/>
      <w:marLeft w:val="0"/>
      <w:marRight w:val="0"/>
      <w:marTop w:val="0"/>
      <w:marBottom w:val="0"/>
      <w:divBdr>
        <w:top w:val="none" w:sz="0" w:space="0" w:color="auto"/>
        <w:left w:val="none" w:sz="0" w:space="0" w:color="auto"/>
        <w:bottom w:val="none" w:sz="0" w:space="0" w:color="auto"/>
        <w:right w:val="none" w:sz="0" w:space="0" w:color="auto"/>
      </w:divBdr>
      <w:divsChild>
        <w:div w:id="28409728">
          <w:marLeft w:val="418"/>
          <w:marRight w:val="0"/>
          <w:marTop w:val="67"/>
          <w:marBottom w:val="0"/>
          <w:divBdr>
            <w:top w:val="none" w:sz="0" w:space="0" w:color="auto"/>
            <w:left w:val="none" w:sz="0" w:space="0" w:color="auto"/>
            <w:bottom w:val="none" w:sz="0" w:space="0" w:color="auto"/>
            <w:right w:val="none" w:sz="0" w:space="0" w:color="auto"/>
          </w:divBdr>
        </w:div>
        <w:div w:id="452405254">
          <w:marLeft w:val="850"/>
          <w:marRight w:val="0"/>
          <w:marTop w:val="67"/>
          <w:marBottom w:val="0"/>
          <w:divBdr>
            <w:top w:val="none" w:sz="0" w:space="0" w:color="auto"/>
            <w:left w:val="none" w:sz="0" w:space="0" w:color="auto"/>
            <w:bottom w:val="none" w:sz="0" w:space="0" w:color="auto"/>
            <w:right w:val="none" w:sz="0" w:space="0" w:color="auto"/>
          </w:divBdr>
        </w:div>
        <w:div w:id="732117767">
          <w:marLeft w:val="850"/>
          <w:marRight w:val="0"/>
          <w:marTop w:val="67"/>
          <w:marBottom w:val="0"/>
          <w:divBdr>
            <w:top w:val="none" w:sz="0" w:space="0" w:color="auto"/>
            <w:left w:val="none" w:sz="0" w:space="0" w:color="auto"/>
            <w:bottom w:val="none" w:sz="0" w:space="0" w:color="auto"/>
            <w:right w:val="none" w:sz="0" w:space="0" w:color="auto"/>
          </w:divBdr>
        </w:div>
        <w:div w:id="1342468966">
          <w:marLeft w:val="418"/>
          <w:marRight w:val="0"/>
          <w:marTop w:val="67"/>
          <w:marBottom w:val="0"/>
          <w:divBdr>
            <w:top w:val="none" w:sz="0" w:space="0" w:color="auto"/>
            <w:left w:val="none" w:sz="0" w:space="0" w:color="auto"/>
            <w:bottom w:val="none" w:sz="0" w:space="0" w:color="auto"/>
            <w:right w:val="none" w:sz="0" w:space="0" w:color="auto"/>
          </w:divBdr>
        </w:div>
        <w:div w:id="1462916302">
          <w:marLeft w:val="850"/>
          <w:marRight w:val="0"/>
          <w:marTop w:val="67"/>
          <w:marBottom w:val="0"/>
          <w:divBdr>
            <w:top w:val="none" w:sz="0" w:space="0" w:color="auto"/>
            <w:left w:val="none" w:sz="0" w:space="0" w:color="auto"/>
            <w:bottom w:val="none" w:sz="0" w:space="0" w:color="auto"/>
            <w:right w:val="none" w:sz="0" w:space="0" w:color="auto"/>
          </w:divBdr>
        </w:div>
        <w:div w:id="1890070800">
          <w:marLeft w:val="850"/>
          <w:marRight w:val="0"/>
          <w:marTop w:val="67"/>
          <w:marBottom w:val="0"/>
          <w:divBdr>
            <w:top w:val="none" w:sz="0" w:space="0" w:color="auto"/>
            <w:left w:val="none" w:sz="0" w:space="0" w:color="auto"/>
            <w:bottom w:val="none" w:sz="0" w:space="0" w:color="auto"/>
            <w:right w:val="none" w:sz="0" w:space="0" w:color="auto"/>
          </w:divBdr>
        </w:div>
      </w:divsChild>
    </w:div>
    <w:div w:id="213031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itrc.ouce.ox.ac.uk/wp-content/PDFs/PalestineFTA_online.pdf" TargetMode="External"/><Relationship Id="rId2" Type="http://schemas.openxmlformats.org/officeDocument/2006/relationships/hyperlink" Target="https://www.itrc.org.uk/wp-content/uploads/2019/09/UNOPS-ITRC_EBI_Curacao_2018-Full-report.pdf" TargetMode="External"/><Relationship Id="rId1" Type="http://schemas.openxmlformats.org/officeDocument/2006/relationships/hyperlink" Target="https://ucdp.uu.se/downloads/charts/" TargetMode="External"/><Relationship Id="rId6" Type="http://schemas.openxmlformats.org/officeDocument/2006/relationships/hyperlink" Target="https://content.unops.org/documents/libraries/executive-board/documents-for-sessions/2020/annual-session/unops-segment-item-17-annual-report-of-the-executive-director/en/DP-OPS-2020-CRP.1_EN.pdf?mtime=20200512114726" TargetMode="External"/><Relationship Id="rId5" Type="http://schemas.openxmlformats.org/officeDocument/2006/relationships/hyperlink" Target="https://content.unops.org/documents/libraries/executive-board/documents-for-sessions/2020/annual-session/unops-segment-item-17-annual-report-of-the-executive-director/en/DP-OPS-2020-4-Annex-2_EN.pdf?mtime=20200504110221" TargetMode="External"/><Relationship Id="rId4" Type="http://schemas.openxmlformats.org/officeDocument/2006/relationships/hyperlink" Target="https://www.ice.org.uk/ICEDevelopmentWebPortal/media/Documents/Media/ice-enabling-better-infrastructure-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3" ma:contentTypeDescription="Create a new document." ma:contentTypeScope="" ma:versionID="d3ca32fa52f09c0323dfec7e4ef74cd5">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b511da7ce4939ea29eeac285f695c625"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B374D-CA12-4AEE-BA14-FDADA87D5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933D9-99AF-4930-A0B5-378A24735C93}">
  <ds:schemaRefs>
    <ds:schemaRef ds:uri="http://schemas.openxmlformats.org/package/2006/metadata/core-properties"/>
    <ds:schemaRef ds:uri="http://purl.org/dc/elements/1.1/"/>
    <ds:schemaRef ds:uri="http://schemas.microsoft.com/office/2006/metadata/properties"/>
    <ds:schemaRef ds:uri="a8946dc4-2e98-472c-b2e6-ca9019b8dfda"/>
    <ds:schemaRef ds:uri="http://purl.org/dc/dcmitype/"/>
    <ds:schemaRef ds:uri="http://schemas.microsoft.com/office/2006/documentManagement/types"/>
    <ds:schemaRef ds:uri="http://schemas.microsoft.com/office/infopath/2007/PartnerControls"/>
    <ds:schemaRef ds:uri="33856b32-dbbd-4996-9e5d-776de7c2e4f8"/>
    <ds:schemaRef ds:uri="http://www.w3.org/XML/1998/namespace"/>
    <ds:schemaRef ds:uri="http://purl.org/dc/terms/"/>
  </ds:schemaRefs>
</ds:datastoreItem>
</file>

<file path=customXml/itemProps3.xml><?xml version="1.0" encoding="utf-8"?>
<ds:datastoreItem xmlns:ds="http://schemas.openxmlformats.org/officeDocument/2006/customXml" ds:itemID="{0579DBCF-8621-4AF3-9FDB-0DAC3122A49D}">
  <ds:schemaRefs>
    <ds:schemaRef ds:uri="http://schemas.openxmlformats.org/officeDocument/2006/bibliography"/>
  </ds:schemaRefs>
</ds:datastoreItem>
</file>

<file path=customXml/itemProps4.xml><?xml version="1.0" encoding="utf-8"?>
<ds:datastoreItem xmlns:ds="http://schemas.openxmlformats.org/officeDocument/2006/customXml" ds:itemID="{79A95383-FEA7-447E-8CA9-4A43F94A8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4934</Words>
  <Characters>28126</Characters>
  <Application>Microsoft Office Word</Application>
  <DocSecurity>4</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UNOPS</Company>
  <LinksUpToDate>false</LinksUpToDate>
  <CharactersWithSpaces>32995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Linnea MALMSTROM</dc:creator>
  <cp:lastModifiedBy>Svetlana Iazykova</cp:lastModifiedBy>
  <cp:revision>2</cp:revision>
  <cp:lastPrinted>2020-07-01T09:12:00Z</cp:lastPrinted>
  <dcterms:created xsi:type="dcterms:W3CDTF">2020-08-13T22:00:00Z</dcterms:created>
  <dcterms:modified xsi:type="dcterms:W3CDTF">2020-08-13T22:00:00Z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ies>
</file>