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9AE05" w14:textId="77777777" w:rsidR="00785474" w:rsidRPr="00D341ED" w:rsidRDefault="002E4883" w:rsidP="00475B8F">
      <w:pPr>
        <w:rPr>
          <w:color w:val="000000" w:themeColor="text1"/>
          <w:sz w:val="6"/>
          <w:lang w:val="en-GB"/>
        </w:rPr>
        <w:sectPr w:rsidR="00785474" w:rsidRPr="00D341ED" w:rsidSect="00677A8F">
          <w:headerReference w:type="default" r:id="rId12"/>
          <w:footerReference w:type="even" r:id="rId13"/>
          <w:footerReference w:type="default" r:id="rId14"/>
          <w:headerReference w:type="first" r:id="rId15"/>
          <w:footerReference w:type="first" r:id="rId16"/>
          <w:footnotePr>
            <w:numRestart w:val="eachSect"/>
          </w:footnotePr>
          <w:endnotePr>
            <w:numFmt w:val="decimal"/>
            <w:numStart w:val="7"/>
          </w:endnotePr>
          <w:pgSz w:w="12240" w:h="15840" w:code="1"/>
          <w:pgMar w:top="1166" w:right="1195" w:bottom="1440" w:left="1195" w:header="576" w:footer="1030" w:gutter="0"/>
          <w:pgNumType w:start="1"/>
          <w:cols w:space="720"/>
          <w:titlePg/>
        </w:sectPr>
      </w:pPr>
      <w:r w:rsidRPr="00D341ED">
        <w:rPr>
          <w:b/>
          <w:color w:val="000000" w:themeColor="text1"/>
          <w:lang w:val="en-GB"/>
        </w:rPr>
        <w:t xml:space="preserve">   </w:t>
      </w:r>
    </w:p>
    <w:p w14:paraId="4023D282" w14:textId="77777777" w:rsidR="004D0797" w:rsidRPr="00D341ED" w:rsidRDefault="004D0797" w:rsidP="004D079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themeColor="text1"/>
          <w:lang w:val="en-GB"/>
        </w:rPr>
      </w:pPr>
      <w:r w:rsidRPr="00D341ED">
        <w:rPr>
          <w:b/>
          <w:color w:val="000000" w:themeColor="text1"/>
          <w:lang w:val="en-GB"/>
        </w:rPr>
        <w:t>First regular session 2021</w:t>
      </w:r>
    </w:p>
    <w:p w14:paraId="394FA0DD" w14:textId="1B3F9218" w:rsidR="004D0797" w:rsidRPr="00D341ED" w:rsidRDefault="004D0797" w:rsidP="004D079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Cs/>
          <w:color w:val="000000"/>
          <w:lang w:val="en-GB"/>
        </w:rPr>
      </w:pPr>
      <w:r w:rsidRPr="00D341ED">
        <w:rPr>
          <w:bCs/>
          <w:color w:val="000000" w:themeColor="text1"/>
          <w:lang w:val="en-GB"/>
        </w:rPr>
        <w:t>1</w:t>
      </w:r>
      <w:r w:rsidR="00A21A0E" w:rsidRPr="00D341ED">
        <w:rPr>
          <w:bCs/>
          <w:color w:val="000000" w:themeColor="text1"/>
          <w:lang w:val="en-GB"/>
        </w:rPr>
        <w:t xml:space="preserve"> to </w:t>
      </w:r>
      <w:r w:rsidRPr="00D341ED">
        <w:rPr>
          <w:bCs/>
          <w:color w:val="000000" w:themeColor="text1"/>
          <w:lang w:val="en-GB"/>
        </w:rPr>
        <w:t>4 February 2021, New York</w:t>
      </w:r>
    </w:p>
    <w:p w14:paraId="3EDB1DBF" w14:textId="77777777" w:rsidR="004D0797" w:rsidRPr="00D341ED" w:rsidRDefault="004D0797" w:rsidP="004D079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D341ED">
        <w:rPr>
          <w:color w:val="000000" w:themeColor="text1"/>
          <w:lang w:val="en-GB"/>
        </w:rPr>
        <w:t>Item 5 of the provisional agenda</w:t>
      </w:r>
    </w:p>
    <w:p w14:paraId="7710EB98" w14:textId="77777777" w:rsidR="004D0797" w:rsidRPr="00D341ED" w:rsidRDefault="004D0797" w:rsidP="004D0797">
      <w:pPr>
        <w:tabs>
          <w:tab w:val="left" w:pos="5573"/>
        </w:tabs>
        <w:ind w:right="1260"/>
        <w:rPr>
          <w:b/>
          <w:color w:val="000000"/>
          <w:lang w:val="en-GB"/>
        </w:rPr>
      </w:pPr>
      <w:r w:rsidRPr="00D341ED">
        <w:rPr>
          <w:b/>
          <w:color w:val="000000" w:themeColor="text1"/>
          <w:lang w:val="en-GB"/>
        </w:rPr>
        <w:t>Country programmes and related matters</w:t>
      </w:r>
    </w:p>
    <w:p w14:paraId="5F2B23CC" w14:textId="77777777" w:rsidR="004D0797" w:rsidRPr="00D341ED" w:rsidRDefault="004D0797" w:rsidP="004D0797">
      <w:pPr>
        <w:pStyle w:val="HCh"/>
        <w:tabs>
          <w:tab w:val="right" w:pos="1022"/>
          <w:tab w:val="left" w:pos="1267"/>
          <w:tab w:val="left" w:pos="1620"/>
          <w:tab w:val="left" w:pos="1742"/>
          <w:tab w:val="left" w:pos="2218"/>
          <w:tab w:val="left" w:pos="2693"/>
          <w:tab w:val="left" w:pos="3182"/>
          <w:tab w:val="left" w:pos="3658"/>
          <w:tab w:val="left" w:pos="4133"/>
          <w:tab w:val="left" w:pos="4622"/>
          <w:tab w:val="left" w:pos="5098"/>
          <w:tab w:val="left" w:pos="5573"/>
          <w:tab w:val="left" w:pos="6048"/>
          <w:tab w:val="left" w:pos="7380"/>
        </w:tabs>
        <w:spacing w:after="120" w:line="240" w:lineRule="auto"/>
        <w:ind w:left="1267" w:right="1260" w:hanging="1267"/>
        <w:rPr>
          <w:color w:val="000000"/>
        </w:rPr>
      </w:pPr>
    </w:p>
    <w:p w14:paraId="15093370" w14:textId="77777777" w:rsidR="004D0797" w:rsidRPr="00D341ED" w:rsidRDefault="004D0797" w:rsidP="004D0797">
      <w:pPr>
        <w:pStyle w:val="HCh"/>
        <w:tabs>
          <w:tab w:val="right" w:pos="1022"/>
          <w:tab w:val="left" w:pos="1267"/>
          <w:tab w:val="left" w:pos="1620"/>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267" w:right="1260" w:hanging="1267"/>
        <w:rPr>
          <w:color w:val="000000"/>
        </w:rPr>
      </w:pPr>
    </w:p>
    <w:p w14:paraId="1D06F980" w14:textId="137CA5C2" w:rsidR="004D0797" w:rsidRPr="00D341ED" w:rsidRDefault="00A21A0E" w:rsidP="009A5A8A">
      <w:pPr>
        <w:pStyle w:val="HCh"/>
        <w:tabs>
          <w:tab w:val="right" w:pos="1022"/>
          <w:tab w:val="left" w:pos="1267"/>
          <w:tab w:val="left" w:pos="1620"/>
          <w:tab w:val="left" w:pos="1742"/>
          <w:tab w:val="left" w:pos="2160"/>
          <w:tab w:val="left" w:pos="2218"/>
          <w:tab w:val="left" w:pos="2693"/>
          <w:tab w:val="left" w:pos="3182"/>
          <w:tab w:val="left" w:pos="4133"/>
          <w:tab w:val="left" w:pos="4622"/>
          <w:tab w:val="left" w:pos="5098"/>
          <w:tab w:val="left" w:pos="5573"/>
          <w:tab w:val="left" w:pos="6048"/>
        </w:tabs>
        <w:spacing w:after="120" w:line="240" w:lineRule="auto"/>
        <w:ind w:left="1267" w:right="850" w:hanging="1267"/>
        <w:rPr>
          <w:color w:val="000000"/>
        </w:rPr>
      </w:pPr>
      <w:r w:rsidRPr="00D341ED">
        <w:rPr>
          <w:color w:val="000000"/>
        </w:rPr>
        <w:tab/>
      </w:r>
      <w:r w:rsidRPr="00D341ED">
        <w:rPr>
          <w:color w:val="000000"/>
        </w:rPr>
        <w:tab/>
      </w:r>
      <w:r w:rsidR="004D0797" w:rsidRPr="00D341ED">
        <w:rPr>
          <w:color w:val="000000"/>
        </w:rPr>
        <w:t xml:space="preserve">Draft country programme document for </w:t>
      </w:r>
      <w:r w:rsidR="00D23443" w:rsidRPr="00D341ED">
        <w:rPr>
          <w:color w:val="000000"/>
        </w:rPr>
        <w:t>Georgia</w:t>
      </w:r>
      <w:r w:rsidR="004D0797" w:rsidRPr="00D341ED">
        <w:rPr>
          <w:color w:val="000000"/>
        </w:rPr>
        <w:t xml:space="preserve"> (2021-2025)</w:t>
      </w:r>
    </w:p>
    <w:p w14:paraId="2F9E649D" w14:textId="77777777" w:rsidR="004D0797" w:rsidRPr="00D341ED" w:rsidRDefault="004D0797" w:rsidP="004D0797">
      <w:pPr>
        <w:pStyle w:val="HCh"/>
        <w:tabs>
          <w:tab w:val="left" w:pos="1620"/>
        </w:tabs>
        <w:spacing w:after="120" w:line="240" w:lineRule="auto"/>
        <w:rPr>
          <w:b w:val="0"/>
          <w:color w:val="000000"/>
          <w:sz w:val="20"/>
        </w:rPr>
      </w:pPr>
      <w:r w:rsidRPr="00D341ED">
        <w:rPr>
          <w:b w:val="0"/>
          <w:color w:val="000000"/>
          <w:sz w:val="20"/>
        </w:rPr>
        <w:t xml:space="preserve"> </w:t>
      </w:r>
    </w:p>
    <w:p w14:paraId="6A86AEF4" w14:textId="77777777" w:rsidR="004D0797" w:rsidRPr="00D341ED" w:rsidRDefault="004D0797" w:rsidP="004D0797">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ind w:right="328"/>
        <w:outlineLvl w:val="0"/>
        <w:rPr>
          <w:color w:val="000000"/>
          <w:sz w:val="24"/>
          <w:szCs w:val="24"/>
          <w:lang w:val="en-GB" w:eastAsia="fr-FR"/>
        </w:rPr>
      </w:pPr>
      <w:r w:rsidRPr="00D341ED">
        <w:rPr>
          <w:color w:val="000000"/>
          <w:kern w:val="14"/>
          <w:sz w:val="24"/>
          <w:szCs w:val="24"/>
          <w:lang w:val="en-GB" w:eastAsia="fr-FR"/>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059"/>
        <w:gridCol w:w="8116"/>
        <w:gridCol w:w="727"/>
      </w:tblGrid>
      <w:tr w:rsidR="004D0797" w:rsidRPr="00D341ED" w14:paraId="4B71A36C" w14:textId="77777777" w:rsidTr="00D4672C">
        <w:tc>
          <w:tcPr>
            <w:tcW w:w="1059" w:type="dxa"/>
            <w:shd w:val="clear" w:color="auto" w:fill="auto"/>
          </w:tcPr>
          <w:p w14:paraId="4BF2B143" w14:textId="77777777" w:rsidR="004D0797" w:rsidRPr="00D341ED" w:rsidRDefault="004D0797" w:rsidP="00306EEA">
            <w:pPr>
              <w:tabs>
                <w:tab w:val="left" w:pos="1620"/>
              </w:tabs>
              <w:suppressAutoHyphens/>
              <w:spacing w:after="120"/>
              <w:jc w:val="right"/>
              <w:rPr>
                <w:i/>
                <w:color w:val="000000"/>
                <w:spacing w:val="4"/>
                <w:w w:val="103"/>
                <w:kern w:val="14"/>
                <w:sz w:val="14"/>
                <w:lang w:val="en-GB" w:eastAsia="fr-FR"/>
              </w:rPr>
            </w:pPr>
          </w:p>
        </w:tc>
        <w:tc>
          <w:tcPr>
            <w:tcW w:w="8116" w:type="dxa"/>
            <w:shd w:val="clear" w:color="auto" w:fill="auto"/>
          </w:tcPr>
          <w:p w14:paraId="38874363" w14:textId="77777777" w:rsidR="004D0797" w:rsidRPr="00D341ED" w:rsidRDefault="004D0797" w:rsidP="00306EEA">
            <w:pPr>
              <w:tabs>
                <w:tab w:val="left" w:pos="1620"/>
              </w:tabs>
              <w:suppressAutoHyphens/>
              <w:spacing w:after="120"/>
              <w:ind w:left="20"/>
              <w:rPr>
                <w:i/>
                <w:color w:val="000000"/>
                <w:spacing w:val="4"/>
                <w:w w:val="103"/>
                <w:kern w:val="14"/>
                <w:sz w:val="14"/>
                <w:lang w:val="en-GB" w:eastAsia="fr-FR"/>
              </w:rPr>
            </w:pPr>
          </w:p>
        </w:tc>
        <w:tc>
          <w:tcPr>
            <w:tcW w:w="727" w:type="dxa"/>
            <w:shd w:val="clear" w:color="auto" w:fill="auto"/>
          </w:tcPr>
          <w:p w14:paraId="383103F5" w14:textId="77777777" w:rsidR="004D0797" w:rsidRPr="00D341ED" w:rsidRDefault="004D0797" w:rsidP="00306EEA">
            <w:pPr>
              <w:tabs>
                <w:tab w:val="left" w:pos="1620"/>
              </w:tabs>
              <w:suppressAutoHyphens/>
              <w:spacing w:after="120"/>
              <w:jc w:val="right"/>
              <w:rPr>
                <w:i/>
                <w:color w:val="000000"/>
                <w:spacing w:val="4"/>
                <w:w w:val="103"/>
                <w:kern w:val="14"/>
                <w:sz w:val="14"/>
                <w:lang w:val="en-GB" w:eastAsia="fr-FR"/>
              </w:rPr>
            </w:pPr>
            <w:r w:rsidRPr="00D341ED">
              <w:rPr>
                <w:i/>
                <w:iCs/>
                <w:color w:val="000000"/>
                <w:kern w:val="14"/>
                <w:sz w:val="14"/>
                <w:lang w:val="en-GB" w:eastAsia="fr-FR"/>
              </w:rPr>
              <w:t>Page</w:t>
            </w:r>
          </w:p>
        </w:tc>
      </w:tr>
      <w:tr w:rsidR="004D0797" w:rsidRPr="00D341ED" w14:paraId="12949B47" w14:textId="77777777" w:rsidTr="00D4672C">
        <w:tc>
          <w:tcPr>
            <w:tcW w:w="9175" w:type="dxa"/>
            <w:gridSpan w:val="2"/>
            <w:shd w:val="clear" w:color="auto" w:fill="auto"/>
          </w:tcPr>
          <w:p w14:paraId="619742C5" w14:textId="70D45106" w:rsidR="004D0797" w:rsidRPr="00D341ED" w:rsidRDefault="004D0797" w:rsidP="009A5A8A">
            <w:pPr>
              <w:numPr>
                <w:ilvl w:val="0"/>
                <w:numId w:val="18"/>
              </w:numPr>
              <w:tabs>
                <w:tab w:val="right" w:pos="1080"/>
                <w:tab w:val="left" w:pos="1296"/>
                <w:tab w:val="left" w:pos="1620"/>
                <w:tab w:val="left" w:pos="2160"/>
                <w:tab w:val="left" w:pos="2592"/>
              </w:tabs>
              <w:suppressAutoHyphens/>
              <w:spacing w:after="120"/>
              <w:rPr>
                <w:color w:val="000000"/>
                <w:spacing w:val="4"/>
                <w:w w:val="103"/>
                <w:kern w:val="14"/>
                <w:lang w:val="en-GB" w:eastAsia="fr-FR"/>
              </w:rPr>
            </w:pPr>
            <w:r w:rsidRPr="00D341ED">
              <w:rPr>
                <w:color w:val="000000"/>
                <w:kern w:val="14"/>
                <w:lang w:val="en-GB" w:eastAsia="fr-FR"/>
              </w:rPr>
              <w:tab/>
              <w:t>UNDP within the United Nations Sustainable Development Cooperation Framework</w:t>
            </w:r>
            <w:r w:rsidR="00A21A0E" w:rsidRPr="00D341ED">
              <w:rPr>
                <w:color w:val="000000"/>
                <w:lang w:val="en-GB" w:eastAsia="fr-FR"/>
              </w:rPr>
              <w:t>……………</w:t>
            </w:r>
          </w:p>
        </w:tc>
        <w:tc>
          <w:tcPr>
            <w:tcW w:w="727" w:type="dxa"/>
            <w:vMerge w:val="restart"/>
            <w:shd w:val="clear" w:color="auto" w:fill="auto"/>
            <w:vAlign w:val="bottom"/>
          </w:tcPr>
          <w:p w14:paraId="02E965EC" w14:textId="77777777" w:rsidR="004D0797" w:rsidRPr="00D341ED" w:rsidRDefault="004D0797" w:rsidP="00306EEA">
            <w:pPr>
              <w:tabs>
                <w:tab w:val="left" w:pos="1620"/>
              </w:tabs>
              <w:suppressAutoHyphens/>
              <w:spacing w:after="120"/>
              <w:jc w:val="right"/>
              <w:rPr>
                <w:color w:val="000000"/>
                <w:spacing w:val="4"/>
                <w:w w:val="103"/>
                <w:kern w:val="14"/>
                <w:lang w:val="en-GB" w:eastAsia="fr-FR"/>
              </w:rPr>
            </w:pPr>
            <w:r w:rsidRPr="00D341ED">
              <w:rPr>
                <w:color w:val="000000"/>
                <w:kern w:val="14"/>
                <w:lang w:val="en-GB" w:eastAsia="fr-FR"/>
              </w:rPr>
              <w:t>2</w:t>
            </w:r>
          </w:p>
          <w:p w14:paraId="4EF7C6DB" w14:textId="77777777" w:rsidR="004D0797" w:rsidRPr="00D341ED" w:rsidRDefault="004D0797" w:rsidP="00306EEA">
            <w:pPr>
              <w:tabs>
                <w:tab w:val="left" w:pos="1620"/>
              </w:tabs>
              <w:suppressAutoHyphens/>
              <w:spacing w:after="120"/>
              <w:jc w:val="right"/>
              <w:rPr>
                <w:color w:val="000000"/>
                <w:spacing w:val="4"/>
                <w:w w:val="103"/>
                <w:kern w:val="14"/>
                <w:lang w:val="en-GB" w:eastAsia="fr-FR"/>
              </w:rPr>
            </w:pPr>
            <w:r w:rsidRPr="00D341ED">
              <w:rPr>
                <w:color w:val="000000"/>
                <w:spacing w:val="4"/>
                <w:w w:val="103"/>
                <w:kern w:val="14"/>
                <w:lang w:val="en-GB" w:eastAsia="fr-FR"/>
              </w:rPr>
              <w:t>5</w:t>
            </w:r>
          </w:p>
        </w:tc>
      </w:tr>
      <w:tr w:rsidR="004D0797" w:rsidRPr="00D341ED" w14:paraId="12E2BC19" w14:textId="77777777" w:rsidTr="00D4672C">
        <w:tc>
          <w:tcPr>
            <w:tcW w:w="9175" w:type="dxa"/>
            <w:gridSpan w:val="2"/>
            <w:shd w:val="clear" w:color="auto" w:fill="auto"/>
          </w:tcPr>
          <w:p w14:paraId="6A15A37E" w14:textId="77777777" w:rsidR="004D0797" w:rsidRPr="00D341ED" w:rsidRDefault="004D0797" w:rsidP="009A5A8A">
            <w:pPr>
              <w:numPr>
                <w:ilvl w:val="0"/>
                <w:numId w:val="18"/>
              </w:numPr>
              <w:tabs>
                <w:tab w:val="right" w:pos="1080"/>
                <w:tab w:val="left" w:pos="1296"/>
                <w:tab w:val="left" w:pos="1620"/>
                <w:tab w:val="left" w:pos="2160"/>
                <w:tab w:val="left" w:pos="2592"/>
                <w:tab w:val="left" w:pos="3024"/>
                <w:tab w:val="left" w:pos="3456"/>
                <w:tab w:val="left" w:pos="3888"/>
                <w:tab w:val="left" w:pos="4320"/>
                <w:tab w:val="left" w:pos="8220"/>
              </w:tabs>
              <w:suppressAutoHyphens/>
              <w:spacing w:after="120"/>
              <w:rPr>
                <w:color w:val="000000"/>
                <w:spacing w:val="4"/>
                <w:w w:val="103"/>
                <w:kern w:val="14"/>
                <w:lang w:val="en-GB" w:eastAsia="fr-FR"/>
              </w:rPr>
            </w:pPr>
            <w:r w:rsidRPr="00D341ED">
              <w:rPr>
                <w:color w:val="000000"/>
                <w:kern w:val="14"/>
                <w:lang w:val="en-GB" w:eastAsia="fr-FR"/>
              </w:rPr>
              <w:tab/>
              <w:t>Programme priorities and partnerships</w:t>
            </w:r>
            <w:r w:rsidRPr="00D341ED">
              <w:rPr>
                <w:color w:val="000000"/>
                <w:lang w:val="en-GB" w:eastAsia="fr-FR"/>
              </w:rPr>
              <w:t>………………………………………………….</w:t>
            </w:r>
            <w:r w:rsidRPr="00D341ED">
              <w:rPr>
                <w:color w:val="000000"/>
                <w:lang w:val="en-GB" w:eastAsia="fr-FR"/>
              </w:rPr>
              <w:tab/>
              <w:t>……….…</w:t>
            </w:r>
          </w:p>
        </w:tc>
        <w:tc>
          <w:tcPr>
            <w:tcW w:w="727" w:type="dxa"/>
            <w:vMerge/>
            <w:shd w:val="clear" w:color="auto" w:fill="auto"/>
            <w:vAlign w:val="bottom"/>
          </w:tcPr>
          <w:p w14:paraId="5B2E1B86" w14:textId="77777777" w:rsidR="004D0797" w:rsidRPr="00D341ED" w:rsidRDefault="004D0797" w:rsidP="00306EEA">
            <w:pPr>
              <w:tabs>
                <w:tab w:val="left" w:pos="1620"/>
              </w:tabs>
              <w:suppressAutoHyphens/>
              <w:spacing w:after="120"/>
              <w:jc w:val="right"/>
              <w:rPr>
                <w:color w:val="000000"/>
                <w:spacing w:val="4"/>
                <w:w w:val="103"/>
                <w:kern w:val="14"/>
                <w:lang w:val="en-GB" w:eastAsia="fr-FR"/>
              </w:rPr>
            </w:pPr>
          </w:p>
        </w:tc>
      </w:tr>
      <w:tr w:rsidR="004D0797" w:rsidRPr="00D341ED" w14:paraId="32E18F45" w14:textId="77777777" w:rsidTr="00D4672C">
        <w:tc>
          <w:tcPr>
            <w:tcW w:w="9175" w:type="dxa"/>
            <w:gridSpan w:val="2"/>
            <w:shd w:val="clear" w:color="auto" w:fill="auto"/>
          </w:tcPr>
          <w:p w14:paraId="1F56CB73" w14:textId="46F99F77" w:rsidR="004D0797" w:rsidRPr="00D341ED" w:rsidRDefault="004D0797" w:rsidP="009A5A8A">
            <w:pPr>
              <w:numPr>
                <w:ilvl w:val="0"/>
                <w:numId w:val="18"/>
              </w:numPr>
              <w:tabs>
                <w:tab w:val="right" w:pos="1080"/>
                <w:tab w:val="left" w:pos="1296"/>
                <w:tab w:val="left" w:pos="1620"/>
                <w:tab w:val="left" w:pos="2160"/>
                <w:tab w:val="left" w:pos="2592"/>
                <w:tab w:val="left" w:pos="3024"/>
              </w:tabs>
              <w:suppressAutoHyphens/>
              <w:spacing w:after="120"/>
              <w:rPr>
                <w:color w:val="000000"/>
                <w:spacing w:val="4"/>
                <w:w w:val="103"/>
                <w:kern w:val="14"/>
                <w:lang w:val="en-GB" w:eastAsia="fr-FR"/>
              </w:rPr>
            </w:pPr>
            <w:r w:rsidRPr="00D341ED">
              <w:rPr>
                <w:color w:val="000000"/>
                <w:kern w:val="14"/>
                <w:lang w:val="en-GB" w:eastAsia="fr-FR"/>
              </w:rPr>
              <w:tab/>
              <w:t>Programme and risk management</w:t>
            </w:r>
            <w:r w:rsidR="00A21A0E" w:rsidRPr="00D341ED">
              <w:rPr>
                <w:color w:val="000000"/>
                <w:lang w:val="en-GB" w:eastAsia="fr-FR"/>
              </w:rPr>
              <w:t>…………………………………………………</w:t>
            </w:r>
            <w:r w:rsidR="00D4672C" w:rsidRPr="00D341ED">
              <w:rPr>
                <w:color w:val="000000"/>
                <w:lang w:val="en-GB" w:eastAsia="fr-FR"/>
              </w:rPr>
              <w:t>………………</w:t>
            </w:r>
            <w:r w:rsidR="00A21A0E" w:rsidRPr="00D341ED">
              <w:rPr>
                <w:color w:val="000000"/>
                <w:lang w:val="en-GB" w:eastAsia="fr-FR"/>
              </w:rPr>
              <w:t>.</w:t>
            </w:r>
          </w:p>
        </w:tc>
        <w:tc>
          <w:tcPr>
            <w:tcW w:w="727" w:type="dxa"/>
            <w:vMerge w:val="restart"/>
            <w:shd w:val="clear" w:color="auto" w:fill="auto"/>
            <w:vAlign w:val="bottom"/>
          </w:tcPr>
          <w:p w14:paraId="5FC7AF60" w14:textId="49D26C24" w:rsidR="004D0797" w:rsidRPr="00D341ED" w:rsidRDefault="00F80C39" w:rsidP="00306EEA">
            <w:pPr>
              <w:tabs>
                <w:tab w:val="left" w:pos="1620"/>
              </w:tabs>
              <w:suppressAutoHyphens/>
              <w:spacing w:after="120"/>
              <w:jc w:val="right"/>
              <w:rPr>
                <w:color w:val="000000"/>
                <w:spacing w:val="4"/>
                <w:w w:val="103"/>
                <w:kern w:val="14"/>
                <w:lang w:val="en-GB" w:eastAsia="fr-FR"/>
              </w:rPr>
            </w:pPr>
            <w:r>
              <w:rPr>
                <w:color w:val="000000"/>
                <w:spacing w:val="4"/>
                <w:w w:val="103"/>
                <w:kern w:val="14"/>
                <w:lang w:val="en-GB" w:eastAsia="fr-FR"/>
              </w:rPr>
              <w:t>6</w:t>
            </w:r>
          </w:p>
          <w:p w14:paraId="0A9FE359" w14:textId="19F47E59" w:rsidR="004D0797" w:rsidRPr="00D341ED" w:rsidRDefault="00160E8C" w:rsidP="00306EEA">
            <w:pPr>
              <w:tabs>
                <w:tab w:val="left" w:pos="1620"/>
              </w:tabs>
              <w:suppressAutoHyphens/>
              <w:spacing w:after="120"/>
              <w:jc w:val="right"/>
              <w:rPr>
                <w:color w:val="000000"/>
                <w:spacing w:val="4"/>
                <w:w w:val="103"/>
                <w:kern w:val="14"/>
                <w:lang w:val="en-GB" w:eastAsia="fr-FR"/>
              </w:rPr>
            </w:pPr>
            <w:r w:rsidRPr="00D341ED">
              <w:rPr>
                <w:color w:val="000000"/>
                <w:spacing w:val="4"/>
                <w:w w:val="103"/>
                <w:kern w:val="14"/>
                <w:lang w:val="en-GB" w:eastAsia="fr-FR"/>
              </w:rPr>
              <w:t>7</w:t>
            </w:r>
          </w:p>
        </w:tc>
      </w:tr>
      <w:tr w:rsidR="004D0797" w:rsidRPr="00D341ED" w14:paraId="5C5BEEC7" w14:textId="77777777" w:rsidTr="00D4672C">
        <w:tc>
          <w:tcPr>
            <w:tcW w:w="9175" w:type="dxa"/>
            <w:gridSpan w:val="2"/>
            <w:shd w:val="clear" w:color="auto" w:fill="auto"/>
          </w:tcPr>
          <w:p w14:paraId="12421DEA" w14:textId="77777777" w:rsidR="004D0797" w:rsidRPr="00D341ED" w:rsidRDefault="004D0797" w:rsidP="009A5A8A">
            <w:pPr>
              <w:numPr>
                <w:ilvl w:val="0"/>
                <w:numId w:val="18"/>
              </w:numPr>
              <w:tabs>
                <w:tab w:val="right" w:pos="1080"/>
                <w:tab w:val="left" w:pos="1296"/>
                <w:tab w:val="left" w:pos="1620"/>
                <w:tab w:val="left" w:pos="2160"/>
                <w:tab w:val="left" w:pos="2592"/>
                <w:tab w:val="left" w:pos="3024"/>
                <w:tab w:val="left" w:pos="3420"/>
                <w:tab w:val="left" w:pos="3456"/>
              </w:tabs>
              <w:suppressAutoHyphens/>
              <w:spacing w:after="120"/>
              <w:rPr>
                <w:color w:val="000000"/>
                <w:spacing w:val="4"/>
                <w:w w:val="103"/>
                <w:kern w:val="14"/>
                <w:lang w:val="en-GB" w:eastAsia="fr-FR"/>
              </w:rPr>
            </w:pPr>
            <w:r w:rsidRPr="00D341ED">
              <w:rPr>
                <w:color w:val="000000"/>
                <w:kern w:val="14"/>
                <w:lang w:val="en-GB" w:eastAsia="fr-FR"/>
              </w:rPr>
              <w:tab/>
              <w:t>Monitoring and evaluation</w:t>
            </w:r>
            <w:r w:rsidRPr="00D341ED">
              <w:rPr>
                <w:color w:val="000000"/>
                <w:sz w:val="24"/>
                <w:szCs w:val="24"/>
                <w:lang w:val="en-GB" w:eastAsia="fr-FR"/>
              </w:rPr>
              <w:tab/>
            </w:r>
            <w:r w:rsidRPr="00D341ED">
              <w:rPr>
                <w:color w:val="000000"/>
                <w:lang w:val="en-GB" w:eastAsia="fr-FR"/>
              </w:rPr>
              <w:t>…………………………………………………….……………………</w:t>
            </w:r>
          </w:p>
        </w:tc>
        <w:tc>
          <w:tcPr>
            <w:tcW w:w="727" w:type="dxa"/>
            <w:vMerge/>
            <w:shd w:val="clear" w:color="auto" w:fill="auto"/>
            <w:vAlign w:val="bottom"/>
          </w:tcPr>
          <w:p w14:paraId="0D82574D" w14:textId="77777777" w:rsidR="004D0797" w:rsidRPr="00D341ED" w:rsidRDefault="004D0797" w:rsidP="00306EEA">
            <w:pPr>
              <w:tabs>
                <w:tab w:val="left" w:pos="1620"/>
              </w:tabs>
              <w:suppressAutoHyphens/>
              <w:spacing w:after="120"/>
              <w:jc w:val="right"/>
              <w:rPr>
                <w:color w:val="000000"/>
                <w:spacing w:val="4"/>
                <w:w w:val="103"/>
                <w:kern w:val="14"/>
                <w:lang w:val="en-GB" w:eastAsia="fr-FR"/>
              </w:rPr>
            </w:pPr>
          </w:p>
        </w:tc>
      </w:tr>
      <w:tr w:rsidR="004D0797" w:rsidRPr="00D341ED" w14:paraId="06B0AA46" w14:textId="77777777" w:rsidTr="00D4672C">
        <w:tc>
          <w:tcPr>
            <w:tcW w:w="9175" w:type="dxa"/>
            <w:gridSpan w:val="2"/>
            <w:shd w:val="clear" w:color="auto" w:fill="auto"/>
          </w:tcPr>
          <w:p w14:paraId="4DE41EE9" w14:textId="77777777" w:rsidR="004D0797" w:rsidRPr="00D341ED" w:rsidRDefault="004D0797" w:rsidP="00AD0369">
            <w:pPr>
              <w:tabs>
                <w:tab w:val="right" w:pos="1080"/>
                <w:tab w:val="left" w:pos="1296"/>
                <w:tab w:val="left" w:pos="1620"/>
                <w:tab w:val="right" w:pos="1714"/>
                <w:tab w:val="left" w:pos="2160"/>
                <w:tab w:val="left" w:pos="2592"/>
                <w:tab w:val="left" w:pos="3024"/>
                <w:tab w:val="left" w:pos="3456"/>
              </w:tabs>
              <w:suppressAutoHyphens/>
              <w:spacing w:after="120"/>
              <w:ind w:left="475"/>
              <w:rPr>
                <w:color w:val="000000"/>
                <w:spacing w:val="4"/>
                <w:w w:val="103"/>
                <w:kern w:val="14"/>
                <w:lang w:val="en-GB" w:eastAsia="fr-FR"/>
              </w:rPr>
            </w:pPr>
            <w:r w:rsidRPr="00D341ED">
              <w:rPr>
                <w:color w:val="000000"/>
                <w:kern w:val="14"/>
                <w:lang w:val="en-GB" w:eastAsia="fr-FR"/>
              </w:rPr>
              <w:t>Annex</w:t>
            </w:r>
          </w:p>
        </w:tc>
        <w:tc>
          <w:tcPr>
            <w:tcW w:w="727" w:type="dxa"/>
            <w:shd w:val="clear" w:color="auto" w:fill="auto"/>
            <w:vAlign w:val="bottom"/>
          </w:tcPr>
          <w:p w14:paraId="4382A996" w14:textId="77777777" w:rsidR="004D0797" w:rsidRPr="00D341ED" w:rsidRDefault="004D0797" w:rsidP="00306EEA">
            <w:pPr>
              <w:tabs>
                <w:tab w:val="left" w:pos="1620"/>
              </w:tabs>
              <w:suppressAutoHyphens/>
              <w:spacing w:after="120"/>
              <w:jc w:val="right"/>
              <w:rPr>
                <w:color w:val="000000"/>
                <w:spacing w:val="4"/>
                <w:w w:val="103"/>
                <w:kern w:val="14"/>
                <w:lang w:val="en-GB" w:eastAsia="fr-FR"/>
              </w:rPr>
            </w:pPr>
          </w:p>
        </w:tc>
      </w:tr>
      <w:tr w:rsidR="004D0797" w:rsidRPr="00D341ED" w14:paraId="2E8F4981" w14:textId="77777777" w:rsidTr="00D4672C">
        <w:tc>
          <w:tcPr>
            <w:tcW w:w="9175" w:type="dxa"/>
            <w:gridSpan w:val="2"/>
            <w:shd w:val="clear" w:color="auto" w:fill="auto"/>
          </w:tcPr>
          <w:p w14:paraId="4280FD8C" w14:textId="58D71478" w:rsidR="004D0797" w:rsidRPr="00D341ED" w:rsidRDefault="004D0797" w:rsidP="00AD0369">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ind w:left="1296"/>
              <w:rPr>
                <w:color w:val="000000"/>
                <w:spacing w:val="60"/>
                <w:w w:val="103"/>
                <w:kern w:val="14"/>
                <w:sz w:val="17"/>
                <w:lang w:val="en-GB" w:eastAsia="fr-FR"/>
              </w:rPr>
            </w:pPr>
            <w:r w:rsidRPr="00D341ED">
              <w:rPr>
                <w:color w:val="000000"/>
                <w:kern w:val="14"/>
                <w:lang w:val="en-GB" w:eastAsia="fr-FR"/>
              </w:rPr>
              <w:t xml:space="preserve">Results and resources framework for </w:t>
            </w:r>
            <w:r w:rsidR="00D23443" w:rsidRPr="00D341ED">
              <w:rPr>
                <w:color w:val="000000"/>
                <w:kern w:val="14"/>
                <w:lang w:val="en-GB" w:eastAsia="fr-FR"/>
              </w:rPr>
              <w:t>Georgia</w:t>
            </w:r>
            <w:r w:rsidRPr="00D341ED">
              <w:rPr>
                <w:color w:val="000000"/>
                <w:kern w:val="14"/>
                <w:lang w:val="en-GB" w:eastAsia="fr-FR"/>
              </w:rPr>
              <w:t xml:space="preserve"> (2021-2025)</w:t>
            </w:r>
            <w:r w:rsidR="00A21A0E" w:rsidRPr="00D341ED">
              <w:rPr>
                <w:color w:val="000000"/>
                <w:lang w:val="en-GB" w:eastAsia="fr-FR"/>
              </w:rPr>
              <w:t>………………………………………</w:t>
            </w:r>
          </w:p>
        </w:tc>
        <w:tc>
          <w:tcPr>
            <w:tcW w:w="727" w:type="dxa"/>
            <w:shd w:val="clear" w:color="auto" w:fill="auto"/>
            <w:vAlign w:val="bottom"/>
          </w:tcPr>
          <w:p w14:paraId="698BAD96" w14:textId="539FCE15" w:rsidR="004D0797" w:rsidRPr="00D341ED" w:rsidRDefault="00160E8C" w:rsidP="00306EEA">
            <w:pPr>
              <w:tabs>
                <w:tab w:val="left" w:pos="1620"/>
              </w:tabs>
              <w:suppressAutoHyphens/>
              <w:spacing w:after="120"/>
              <w:jc w:val="right"/>
              <w:rPr>
                <w:color w:val="000000"/>
                <w:spacing w:val="4"/>
                <w:w w:val="103"/>
                <w:kern w:val="14"/>
                <w:lang w:val="en-GB" w:eastAsia="fr-FR"/>
              </w:rPr>
            </w:pPr>
            <w:r w:rsidRPr="00D341ED">
              <w:rPr>
                <w:color w:val="000000"/>
                <w:kern w:val="14"/>
                <w:lang w:val="en-GB" w:eastAsia="fr-FR"/>
              </w:rPr>
              <w:t>8</w:t>
            </w:r>
          </w:p>
        </w:tc>
      </w:tr>
    </w:tbl>
    <w:p w14:paraId="2900D3CA" w14:textId="47D1D6D6" w:rsidR="00F126EB" w:rsidRPr="00D341ED" w:rsidRDefault="00F126EB" w:rsidP="00475B8F">
      <w:pPr>
        <w:rPr>
          <w:b/>
          <w:bCs/>
          <w:color w:val="000000" w:themeColor="text1"/>
          <w:sz w:val="24"/>
          <w:szCs w:val="24"/>
          <w:lang w:val="en-GB"/>
        </w:rPr>
      </w:pPr>
      <w:r w:rsidRPr="00D341ED">
        <w:rPr>
          <w:bCs/>
          <w:color w:val="000000" w:themeColor="text1"/>
          <w:sz w:val="24"/>
          <w:szCs w:val="24"/>
          <w:lang w:val="en-GB"/>
        </w:rPr>
        <w:br w:type="page"/>
      </w:r>
    </w:p>
    <w:p w14:paraId="7531193B" w14:textId="41D5E1C7" w:rsidR="00A918A7" w:rsidRPr="00D341ED" w:rsidRDefault="005A353B" w:rsidP="00D23443">
      <w:pPr>
        <w:pStyle w:val="Heading2"/>
        <w:numPr>
          <w:ilvl w:val="0"/>
          <w:numId w:val="19"/>
        </w:numPr>
        <w:spacing w:after="120" w:line="240" w:lineRule="exact"/>
        <w:ind w:left="1260" w:right="1267" w:hanging="270"/>
        <w:jc w:val="both"/>
        <w:rPr>
          <w:rFonts w:ascii="Times New Roman" w:hAnsi="Times New Roman"/>
          <w:bCs/>
          <w:color w:val="000000" w:themeColor="text1"/>
          <w:sz w:val="24"/>
          <w:szCs w:val="24"/>
          <w:lang w:val="en-GB"/>
        </w:rPr>
      </w:pPr>
      <w:r w:rsidRPr="00D341ED">
        <w:rPr>
          <w:rFonts w:ascii="Times New Roman" w:hAnsi="Times New Roman"/>
          <w:bCs/>
          <w:color w:val="000000"/>
          <w:sz w:val="24"/>
          <w:szCs w:val="24"/>
          <w:lang w:val="en-GB"/>
        </w:rPr>
        <w:lastRenderedPageBreak/>
        <w:t>UNDP within the United Nations Sustainable Development Cooperation Framework</w:t>
      </w:r>
      <w:r w:rsidRPr="00D341ED">
        <w:rPr>
          <w:rFonts w:ascii="Times New Roman" w:hAnsi="Times New Roman"/>
          <w:bCs/>
          <w:color w:val="000000" w:themeColor="text1"/>
          <w:sz w:val="24"/>
          <w:szCs w:val="24"/>
          <w:lang w:val="en-GB"/>
        </w:rPr>
        <w:t xml:space="preserve"> </w:t>
      </w:r>
    </w:p>
    <w:p w14:paraId="78B4267C" w14:textId="624E68CE" w:rsidR="00C35CCF" w:rsidRPr="00D341ED" w:rsidRDefault="00D7133B" w:rsidP="00C45931">
      <w:pPr>
        <w:pStyle w:val="ListParagraph"/>
        <w:numPr>
          <w:ilvl w:val="0"/>
          <w:numId w:val="14"/>
        </w:numPr>
        <w:tabs>
          <w:tab w:val="left" w:pos="1260"/>
          <w:tab w:val="left" w:pos="1530"/>
        </w:tabs>
        <w:spacing w:after="120" w:line="240" w:lineRule="exact"/>
        <w:ind w:left="1260" w:right="1210" w:firstLine="0"/>
        <w:jc w:val="both"/>
        <w:rPr>
          <w:lang w:val="en-GB"/>
        </w:rPr>
      </w:pPr>
      <w:r w:rsidRPr="00D341ED">
        <w:rPr>
          <w:lang w:val="en-GB"/>
        </w:rPr>
        <w:t xml:space="preserve">Since restoring independence in 1991, Georgia has </w:t>
      </w:r>
      <w:r w:rsidR="00B30EA6" w:rsidRPr="00D341ED">
        <w:rPr>
          <w:lang w:val="en-GB"/>
        </w:rPr>
        <w:t xml:space="preserve">sought </w:t>
      </w:r>
      <w:r w:rsidR="00C35CCF" w:rsidRPr="00D341ED">
        <w:rPr>
          <w:lang w:val="en-GB"/>
        </w:rPr>
        <w:t xml:space="preserve">to achieve the prosperity, stability and security </w:t>
      </w:r>
      <w:r w:rsidR="00B30EA6" w:rsidRPr="00D341ED">
        <w:rPr>
          <w:lang w:val="en-GB"/>
        </w:rPr>
        <w:t xml:space="preserve">that membership of the </w:t>
      </w:r>
      <w:r w:rsidR="00A21A0E" w:rsidRPr="00D341ED">
        <w:rPr>
          <w:lang w:val="en-GB"/>
        </w:rPr>
        <w:t xml:space="preserve">European Union </w:t>
      </w:r>
      <w:r w:rsidR="00B30EA6" w:rsidRPr="00D341ED">
        <w:rPr>
          <w:lang w:val="en-GB"/>
        </w:rPr>
        <w:t>connotes to the Georgian public</w:t>
      </w:r>
      <w:r w:rsidR="00C35CCF" w:rsidRPr="00D341ED">
        <w:rPr>
          <w:lang w:val="en-GB"/>
        </w:rPr>
        <w:t xml:space="preserve">. Georgia has made </w:t>
      </w:r>
      <w:r w:rsidR="00132B61" w:rsidRPr="00D341ED">
        <w:rPr>
          <w:lang w:val="en-GB"/>
        </w:rPr>
        <w:t xml:space="preserve">tangible </w:t>
      </w:r>
      <w:r w:rsidR="00C35CCF" w:rsidRPr="00D341ED">
        <w:rPr>
          <w:lang w:val="en-GB"/>
        </w:rPr>
        <w:t xml:space="preserve">progress on this path, including </w:t>
      </w:r>
      <w:r w:rsidR="00321A6A" w:rsidRPr="00D341ED">
        <w:rPr>
          <w:lang w:val="en-GB"/>
        </w:rPr>
        <w:t xml:space="preserve">most significantly </w:t>
      </w:r>
      <w:r w:rsidR="00132B61" w:rsidRPr="00D341ED">
        <w:rPr>
          <w:lang w:val="en-GB"/>
        </w:rPr>
        <w:t xml:space="preserve">its </w:t>
      </w:r>
      <w:r w:rsidR="00C35CCF" w:rsidRPr="00D341ED">
        <w:rPr>
          <w:lang w:val="en-GB"/>
        </w:rPr>
        <w:t xml:space="preserve">signing </w:t>
      </w:r>
      <w:r w:rsidR="00132B61" w:rsidRPr="00D341ED">
        <w:rPr>
          <w:lang w:val="en-GB"/>
        </w:rPr>
        <w:t xml:space="preserve">of </w:t>
      </w:r>
      <w:r w:rsidR="0057097B" w:rsidRPr="00D341ED">
        <w:rPr>
          <w:lang w:val="en-GB"/>
        </w:rPr>
        <w:t xml:space="preserve">an </w:t>
      </w:r>
      <w:r w:rsidR="00C35CCF" w:rsidRPr="00D341ED">
        <w:rPr>
          <w:lang w:val="en-GB"/>
        </w:rPr>
        <w:t xml:space="preserve">Association Agreement </w:t>
      </w:r>
      <w:r w:rsidR="004A6228" w:rsidRPr="00D341ED">
        <w:rPr>
          <w:lang w:val="en-GB"/>
        </w:rPr>
        <w:t xml:space="preserve">with the </w:t>
      </w:r>
      <w:r w:rsidR="00A21A0E" w:rsidRPr="00D341ED">
        <w:rPr>
          <w:lang w:val="en-GB"/>
        </w:rPr>
        <w:t xml:space="preserve">European Union </w:t>
      </w:r>
      <w:r w:rsidR="0038304C" w:rsidRPr="00D341ED">
        <w:rPr>
          <w:lang w:val="en-GB"/>
        </w:rPr>
        <w:t xml:space="preserve">in 2014. </w:t>
      </w:r>
    </w:p>
    <w:p w14:paraId="00092A28" w14:textId="7CBDB91E" w:rsidR="00D77498" w:rsidRPr="00D341ED" w:rsidRDefault="004A6228" w:rsidP="00C45931">
      <w:pPr>
        <w:pStyle w:val="ListParagraph"/>
        <w:numPr>
          <w:ilvl w:val="0"/>
          <w:numId w:val="14"/>
        </w:numPr>
        <w:tabs>
          <w:tab w:val="left" w:pos="1260"/>
          <w:tab w:val="left" w:pos="1530"/>
        </w:tabs>
        <w:spacing w:after="120" w:line="240" w:lineRule="exact"/>
        <w:ind w:left="1260" w:right="1210" w:firstLine="0"/>
        <w:jc w:val="both"/>
        <w:rPr>
          <w:lang w:val="en-GB"/>
        </w:rPr>
      </w:pPr>
      <w:r w:rsidRPr="00D341ED">
        <w:rPr>
          <w:lang w:val="en-GB"/>
        </w:rPr>
        <w:t xml:space="preserve">In tandem with its </w:t>
      </w:r>
      <w:r w:rsidR="0038304C" w:rsidRPr="00D341ED">
        <w:rPr>
          <w:lang w:val="en-GB"/>
        </w:rPr>
        <w:t xml:space="preserve">strong </w:t>
      </w:r>
      <w:r w:rsidRPr="00D341ED">
        <w:rPr>
          <w:lang w:val="en-GB"/>
        </w:rPr>
        <w:t xml:space="preserve">commitment to European integration, </w:t>
      </w:r>
      <w:r w:rsidR="00D77498" w:rsidRPr="00D341ED">
        <w:rPr>
          <w:lang w:val="en-GB"/>
        </w:rPr>
        <w:t xml:space="preserve">Georgia </w:t>
      </w:r>
      <w:r w:rsidR="00EC6F60" w:rsidRPr="00D341ED">
        <w:rPr>
          <w:lang w:val="en-GB"/>
        </w:rPr>
        <w:t xml:space="preserve">is energetically pursuing </w:t>
      </w:r>
      <w:r w:rsidR="00C35CCF" w:rsidRPr="00D341ED">
        <w:rPr>
          <w:lang w:val="en-GB"/>
        </w:rPr>
        <w:t>the Sustainable Development Goals</w:t>
      </w:r>
      <w:r w:rsidR="00EF51A9" w:rsidRPr="00D341ED">
        <w:rPr>
          <w:lang w:val="en-GB"/>
        </w:rPr>
        <w:t xml:space="preserve"> (SDG</w:t>
      </w:r>
      <w:r w:rsidR="0038304C" w:rsidRPr="00D341ED">
        <w:rPr>
          <w:lang w:val="en-GB"/>
        </w:rPr>
        <w:t>s</w:t>
      </w:r>
      <w:r w:rsidR="00EF51A9" w:rsidRPr="00D341ED">
        <w:rPr>
          <w:lang w:val="en-GB"/>
        </w:rPr>
        <w:t>).</w:t>
      </w:r>
      <w:r w:rsidR="00C35CCF" w:rsidRPr="00D341ED">
        <w:rPr>
          <w:lang w:val="en-GB"/>
        </w:rPr>
        <w:t xml:space="preserve"> </w:t>
      </w:r>
      <w:r w:rsidR="00EF51A9" w:rsidRPr="00D341ED">
        <w:rPr>
          <w:lang w:val="en-GB"/>
        </w:rPr>
        <w:t xml:space="preserve">It has </w:t>
      </w:r>
      <w:r w:rsidR="00C2305A" w:rsidRPr="00D341ED">
        <w:rPr>
          <w:lang w:val="en-GB"/>
        </w:rPr>
        <w:t>nationaliz</w:t>
      </w:r>
      <w:r w:rsidR="00EF51A9" w:rsidRPr="00D341ED">
        <w:rPr>
          <w:lang w:val="en-GB"/>
        </w:rPr>
        <w:t>ed</w:t>
      </w:r>
      <w:r w:rsidR="00C2305A" w:rsidRPr="00D341ED">
        <w:rPr>
          <w:lang w:val="en-GB"/>
        </w:rPr>
        <w:t xml:space="preserve"> 93 priority targets</w:t>
      </w:r>
      <w:r w:rsidR="00213D48" w:rsidRPr="00D341ED">
        <w:rPr>
          <w:lang w:val="en-GB"/>
        </w:rPr>
        <w:t xml:space="preserve"> and</w:t>
      </w:r>
      <w:r w:rsidR="00D77498" w:rsidRPr="00D341ED">
        <w:rPr>
          <w:lang w:val="en-GB"/>
        </w:rPr>
        <w:t xml:space="preserve"> </w:t>
      </w:r>
      <w:r w:rsidR="00213D48" w:rsidRPr="00D341ED">
        <w:rPr>
          <w:lang w:val="en-GB"/>
        </w:rPr>
        <w:t>establish</w:t>
      </w:r>
      <w:r w:rsidR="00EF51A9" w:rsidRPr="00D341ED">
        <w:rPr>
          <w:lang w:val="en-GB"/>
        </w:rPr>
        <w:t>ed</w:t>
      </w:r>
      <w:r w:rsidR="00213D48" w:rsidRPr="00D341ED">
        <w:rPr>
          <w:lang w:val="en-GB"/>
        </w:rPr>
        <w:t xml:space="preserve"> a robust </w:t>
      </w:r>
      <w:r w:rsidRPr="00D341ED">
        <w:rPr>
          <w:lang w:val="en-GB"/>
        </w:rPr>
        <w:t xml:space="preserve">interministerial </w:t>
      </w:r>
      <w:r w:rsidR="00213D48" w:rsidRPr="00D341ED">
        <w:rPr>
          <w:lang w:val="en-GB"/>
        </w:rPr>
        <w:t xml:space="preserve">mechanism </w:t>
      </w:r>
      <w:r w:rsidRPr="00D341ED">
        <w:rPr>
          <w:lang w:val="en-GB"/>
        </w:rPr>
        <w:t xml:space="preserve">to </w:t>
      </w:r>
      <w:r w:rsidR="00213D48" w:rsidRPr="00D341ED">
        <w:rPr>
          <w:lang w:val="en-GB"/>
        </w:rPr>
        <w:t>coordinat</w:t>
      </w:r>
      <w:r w:rsidRPr="00D341ED">
        <w:rPr>
          <w:lang w:val="en-GB"/>
        </w:rPr>
        <w:t>e</w:t>
      </w:r>
      <w:r w:rsidR="00213D48" w:rsidRPr="00D341ED">
        <w:rPr>
          <w:lang w:val="en-GB"/>
        </w:rPr>
        <w:t xml:space="preserve"> national efforts and monitor progress</w:t>
      </w:r>
      <w:r w:rsidR="00EF51A9" w:rsidRPr="00D341ED">
        <w:rPr>
          <w:lang w:val="en-GB"/>
        </w:rPr>
        <w:t>, including through a voluntary national review</w:t>
      </w:r>
      <w:r w:rsidR="00262211" w:rsidRPr="00D341ED">
        <w:rPr>
          <w:rStyle w:val="FootnoteReference"/>
          <w:lang w:val="en-GB"/>
        </w:rPr>
        <w:footnoteReference w:id="2"/>
      </w:r>
      <w:r w:rsidR="00262211" w:rsidRPr="00D341ED">
        <w:rPr>
          <w:lang w:val="en-GB"/>
        </w:rPr>
        <w:t xml:space="preserve"> </w:t>
      </w:r>
      <w:r w:rsidR="00D328B9" w:rsidRPr="00D341ED">
        <w:rPr>
          <w:lang w:val="en-GB"/>
        </w:rPr>
        <w:t xml:space="preserve">presented </w:t>
      </w:r>
      <w:r w:rsidR="00D7133B" w:rsidRPr="00D341ED">
        <w:rPr>
          <w:lang w:val="en-GB"/>
        </w:rPr>
        <w:t xml:space="preserve">at the </w:t>
      </w:r>
      <w:r w:rsidR="0038304C" w:rsidRPr="00D341ED">
        <w:rPr>
          <w:lang w:val="en-GB"/>
        </w:rPr>
        <w:t xml:space="preserve">United Nations </w:t>
      </w:r>
      <w:r w:rsidR="00D7133B" w:rsidRPr="00D341ED">
        <w:rPr>
          <w:lang w:val="en-GB"/>
        </w:rPr>
        <w:t xml:space="preserve">High-Level Political Forum on Sustainable Development </w:t>
      </w:r>
      <w:r w:rsidR="00EF51A9" w:rsidRPr="00D341ED">
        <w:rPr>
          <w:lang w:val="en-GB"/>
        </w:rPr>
        <w:t>in 2020</w:t>
      </w:r>
      <w:r w:rsidR="00C2305A" w:rsidRPr="00D341ED">
        <w:rPr>
          <w:lang w:val="en-GB"/>
        </w:rPr>
        <w:t>.</w:t>
      </w:r>
      <w:r w:rsidR="00920D3F" w:rsidRPr="00D341ED">
        <w:rPr>
          <w:lang w:val="en-GB"/>
        </w:rPr>
        <w:t xml:space="preserve"> </w:t>
      </w:r>
    </w:p>
    <w:p w14:paraId="64E8FEC7" w14:textId="6364F61D" w:rsidR="00E74F26" w:rsidRPr="00D341ED" w:rsidRDefault="004A6228" w:rsidP="00C45931">
      <w:pPr>
        <w:pStyle w:val="ListParagraph"/>
        <w:numPr>
          <w:ilvl w:val="0"/>
          <w:numId w:val="14"/>
        </w:numPr>
        <w:tabs>
          <w:tab w:val="left" w:pos="1260"/>
          <w:tab w:val="left" w:pos="1530"/>
        </w:tabs>
        <w:spacing w:after="120" w:line="240" w:lineRule="exact"/>
        <w:ind w:left="1260" w:right="1210" w:firstLine="0"/>
        <w:jc w:val="both"/>
        <w:rPr>
          <w:lang w:val="en-GB"/>
        </w:rPr>
      </w:pPr>
      <w:r w:rsidRPr="00D341ED">
        <w:rPr>
          <w:lang w:val="en-GB"/>
        </w:rPr>
        <w:t xml:space="preserve">The two agendas are increasingly recognized as complementary. The Association Agreement </w:t>
      </w:r>
      <w:r w:rsidR="003C3998" w:rsidRPr="00D341ED">
        <w:rPr>
          <w:lang w:val="en-GB"/>
        </w:rPr>
        <w:t xml:space="preserve">alone </w:t>
      </w:r>
      <w:r w:rsidRPr="00D341ED">
        <w:rPr>
          <w:lang w:val="en-GB"/>
        </w:rPr>
        <w:t xml:space="preserve">incorporates 63 </w:t>
      </w:r>
      <w:r w:rsidR="00132B61" w:rsidRPr="00D341ED">
        <w:rPr>
          <w:lang w:val="en-GB"/>
        </w:rPr>
        <w:t xml:space="preserve">per cent </w:t>
      </w:r>
      <w:r w:rsidRPr="00D341ED">
        <w:rPr>
          <w:lang w:val="en-GB"/>
        </w:rPr>
        <w:t xml:space="preserve">of </w:t>
      </w:r>
      <w:r w:rsidR="00132B61" w:rsidRPr="00D341ED">
        <w:rPr>
          <w:lang w:val="en-GB"/>
        </w:rPr>
        <w:t xml:space="preserve">the country’s </w:t>
      </w:r>
      <w:r w:rsidRPr="00D341ED">
        <w:rPr>
          <w:lang w:val="en-GB"/>
        </w:rPr>
        <w:t>nationalized SDG targets</w:t>
      </w:r>
      <w:r w:rsidR="00213D48" w:rsidRPr="00D341ED">
        <w:rPr>
          <w:lang w:val="en-GB"/>
        </w:rPr>
        <w:t xml:space="preserve">. </w:t>
      </w:r>
      <w:r w:rsidRPr="00D341ED">
        <w:rPr>
          <w:lang w:val="en-GB"/>
        </w:rPr>
        <w:t xml:space="preserve">Taken together, </w:t>
      </w:r>
      <w:r w:rsidR="0038304C" w:rsidRPr="00D341ED">
        <w:rPr>
          <w:lang w:val="en-GB"/>
        </w:rPr>
        <w:t xml:space="preserve">they </w:t>
      </w:r>
      <w:r w:rsidR="003C3998" w:rsidRPr="00D341ED">
        <w:rPr>
          <w:lang w:val="en-GB"/>
        </w:rPr>
        <w:t xml:space="preserve">map out a clearly </w:t>
      </w:r>
      <w:r w:rsidR="00262211" w:rsidRPr="00D341ED">
        <w:rPr>
          <w:lang w:val="en-GB"/>
        </w:rPr>
        <w:t xml:space="preserve">sign-posted </w:t>
      </w:r>
      <w:r w:rsidR="003C3998" w:rsidRPr="00D341ED">
        <w:rPr>
          <w:lang w:val="en-GB"/>
        </w:rPr>
        <w:t xml:space="preserve">development pathway for Georgia and </w:t>
      </w:r>
      <w:r w:rsidR="00213D48" w:rsidRPr="00D341ED">
        <w:rPr>
          <w:lang w:val="en-GB"/>
        </w:rPr>
        <w:t>provide a mutually</w:t>
      </w:r>
      <w:r w:rsidR="0038304C" w:rsidRPr="00D341ED">
        <w:rPr>
          <w:lang w:val="en-GB"/>
        </w:rPr>
        <w:t xml:space="preserve"> </w:t>
      </w:r>
      <w:r w:rsidR="00213D48" w:rsidRPr="00D341ED">
        <w:rPr>
          <w:lang w:val="en-GB"/>
        </w:rPr>
        <w:t xml:space="preserve">reinforcing framework for </w:t>
      </w:r>
      <w:r w:rsidR="00272027" w:rsidRPr="00D341ED">
        <w:rPr>
          <w:lang w:val="en-GB"/>
        </w:rPr>
        <w:t>U</w:t>
      </w:r>
      <w:r w:rsidR="00A548F3" w:rsidRPr="00D341ED">
        <w:rPr>
          <w:lang w:val="en-GB"/>
        </w:rPr>
        <w:t xml:space="preserve">nited </w:t>
      </w:r>
      <w:r w:rsidR="00272027" w:rsidRPr="00D341ED">
        <w:rPr>
          <w:lang w:val="en-GB"/>
        </w:rPr>
        <w:t>N</w:t>
      </w:r>
      <w:r w:rsidR="00A548F3" w:rsidRPr="00D341ED">
        <w:rPr>
          <w:lang w:val="en-GB"/>
        </w:rPr>
        <w:t>ations</w:t>
      </w:r>
      <w:r w:rsidR="00272027" w:rsidRPr="00D341ED">
        <w:rPr>
          <w:lang w:val="en-GB"/>
        </w:rPr>
        <w:t xml:space="preserve"> work in </w:t>
      </w:r>
      <w:r w:rsidR="00213D48" w:rsidRPr="00D341ED">
        <w:rPr>
          <w:lang w:val="en-GB"/>
        </w:rPr>
        <w:t>2021-</w:t>
      </w:r>
      <w:r w:rsidR="00EC6F60" w:rsidRPr="00D341ED">
        <w:rPr>
          <w:lang w:val="en-GB"/>
        </w:rPr>
        <w:t>20</w:t>
      </w:r>
      <w:r w:rsidR="00213D48" w:rsidRPr="00D341ED">
        <w:rPr>
          <w:lang w:val="en-GB"/>
        </w:rPr>
        <w:t>25.</w:t>
      </w:r>
    </w:p>
    <w:p w14:paraId="7E88D9E2" w14:textId="560E9C26" w:rsidR="00913AF6" w:rsidRPr="00D341ED" w:rsidRDefault="00913AF6" w:rsidP="00C45931">
      <w:pPr>
        <w:pStyle w:val="ListParagraph"/>
        <w:numPr>
          <w:ilvl w:val="0"/>
          <w:numId w:val="14"/>
        </w:numPr>
        <w:tabs>
          <w:tab w:val="left" w:pos="1260"/>
          <w:tab w:val="left" w:pos="1530"/>
          <w:tab w:val="left" w:pos="6750"/>
        </w:tabs>
        <w:spacing w:after="120" w:line="240" w:lineRule="exact"/>
        <w:ind w:left="1260" w:right="1210" w:firstLine="0"/>
        <w:jc w:val="both"/>
        <w:rPr>
          <w:lang w:val="en-GB"/>
        </w:rPr>
      </w:pPr>
      <w:r w:rsidRPr="00D341ED">
        <w:rPr>
          <w:lang w:val="en-GB"/>
        </w:rPr>
        <w:t xml:space="preserve">As Georgia marks 30 years of independence, it can take pride in its achievements building democratic institutions. </w:t>
      </w:r>
      <w:r w:rsidR="003C3998" w:rsidRPr="00D341ED">
        <w:rPr>
          <w:lang w:val="en-GB"/>
        </w:rPr>
        <w:t xml:space="preserve">Governance standards </w:t>
      </w:r>
      <w:r w:rsidR="00BE0FED" w:rsidRPr="00D341ED">
        <w:rPr>
          <w:lang w:val="en-GB"/>
        </w:rPr>
        <w:t xml:space="preserve">reflect </w:t>
      </w:r>
      <w:r w:rsidR="003C3998" w:rsidRPr="00D341ED">
        <w:rPr>
          <w:lang w:val="en-GB"/>
        </w:rPr>
        <w:t>high</w:t>
      </w:r>
      <w:r w:rsidR="00BE0FED" w:rsidRPr="00D341ED">
        <w:rPr>
          <w:lang w:val="en-GB"/>
        </w:rPr>
        <w:t xml:space="preserve"> aspirations</w:t>
      </w:r>
      <w:r w:rsidR="00A13809" w:rsidRPr="00D341ED">
        <w:rPr>
          <w:lang w:val="en-GB"/>
        </w:rPr>
        <w:t>;</w:t>
      </w:r>
      <w:r w:rsidR="003C3998" w:rsidRPr="00D341ED">
        <w:rPr>
          <w:lang w:val="en-GB"/>
        </w:rPr>
        <w:t xml:space="preserve"> </w:t>
      </w:r>
      <w:r w:rsidR="00A13809" w:rsidRPr="00D341ED">
        <w:rPr>
          <w:lang w:val="en-GB"/>
        </w:rPr>
        <w:t xml:space="preserve">the country’s accomplishments </w:t>
      </w:r>
      <w:r w:rsidR="00BE0FED" w:rsidRPr="00D341ED">
        <w:rPr>
          <w:lang w:val="en-GB"/>
        </w:rPr>
        <w:t xml:space="preserve">in this area </w:t>
      </w:r>
      <w:r w:rsidR="003C3998" w:rsidRPr="00D341ED">
        <w:rPr>
          <w:lang w:val="en-GB"/>
        </w:rPr>
        <w:t xml:space="preserve">have been </w:t>
      </w:r>
      <w:r w:rsidR="00262211" w:rsidRPr="00D341ED">
        <w:rPr>
          <w:lang w:val="en-GB"/>
        </w:rPr>
        <w:t xml:space="preserve">widely </w:t>
      </w:r>
      <w:r w:rsidR="003C3998" w:rsidRPr="00D341ED">
        <w:rPr>
          <w:lang w:val="en-GB"/>
        </w:rPr>
        <w:t xml:space="preserve">recognized, </w:t>
      </w:r>
      <w:r w:rsidR="00013601" w:rsidRPr="00D341ED">
        <w:rPr>
          <w:lang w:val="en-GB"/>
        </w:rPr>
        <w:t xml:space="preserve">including in the latest round of the World Bank </w:t>
      </w:r>
      <w:r w:rsidR="00A13809" w:rsidRPr="00D341ED">
        <w:rPr>
          <w:lang w:val="en-GB"/>
        </w:rPr>
        <w:t>w</w:t>
      </w:r>
      <w:r w:rsidR="00013601" w:rsidRPr="00D341ED">
        <w:rPr>
          <w:lang w:val="en-GB"/>
        </w:rPr>
        <w:t xml:space="preserve">orldwide </w:t>
      </w:r>
      <w:r w:rsidR="00A13809" w:rsidRPr="00D341ED">
        <w:rPr>
          <w:lang w:val="en-GB"/>
        </w:rPr>
        <w:t>g</w:t>
      </w:r>
      <w:r w:rsidR="00013601" w:rsidRPr="00D341ED">
        <w:rPr>
          <w:lang w:val="en-GB"/>
        </w:rPr>
        <w:t xml:space="preserve">overnance </w:t>
      </w:r>
      <w:r w:rsidR="00A13809" w:rsidRPr="00D341ED">
        <w:rPr>
          <w:lang w:val="en-GB"/>
        </w:rPr>
        <w:t>i</w:t>
      </w:r>
      <w:r w:rsidR="00013601" w:rsidRPr="00D341ED">
        <w:rPr>
          <w:lang w:val="en-GB"/>
        </w:rPr>
        <w:t>ndicators.</w:t>
      </w:r>
      <w:r w:rsidRPr="00D341ED">
        <w:rPr>
          <w:lang w:val="en-GB"/>
        </w:rPr>
        <w:t xml:space="preserve"> </w:t>
      </w:r>
      <w:r w:rsidR="006530F2" w:rsidRPr="00D341ED">
        <w:rPr>
          <w:lang w:val="en-GB"/>
        </w:rPr>
        <w:t>Recent events show that t</w:t>
      </w:r>
      <w:r w:rsidR="003C3998" w:rsidRPr="00D341ED">
        <w:rPr>
          <w:lang w:val="en-GB"/>
        </w:rPr>
        <w:t xml:space="preserve">he political system remains </w:t>
      </w:r>
      <w:r w:rsidR="00BE0FED" w:rsidRPr="00D341ED">
        <w:rPr>
          <w:lang w:val="en-GB"/>
        </w:rPr>
        <w:t>open to adaptation and further reform</w:t>
      </w:r>
      <w:r w:rsidR="003C3998" w:rsidRPr="00D341ED">
        <w:rPr>
          <w:lang w:val="en-GB"/>
        </w:rPr>
        <w:t xml:space="preserve">. Georgia shifted to a fully parliamentary system of governance in 2019, responding to perceived imbalances in the division of power, and </w:t>
      </w:r>
      <w:r w:rsidR="00BE0FED" w:rsidRPr="00D341ED">
        <w:rPr>
          <w:lang w:val="en-GB"/>
        </w:rPr>
        <w:t xml:space="preserve">revised </w:t>
      </w:r>
      <w:r w:rsidR="003C3998" w:rsidRPr="00D341ED">
        <w:rPr>
          <w:lang w:val="en-GB"/>
        </w:rPr>
        <w:t xml:space="preserve">rules for the 2020 elections to promote greater party pluralism. </w:t>
      </w:r>
    </w:p>
    <w:p w14:paraId="2000E0AB" w14:textId="18FBE7B3" w:rsidR="003E2AE2" w:rsidRPr="00D341ED" w:rsidRDefault="007A6CA8" w:rsidP="00C45931">
      <w:pPr>
        <w:pStyle w:val="ListParagraph"/>
        <w:numPr>
          <w:ilvl w:val="0"/>
          <w:numId w:val="14"/>
        </w:numPr>
        <w:tabs>
          <w:tab w:val="left" w:pos="1260"/>
          <w:tab w:val="left" w:pos="1530"/>
        </w:tabs>
        <w:spacing w:after="120" w:line="240" w:lineRule="exact"/>
        <w:ind w:left="1260" w:right="1210" w:firstLine="0"/>
        <w:jc w:val="both"/>
        <w:rPr>
          <w:lang w:val="en-GB"/>
        </w:rPr>
      </w:pPr>
      <w:r w:rsidRPr="00D341ED">
        <w:rPr>
          <w:lang w:val="en-GB"/>
        </w:rPr>
        <w:t xml:space="preserve">Georgia has also achieved sturdy economic </w:t>
      </w:r>
      <w:r w:rsidR="00913AF6" w:rsidRPr="00D341ED">
        <w:rPr>
          <w:lang w:val="en-GB"/>
        </w:rPr>
        <w:t xml:space="preserve">growth. </w:t>
      </w:r>
      <w:r w:rsidR="00A13809" w:rsidRPr="00D341ED">
        <w:rPr>
          <w:lang w:val="en-GB"/>
        </w:rPr>
        <w:t>Gross domestic product (</w:t>
      </w:r>
      <w:r w:rsidR="00913AF6" w:rsidRPr="00D341ED">
        <w:rPr>
          <w:lang w:val="en-GB"/>
        </w:rPr>
        <w:t>GDP</w:t>
      </w:r>
      <w:r w:rsidR="00A13809" w:rsidRPr="00D341ED">
        <w:rPr>
          <w:lang w:val="en-GB"/>
        </w:rPr>
        <w:t>)</w:t>
      </w:r>
      <w:r w:rsidR="00913AF6" w:rsidRPr="00D341ED">
        <w:rPr>
          <w:lang w:val="en-GB"/>
        </w:rPr>
        <w:t xml:space="preserve"> grew by 4.9</w:t>
      </w:r>
      <w:r w:rsidR="00A13809" w:rsidRPr="00D341ED">
        <w:rPr>
          <w:lang w:val="en-GB"/>
        </w:rPr>
        <w:t xml:space="preserve"> per cent</w:t>
      </w:r>
      <w:r w:rsidR="00913AF6" w:rsidRPr="00D341ED">
        <w:rPr>
          <w:lang w:val="en-GB"/>
        </w:rPr>
        <w:t xml:space="preserve"> per year </w:t>
      </w:r>
      <w:r w:rsidRPr="00D341ED">
        <w:rPr>
          <w:lang w:val="en-GB"/>
        </w:rPr>
        <w:t xml:space="preserve">on average </w:t>
      </w:r>
      <w:r w:rsidR="00D14BD0" w:rsidRPr="00D341ED">
        <w:rPr>
          <w:lang w:val="en-GB"/>
        </w:rPr>
        <w:t xml:space="preserve">in </w:t>
      </w:r>
      <w:r w:rsidR="00913AF6" w:rsidRPr="00D341ED">
        <w:rPr>
          <w:lang w:val="en-GB"/>
        </w:rPr>
        <w:t>2010</w:t>
      </w:r>
      <w:r w:rsidR="00D14BD0" w:rsidRPr="00D341ED">
        <w:rPr>
          <w:lang w:val="en-GB"/>
        </w:rPr>
        <w:t>-</w:t>
      </w:r>
      <w:r w:rsidR="00913AF6" w:rsidRPr="00D341ED">
        <w:rPr>
          <w:lang w:val="en-GB"/>
        </w:rPr>
        <w:t xml:space="preserve">2019, and GDP per </w:t>
      </w:r>
      <w:r w:rsidR="00A13809" w:rsidRPr="00D341ED">
        <w:rPr>
          <w:lang w:val="en-GB"/>
        </w:rPr>
        <w:t xml:space="preserve">capita </w:t>
      </w:r>
      <w:r w:rsidRPr="00D341ED">
        <w:rPr>
          <w:lang w:val="en-GB"/>
        </w:rPr>
        <w:t xml:space="preserve">rose </w:t>
      </w:r>
      <w:r w:rsidR="00913AF6" w:rsidRPr="00D341ED">
        <w:rPr>
          <w:lang w:val="en-GB"/>
        </w:rPr>
        <w:t xml:space="preserve">to </w:t>
      </w:r>
      <w:r w:rsidR="00EF51A9" w:rsidRPr="00D341ED">
        <w:rPr>
          <w:lang w:val="en-GB"/>
        </w:rPr>
        <w:t>$</w:t>
      </w:r>
      <w:r w:rsidR="00913AF6" w:rsidRPr="00D341ED">
        <w:rPr>
          <w:lang w:val="en-GB"/>
        </w:rPr>
        <w:t>4,76</w:t>
      </w:r>
      <w:r w:rsidR="0037312B" w:rsidRPr="00D341ED">
        <w:rPr>
          <w:lang w:val="en-GB"/>
        </w:rPr>
        <w:t>4</w:t>
      </w:r>
      <w:r w:rsidR="00913AF6" w:rsidRPr="00D341ED">
        <w:rPr>
          <w:lang w:val="en-GB"/>
        </w:rPr>
        <w:t xml:space="preserve"> in 2019 </w:t>
      </w:r>
      <w:r w:rsidR="00A13809" w:rsidRPr="00D341ED">
        <w:rPr>
          <w:lang w:val="en-GB"/>
        </w:rPr>
        <w:t>(</w:t>
      </w:r>
      <w:r w:rsidR="00913AF6" w:rsidRPr="00D341ED">
        <w:rPr>
          <w:lang w:val="en-GB"/>
        </w:rPr>
        <w:t xml:space="preserve">from </w:t>
      </w:r>
      <w:r w:rsidR="00EF51A9" w:rsidRPr="00D341ED">
        <w:rPr>
          <w:lang w:val="en-GB"/>
        </w:rPr>
        <w:t>$</w:t>
      </w:r>
      <w:r w:rsidR="00913AF6" w:rsidRPr="00D341ED">
        <w:rPr>
          <w:lang w:val="en-GB"/>
        </w:rPr>
        <w:t>1,351 in 1991</w:t>
      </w:r>
      <w:r w:rsidR="00A13809" w:rsidRPr="00D341ED">
        <w:rPr>
          <w:lang w:val="en-GB"/>
        </w:rPr>
        <w:t>)</w:t>
      </w:r>
      <w:r w:rsidR="00913AF6" w:rsidRPr="00D341ED">
        <w:rPr>
          <w:lang w:val="en-GB"/>
        </w:rPr>
        <w:t xml:space="preserve">, boosting Georgia to </w:t>
      </w:r>
      <w:r w:rsidR="0037312B" w:rsidRPr="00D341ED">
        <w:rPr>
          <w:lang w:val="en-GB"/>
        </w:rPr>
        <w:t>upper</w:t>
      </w:r>
      <w:r w:rsidR="00913AF6" w:rsidRPr="00D341ED">
        <w:rPr>
          <w:lang w:val="en-GB"/>
        </w:rPr>
        <w:t>-middle-income status. Poverty measured by national standards fell to 19.5</w:t>
      </w:r>
      <w:r w:rsidR="00A13809" w:rsidRPr="00D341ED">
        <w:rPr>
          <w:lang w:val="en-GB"/>
        </w:rPr>
        <w:t xml:space="preserve"> per cent</w:t>
      </w:r>
      <w:r w:rsidR="00913AF6" w:rsidRPr="00D341ED">
        <w:rPr>
          <w:lang w:val="en-GB"/>
        </w:rPr>
        <w:t xml:space="preserve"> in 2019 </w:t>
      </w:r>
      <w:r w:rsidR="00A13809" w:rsidRPr="00D341ED">
        <w:rPr>
          <w:lang w:val="en-GB"/>
        </w:rPr>
        <w:t>(</w:t>
      </w:r>
      <w:r w:rsidR="00913AF6" w:rsidRPr="00D341ED">
        <w:rPr>
          <w:lang w:val="en-GB"/>
        </w:rPr>
        <w:t xml:space="preserve">from 38.8 </w:t>
      </w:r>
      <w:r w:rsidR="00A13809" w:rsidRPr="00D341ED">
        <w:rPr>
          <w:lang w:val="en-GB"/>
        </w:rPr>
        <w:t xml:space="preserve">per cent </w:t>
      </w:r>
      <w:r w:rsidR="00913AF6" w:rsidRPr="00D341ED">
        <w:rPr>
          <w:lang w:val="en-GB"/>
        </w:rPr>
        <w:t>in 2007</w:t>
      </w:r>
      <w:r w:rsidR="00A13809" w:rsidRPr="00D341ED">
        <w:rPr>
          <w:lang w:val="en-GB"/>
        </w:rPr>
        <w:t>)</w:t>
      </w:r>
      <w:r w:rsidR="00913AF6" w:rsidRPr="00D341ED">
        <w:rPr>
          <w:lang w:val="en-GB"/>
        </w:rPr>
        <w:t>.</w:t>
      </w:r>
    </w:p>
    <w:p w14:paraId="5ED3565F" w14:textId="1B6A0A24" w:rsidR="00D25729" w:rsidRPr="00D341ED" w:rsidRDefault="00D91359" w:rsidP="00C45931">
      <w:pPr>
        <w:pStyle w:val="ListParagraph"/>
        <w:numPr>
          <w:ilvl w:val="0"/>
          <w:numId w:val="14"/>
        </w:numPr>
        <w:tabs>
          <w:tab w:val="left" w:pos="1260"/>
          <w:tab w:val="left" w:pos="1530"/>
        </w:tabs>
        <w:spacing w:after="120" w:line="240" w:lineRule="exact"/>
        <w:ind w:left="1260" w:right="1210" w:firstLine="0"/>
        <w:jc w:val="both"/>
        <w:rPr>
          <w:lang w:val="en-GB"/>
        </w:rPr>
      </w:pPr>
      <w:r w:rsidRPr="00D341ED">
        <w:rPr>
          <w:lang w:val="en-GB"/>
        </w:rPr>
        <w:t xml:space="preserve">Finding an economic model </w:t>
      </w:r>
      <w:r w:rsidR="00BE0FED" w:rsidRPr="00D341ED">
        <w:rPr>
          <w:lang w:val="en-GB"/>
        </w:rPr>
        <w:t xml:space="preserve">capable of sustaining </w:t>
      </w:r>
      <w:r w:rsidRPr="00D341ED">
        <w:rPr>
          <w:lang w:val="en-GB"/>
        </w:rPr>
        <w:t xml:space="preserve">rapid growth and </w:t>
      </w:r>
      <w:r w:rsidR="00BE0FED" w:rsidRPr="00D341ED">
        <w:rPr>
          <w:lang w:val="en-GB"/>
        </w:rPr>
        <w:t xml:space="preserve">delivering </w:t>
      </w:r>
      <w:r w:rsidRPr="00D341ED">
        <w:rPr>
          <w:lang w:val="en-GB"/>
        </w:rPr>
        <w:t>widespread prosperity has been an</w:t>
      </w:r>
      <w:r w:rsidR="00912557" w:rsidRPr="00D341ED">
        <w:rPr>
          <w:lang w:val="en-GB"/>
        </w:rPr>
        <w:t xml:space="preserve"> ongoing</w:t>
      </w:r>
      <w:r w:rsidRPr="00D341ED">
        <w:rPr>
          <w:lang w:val="en-GB"/>
        </w:rPr>
        <w:t xml:space="preserve"> </w:t>
      </w:r>
      <w:r w:rsidR="00912557" w:rsidRPr="00D341ED">
        <w:rPr>
          <w:lang w:val="en-GB"/>
        </w:rPr>
        <w:t>focus since independence</w:t>
      </w:r>
      <w:r w:rsidRPr="00D341ED">
        <w:rPr>
          <w:lang w:val="en-GB"/>
        </w:rPr>
        <w:t xml:space="preserve">. </w:t>
      </w:r>
      <w:r w:rsidR="00BE0FED" w:rsidRPr="00D341ED">
        <w:rPr>
          <w:lang w:val="en-GB"/>
        </w:rPr>
        <w:t xml:space="preserve">Sweeping market-based reforms were adopted early on to encourage foreign investment and stimulate entrepreneurship. Creating a positive business environment has been a long-standing priority, rewarded with a seventh-place ranking among </w:t>
      </w:r>
      <w:r w:rsidR="00D25729" w:rsidRPr="00D341ED">
        <w:rPr>
          <w:lang w:val="en-GB"/>
        </w:rPr>
        <w:t xml:space="preserve">190 countries in </w:t>
      </w:r>
      <w:r w:rsidR="00BE0FED" w:rsidRPr="00D341ED">
        <w:rPr>
          <w:lang w:val="en-GB"/>
        </w:rPr>
        <w:t xml:space="preserve">the World Bank </w:t>
      </w:r>
      <w:r w:rsidR="00D25729" w:rsidRPr="00D341ED">
        <w:rPr>
          <w:i/>
          <w:iCs/>
          <w:lang w:val="en-GB"/>
        </w:rPr>
        <w:t>Doing Business</w:t>
      </w:r>
      <w:r w:rsidR="00A13809" w:rsidRPr="00D341ED">
        <w:rPr>
          <w:lang w:val="en-GB"/>
        </w:rPr>
        <w:t xml:space="preserve"> report</w:t>
      </w:r>
      <w:r w:rsidR="00D25729" w:rsidRPr="00D341ED">
        <w:rPr>
          <w:lang w:val="en-GB"/>
        </w:rPr>
        <w:t xml:space="preserve">. </w:t>
      </w:r>
      <w:r w:rsidR="00BE0FED" w:rsidRPr="00D341ED">
        <w:rPr>
          <w:lang w:val="en-GB"/>
        </w:rPr>
        <w:t>R</w:t>
      </w:r>
      <w:r w:rsidR="00D25729" w:rsidRPr="00D341ED">
        <w:rPr>
          <w:lang w:val="en-GB"/>
        </w:rPr>
        <w:t>ecent policies have emphasi</w:t>
      </w:r>
      <w:r w:rsidR="006530F2" w:rsidRPr="00D341ED">
        <w:rPr>
          <w:lang w:val="en-GB"/>
        </w:rPr>
        <w:t>sed</w:t>
      </w:r>
      <w:r w:rsidR="00D25729" w:rsidRPr="00D341ED">
        <w:rPr>
          <w:lang w:val="en-GB"/>
        </w:rPr>
        <w:t xml:space="preserve"> social welfare, </w:t>
      </w:r>
      <w:r w:rsidR="00A13809" w:rsidRPr="00D341ED">
        <w:rPr>
          <w:lang w:val="en-GB"/>
        </w:rPr>
        <w:t xml:space="preserve">by </w:t>
      </w:r>
      <w:r w:rsidR="005B16FA" w:rsidRPr="00D341ED">
        <w:rPr>
          <w:lang w:val="en-GB"/>
        </w:rPr>
        <w:t xml:space="preserve">establishing a </w:t>
      </w:r>
      <w:r w:rsidR="00D25729" w:rsidRPr="00D341ED">
        <w:rPr>
          <w:lang w:val="en-GB"/>
        </w:rPr>
        <w:t>universal health</w:t>
      </w:r>
      <w:r w:rsidR="00A13809" w:rsidRPr="00D341ED">
        <w:rPr>
          <w:lang w:val="en-GB"/>
        </w:rPr>
        <w:t>-</w:t>
      </w:r>
      <w:r w:rsidR="00D25729" w:rsidRPr="00D341ED">
        <w:rPr>
          <w:lang w:val="en-GB"/>
        </w:rPr>
        <w:t xml:space="preserve">care </w:t>
      </w:r>
      <w:r w:rsidR="005B16FA" w:rsidRPr="00D341ED">
        <w:rPr>
          <w:lang w:val="en-GB"/>
        </w:rPr>
        <w:t xml:space="preserve">system </w:t>
      </w:r>
      <w:r w:rsidR="00D25729" w:rsidRPr="00D341ED">
        <w:rPr>
          <w:lang w:val="en-GB"/>
        </w:rPr>
        <w:t xml:space="preserve">and </w:t>
      </w:r>
      <w:r w:rsidR="00BE0FED" w:rsidRPr="00D341ED">
        <w:rPr>
          <w:lang w:val="en-GB"/>
        </w:rPr>
        <w:t xml:space="preserve">expanding </w:t>
      </w:r>
      <w:r w:rsidR="00547815" w:rsidRPr="00D341ED">
        <w:rPr>
          <w:lang w:val="en-GB"/>
        </w:rPr>
        <w:t xml:space="preserve">targeted </w:t>
      </w:r>
      <w:r w:rsidR="00D25729" w:rsidRPr="00D341ED">
        <w:rPr>
          <w:lang w:val="en-GB"/>
        </w:rPr>
        <w:t xml:space="preserve">social assistance, which </w:t>
      </w:r>
      <w:r w:rsidR="00547815" w:rsidRPr="00D341ED">
        <w:rPr>
          <w:lang w:val="en-GB"/>
        </w:rPr>
        <w:t>benefit</w:t>
      </w:r>
      <w:r w:rsidR="00DF3078" w:rsidRPr="00D341ED">
        <w:rPr>
          <w:lang w:val="en-GB"/>
        </w:rPr>
        <w:t>s</w:t>
      </w:r>
      <w:r w:rsidR="00547815" w:rsidRPr="00D341ED">
        <w:rPr>
          <w:lang w:val="en-GB"/>
        </w:rPr>
        <w:t xml:space="preserve"> </w:t>
      </w:r>
      <w:r w:rsidR="00920D3F" w:rsidRPr="00D341ED">
        <w:rPr>
          <w:lang w:val="en-GB"/>
        </w:rPr>
        <w:t>12.3</w:t>
      </w:r>
      <w:r w:rsidR="00D25729" w:rsidRPr="00D341ED">
        <w:rPr>
          <w:lang w:val="en-GB"/>
        </w:rPr>
        <w:t xml:space="preserve"> </w:t>
      </w:r>
      <w:r w:rsidR="00A13809" w:rsidRPr="00D341ED">
        <w:rPr>
          <w:lang w:val="en-GB"/>
        </w:rPr>
        <w:t xml:space="preserve">per cent </w:t>
      </w:r>
      <w:r w:rsidR="00D25729" w:rsidRPr="00D341ED">
        <w:rPr>
          <w:lang w:val="en-GB"/>
        </w:rPr>
        <w:t xml:space="preserve">of the population. </w:t>
      </w:r>
    </w:p>
    <w:p w14:paraId="2366796E" w14:textId="407B600E" w:rsidR="00913AF6" w:rsidRPr="00D341ED" w:rsidRDefault="005B16FA" w:rsidP="00C45931">
      <w:pPr>
        <w:pStyle w:val="ListParagraph"/>
        <w:numPr>
          <w:ilvl w:val="0"/>
          <w:numId w:val="14"/>
        </w:numPr>
        <w:tabs>
          <w:tab w:val="left" w:pos="1260"/>
          <w:tab w:val="left" w:pos="1530"/>
        </w:tabs>
        <w:spacing w:after="120" w:line="240" w:lineRule="exact"/>
        <w:ind w:left="1260" w:right="1210" w:firstLine="0"/>
        <w:jc w:val="both"/>
        <w:rPr>
          <w:lang w:val="en-GB"/>
        </w:rPr>
      </w:pPr>
      <w:r w:rsidRPr="00D341ED">
        <w:rPr>
          <w:lang w:val="en-GB"/>
        </w:rPr>
        <w:t xml:space="preserve">Debate continues </w:t>
      </w:r>
      <w:r w:rsidR="0089519B" w:rsidRPr="00D341ED">
        <w:rPr>
          <w:lang w:val="en-GB"/>
        </w:rPr>
        <w:t xml:space="preserve">on </w:t>
      </w:r>
      <w:r w:rsidRPr="00D341ED">
        <w:rPr>
          <w:lang w:val="en-GB"/>
        </w:rPr>
        <w:t xml:space="preserve">how to accelerate economic progress. </w:t>
      </w:r>
      <w:r w:rsidR="00913AF6" w:rsidRPr="00D341ED">
        <w:rPr>
          <w:lang w:val="en-GB"/>
        </w:rPr>
        <w:t xml:space="preserve">Although exports grew from </w:t>
      </w:r>
      <w:r w:rsidR="00EC6F60" w:rsidRPr="00D341ED">
        <w:rPr>
          <w:lang w:val="en-GB"/>
        </w:rPr>
        <w:t>16</w:t>
      </w:r>
      <w:r w:rsidR="00913AF6" w:rsidRPr="00D341ED">
        <w:rPr>
          <w:lang w:val="en-GB"/>
        </w:rPr>
        <w:t xml:space="preserve"> to </w:t>
      </w:r>
      <w:r w:rsidR="00EC6F60" w:rsidRPr="00D341ED">
        <w:rPr>
          <w:lang w:val="en-GB"/>
        </w:rPr>
        <w:t>54</w:t>
      </w:r>
      <w:r w:rsidR="0089519B" w:rsidRPr="00D341ED">
        <w:rPr>
          <w:lang w:val="en-GB"/>
        </w:rPr>
        <w:t xml:space="preserve"> per cent </w:t>
      </w:r>
      <w:r w:rsidR="00913AF6" w:rsidRPr="00D341ED">
        <w:rPr>
          <w:lang w:val="en-GB"/>
        </w:rPr>
        <w:t>of GDP between 2000 and 201</w:t>
      </w:r>
      <w:r w:rsidR="00EC6F60" w:rsidRPr="00D341ED">
        <w:rPr>
          <w:lang w:val="en-GB"/>
        </w:rPr>
        <w:t>9</w:t>
      </w:r>
      <w:r w:rsidR="00913AF6" w:rsidRPr="00D341ED">
        <w:rPr>
          <w:lang w:val="en-GB"/>
        </w:rPr>
        <w:t xml:space="preserve">, they are not </w:t>
      </w:r>
      <w:r w:rsidR="00DF3078" w:rsidRPr="00D341ED">
        <w:rPr>
          <w:lang w:val="en-GB"/>
        </w:rPr>
        <w:t xml:space="preserve">yet </w:t>
      </w:r>
      <w:r w:rsidR="00913AF6" w:rsidRPr="00D341ED">
        <w:rPr>
          <w:lang w:val="en-GB"/>
        </w:rPr>
        <w:t xml:space="preserve">competitive enough to lift the country to prosperity. The </w:t>
      </w:r>
      <w:r w:rsidR="00AF3539" w:rsidRPr="00D341ED">
        <w:rPr>
          <w:lang w:val="en-GB"/>
        </w:rPr>
        <w:t xml:space="preserve">Deep and Comprehensive Free Trade Area established under the Association Agreement </w:t>
      </w:r>
      <w:r w:rsidR="00913AF6" w:rsidRPr="00D341ED">
        <w:rPr>
          <w:lang w:val="en-GB"/>
        </w:rPr>
        <w:t xml:space="preserve">has </w:t>
      </w:r>
      <w:r w:rsidRPr="00D341ED">
        <w:rPr>
          <w:lang w:val="en-GB"/>
        </w:rPr>
        <w:t>yet to</w:t>
      </w:r>
      <w:r w:rsidR="00913AF6" w:rsidRPr="00D341ED">
        <w:rPr>
          <w:lang w:val="en-GB"/>
        </w:rPr>
        <w:t xml:space="preserve"> reach its full potential. Georgia remains a net importer of food, and </w:t>
      </w:r>
      <w:r w:rsidR="00FB28FF" w:rsidRPr="00D341ED">
        <w:rPr>
          <w:lang w:val="en-GB"/>
        </w:rPr>
        <w:t xml:space="preserve">three-fourths </w:t>
      </w:r>
      <w:r w:rsidR="00913AF6" w:rsidRPr="00D341ED">
        <w:rPr>
          <w:lang w:val="en-GB"/>
        </w:rPr>
        <w:t xml:space="preserve">of agricultural exports come from wine, water, spirits and nuts. Tourism has been a notable bright spot, soaring to 9.3 million visitors and </w:t>
      </w:r>
      <w:r w:rsidR="00EF51A9" w:rsidRPr="00D341ED">
        <w:rPr>
          <w:lang w:val="en-GB"/>
        </w:rPr>
        <w:t>$</w:t>
      </w:r>
      <w:r w:rsidR="00913AF6" w:rsidRPr="00D341ED">
        <w:rPr>
          <w:lang w:val="en-GB"/>
        </w:rPr>
        <w:t>3.3 billion in revenues in 2019. Already</w:t>
      </w:r>
      <w:r w:rsidR="0089519B" w:rsidRPr="00D341ED">
        <w:rPr>
          <w:lang w:val="en-GB"/>
        </w:rPr>
        <w:t>,</w:t>
      </w:r>
      <w:r w:rsidR="00913AF6" w:rsidRPr="00D341ED">
        <w:rPr>
          <w:lang w:val="en-GB"/>
        </w:rPr>
        <w:t xml:space="preserve"> the sector accounts for </w:t>
      </w:r>
      <w:r w:rsidR="005E3097" w:rsidRPr="00D341ED">
        <w:rPr>
          <w:lang w:val="en-GB"/>
        </w:rPr>
        <w:t xml:space="preserve">over </w:t>
      </w:r>
      <w:r w:rsidR="00913AF6" w:rsidRPr="00D341ED">
        <w:rPr>
          <w:lang w:val="en-GB"/>
        </w:rPr>
        <w:t xml:space="preserve">8 </w:t>
      </w:r>
      <w:r w:rsidR="0089519B" w:rsidRPr="00D341ED">
        <w:rPr>
          <w:lang w:val="en-GB"/>
        </w:rPr>
        <w:t xml:space="preserve">per cent </w:t>
      </w:r>
      <w:r w:rsidR="00913AF6" w:rsidRPr="00D341ED">
        <w:rPr>
          <w:lang w:val="en-GB"/>
        </w:rPr>
        <w:t xml:space="preserve">of </w:t>
      </w:r>
      <w:r w:rsidR="005E3097" w:rsidRPr="00D341ED">
        <w:rPr>
          <w:lang w:val="en-GB"/>
        </w:rPr>
        <w:t xml:space="preserve">GDP </w:t>
      </w:r>
      <w:r w:rsidR="00913AF6" w:rsidRPr="00D341ED">
        <w:rPr>
          <w:lang w:val="en-GB"/>
        </w:rPr>
        <w:t xml:space="preserve">and </w:t>
      </w:r>
      <w:r w:rsidR="005E3097" w:rsidRPr="00D341ED">
        <w:rPr>
          <w:lang w:val="en-GB"/>
        </w:rPr>
        <w:t>78</w:t>
      </w:r>
      <w:r w:rsidR="00913AF6" w:rsidRPr="00D341ED">
        <w:rPr>
          <w:lang w:val="en-GB"/>
        </w:rPr>
        <w:t xml:space="preserve"> </w:t>
      </w:r>
      <w:r w:rsidR="0089519B" w:rsidRPr="00D341ED">
        <w:rPr>
          <w:lang w:val="en-GB"/>
        </w:rPr>
        <w:t xml:space="preserve">per cent </w:t>
      </w:r>
      <w:r w:rsidR="00913AF6" w:rsidRPr="00D341ED">
        <w:rPr>
          <w:lang w:val="en-GB"/>
        </w:rPr>
        <w:t xml:space="preserve">of </w:t>
      </w:r>
      <w:r w:rsidR="005E3097" w:rsidRPr="00D341ED">
        <w:rPr>
          <w:lang w:val="en-GB"/>
        </w:rPr>
        <w:t xml:space="preserve">service </w:t>
      </w:r>
      <w:r w:rsidR="00913AF6" w:rsidRPr="00D341ED">
        <w:rPr>
          <w:lang w:val="en-GB"/>
        </w:rPr>
        <w:t xml:space="preserve">exports. But </w:t>
      </w:r>
      <w:r w:rsidR="0089519B" w:rsidRPr="00D341ED">
        <w:rPr>
          <w:lang w:val="en-GB"/>
        </w:rPr>
        <w:t xml:space="preserve">the </w:t>
      </w:r>
      <w:r w:rsidR="0057097B" w:rsidRPr="00D341ED">
        <w:rPr>
          <w:lang w:val="en-GB"/>
        </w:rPr>
        <w:t xml:space="preserve">border closures forced by the </w:t>
      </w:r>
      <w:r w:rsidR="00742A9E" w:rsidRPr="00D341ED">
        <w:rPr>
          <w:lang w:val="en-GB"/>
        </w:rPr>
        <w:t xml:space="preserve">COVID-19 </w:t>
      </w:r>
      <w:r w:rsidR="0089519B" w:rsidRPr="00D341ED">
        <w:rPr>
          <w:lang w:val="en-GB"/>
        </w:rPr>
        <w:t xml:space="preserve">pandemic </w:t>
      </w:r>
      <w:r w:rsidR="0057097B" w:rsidRPr="00D341ED">
        <w:rPr>
          <w:lang w:val="en-GB"/>
        </w:rPr>
        <w:t xml:space="preserve">have </w:t>
      </w:r>
      <w:r w:rsidR="00913AF6" w:rsidRPr="00D341ED">
        <w:rPr>
          <w:lang w:val="en-GB"/>
        </w:rPr>
        <w:t>revers</w:t>
      </w:r>
      <w:r w:rsidR="0057097B" w:rsidRPr="00D341ED">
        <w:rPr>
          <w:lang w:val="en-GB"/>
        </w:rPr>
        <w:t>ed</w:t>
      </w:r>
      <w:r w:rsidR="00913AF6" w:rsidRPr="00D341ED">
        <w:rPr>
          <w:lang w:val="en-GB"/>
        </w:rPr>
        <w:t xml:space="preserve"> </w:t>
      </w:r>
      <w:r w:rsidR="005E3097" w:rsidRPr="00D341ED">
        <w:rPr>
          <w:lang w:val="en-GB"/>
        </w:rPr>
        <w:t xml:space="preserve">this </w:t>
      </w:r>
      <w:r w:rsidR="00913AF6" w:rsidRPr="00D341ED">
        <w:rPr>
          <w:lang w:val="en-GB"/>
        </w:rPr>
        <w:t>trend</w:t>
      </w:r>
      <w:r w:rsidR="00774DE1" w:rsidRPr="00D341ED">
        <w:rPr>
          <w:lang w:val="en-GB"/>
        </w:rPr>
        <w:t xml:space="preserve">, </w:t>
      </w:r>
      <w:r w:rsidRPr="00D341ED">
        <w:rPr>
          <w:lang w:val="en-GB"/>
        </w:rPr>
        <w:t>prompt</w:t>
      </w:r>
      <w:r w:rsidR="00DF3078" w:rsidRPr="00D341ED">
        <w:rPr>
          <w:lang w:val="en-GB"/>
        </w:rPr>
        <w:t>ing</w:t>
      </w:r>
      <w:r w:rsidRPr="00D341ED">
        <w:rPr>
          <w:lang w:val="en-GB"/>
        </w:rPr>
        <w:t xml:space="preserve"> policymakers to </w:t>
      </w:r>
      <w:r w:rsidR="0057097B" w:rsidRPr="00D341ED">
        <w:rPr>
          <w:lang w:val="en-GB"/>
        </w:rPr>
        <w:t xml:space="preserve">seek </w:t>
      </w:r>
      <w:r w:rsidRPr="00D341ED">
        <w:rPr>
          <w:lang w:val="en-GB"/>
        </w:rPr>
        <w:t xml:space="preserve">new opportunities to diversify the economy. </w:t>
      </w:r>
    </w:p>
    <w:p w14:paraId="523AE8B2" w14:textId="6E08DDD3" w:rsidR="005B16FA" w:rsidRPr="00D341ED" w:rsidRDefault="0057097B" w:rsidP="00C45931">
      <w:pPr>
        <w:pStyle w:val="ListParagraph"/>
        <w:numPr>
          <w:ilvl w:val="0"/>
          <w:numId w:val="14"/>
        </w:numPr>
        <w:tabs>
          <w:tab w:val="left" w:pos="1260"/>
          <w:tab w:val="left" w:pos="1530"/>
        </w:tabs>
        <w:spacing w:after="120" w:line="240" w:lineRule="exact"/>
        <w:ind w:left="1260" w:right="1210" w:firstLine="0"/>
        <w:jc w:val="both"/>
        <w:rPr>
          <w:lang w:val="en-GB"/>
        </w:rPr>
      </w:pPr>
      <w:r w:rsidRPr="00D341ED">
        <w:rPr>
          <w:lang w:val="en-GB"/>
        </w:rPr>
        <w:t xml:space="preserve">Pandemic-driven stresses have also evoked fresh </w:t>
      </w:r>
      <w:r w:rsidR="00774DE1" w:rsidRPr="00D341ED">
        <w:rPr>
          <w:lang w:val="en-GB"/>
        </w:rPr>
        <w:t>c</w:t>
      </w:r>
      <w:r w:rsidR="005B16FA" w:rsidRPr="00D341ED">
        <w:rPr>
          <w:lang w:val="en-GB"/>
        </w:rPr>
        <w:t xml:space="preserve">oncern about groups </w:t>
      </w:r>
      <w:r w:rsidR="00750FBF" w:rsidRPr="00D341ED">
        <w:rPr>
          <w:lang w:val="en-GB"/>
        </w:rPr>
        <w:t xml:space="preserve">whose members </w:t>
      </w:r>
      <w:r w:rsidR="005B16FA" w:rsidRPr="00D341ED">
        <w:rPr>
          <w:lang w:val="en-GB"/>
        </w:rPr>
        <w:t xml:space="preserve">risk missing out on the </w:t>
      </w:r>
      <w:r w:rsidR="00DF3078" w:rsidRPr="00D341ED">
        <w:rPr>
          <w:lang w:val="en-GB"/>
        </w:rPr>
        <w:t>country’s successes</w:t>
      </w:r>
      <w:r w:rsidR="005B16FA" w:rsidRPr="00D341ED">
        <w:rPr>
          <w:lang w:val="en-GB"/>
        </w:rPr>
        <w:t>. These include</w:t>
      </w:r>
      <w:r w:rsidR="00774DE1" w:rsidRPr="00D341ED">
        <w:rPr>
          <w:lang w:val="en-GB"/>
        </w:rPr>
        <w:t xml:space="preserve"> </w:t>
      </w:r>
      <w:r w:rsidR="005B16FA" w:rsidRPr="00D341ED">
        <w:rPr>
          <w:lang w:val="en-GB"/>
        </w:rPr>
        <w:t>the poor</w:t>
      </w:r>
      <w:r w:rsidR="00774DE1" w:rsidRPr="00D341ED">
        <w:rPr>
          <w:lang w:val="en-GB"/>
        </w:rPr>
        <w:t xml:space="preserve">, </w:t>
      </w:r>
      <w:r w:rsidR="00C6027A" w:rsidRPr="00D341ED">
        <w:rPr>
          <w:lang w:val="en-GB"/>
        </w:rPr>
        <w:t>residents of rural</w:t>
      </w:r>
      <w:r w:rsidRPr="00D341ED">
        <w:rPr>
          <w:lang w:val="en-GB"/>
        </w:rPr>
        <w:t>, remote and high-mountain</w:t>
      </w:r>
      <w:r w:rsidR="00C6027A" w:rsidRPr="00D341ED">
        <w:rPr>
          <w:lang w:val="en-GB"/>
        </w:rPr>
        <w:t xml:space="preserve"> areas</w:t>
      </w:r>
      <w:r w:rsidR="00774DE1" w:rsidRPr="00D341ED">
        <w:rPr>
          <w:lang w:val="en-GB"/>
        </w:rPr>
        <w:t>,</w:t>
      </w:r>
      <w:r w:rsidR="005B16FA" w:rsidRPr="00D341ED">
        <w:rPr>
          <w:lang w:val="en-GB"/>
        </w:rPr>
        <w:t xml:space="preserve"> </w:t>
      </w:r>
      <w:r w:rsidR="00750FBF" w:rsidRPr="00D341ED">
        <w:rPr>
          <w:lang w:val="en-GB"/>
        </w:rPr>
        <w:t xml:space="preserve">inactive </w:t>
      </w:r>
      <w:r w:rsidR="005B16FA" w:rsidRPr="00D341ED">
        <w:rPr>
          <w:lang w:val="en-GB"/>
        </w:rPr>
        <w:t>young people</w:t>
      </w:r>
      <w:r w:rsidR="00774DE1" w:rsidRPr="00D341ED">
        <w:rPr>
          <w:lang w:val="en-GB"/>
        </w:rPr>
        <w:t>,</w:t>
      </w:r>
      <w:r w:rsidR="005B16FA" w:rsidRPr="00D341ED">
        <w:rPr>
          <w:lang w:val="en-GB"/>
        </w:rPr>
        <w:t xml:space="preserve"> women</w:t>
      </w:r>
      <w:r w:rsidR="00774DE1" w:rsidRPr="00D341ED">
        <w:rPr>
          <w:lang w:val="en-GB"/>
        </w:rPr>
        <w:t>,</w:t>
      </w:r>
      <w:r w:rsidR="005B16FA" w:rsidRPr="00D341ED">
        <w:rPr>
          <w:lang w:val="en-GB"/>
        </w:rPr>
        <w:t xml:space="preserve"> persons with disabilities</w:t>
      </w:r>
      <w:r w:rsidR="00774DE1" w:rsidRPr="00D341ED">
        <w:rPr>
          <w:lang w:val="en-GB"/>
        </w:rPr>
        <w:t>,</w:t>
      </w:r>
      <w:r w:rsidR="005B16FA" w:rsidRPr="00D341ED">
        <w:rPr>
          <w:lang w:val="en-GB"/>
        </w:rPr>
        <w:t xml:space="preserve"> minorities</w:t>
      </w:r>
      <w:r w:rsidR="00774DE1" w:rsidRPr="00D341ED">
        <w:rPr>
          <w:lang w:val="en-GB"/>
        </w:rPr>
        <w:t>,</w:t>
      </w:r>
      <w:r w:rsidR="005B16FA" w:rsidRPr="00D341ED">
        <w:rPr>
          <w:lang w:val="en-GB"/>
        </w:rPr>
        <w:t xml:space="preserve"> conflict-affected communities</w:t>
      </w:r>
      <w:r w:rsidR="00774DE1" w:rsidRPr="00D341ED">
        <w:rPr>
          <w:lang w:val="en-GB"/>
        </w:rPr>
        <w:t>,</w:t>
      </w:r>
      <w:r w:rsidR="005B16FA" w:rsidRPr="00D341ED">
        <w:rPr>
          <w:lang w:val="en-GB"/>
        </w:rPr>
        <w:t xml:space="preserve"> and people </w:t>
      </w:r>
      <w:r w:rsidR="00750FBF" w:rsidRPr="00D341ED">
        <w:rPr>
          <w:lang w:val="en-GB"/>
        </w:rPr>
        <w:t xml:space="preserve">living in areas </w:t>
      </w:r>
      <w:r w:rsidR="00774DE1" w:rsidRPr="00D341ED">
        <w:rPr>
          <w:lang w:val="en-GB"/>
        </w:rPr>
        <w:t xml:space="preserve">prone to </w:t>
      </w:r>
      <w:r w:rsidR="00750FBF" w:rsidRPr="00D341ED">
        <w:rPr>
          <w:lang w:val="en-GB"/>
        </w:rPr>
        <w:t xml:space="preserve">natural </w:t>
      </w:r>
      <w:r w:rsidR="00750FBF" w:rsidRPr="00D341ED">
        <w:rPr>
          <w:lang w:val="en-GB"/>
        </w:rPr>
        <w:lastRenderedPageBreak/>
        <w:t xml:space="preserve">disasters. These groups were the focus of the </w:t>
      </w:r>
      <w:r w:rsidR="00774DE1" w:rsidRPr="00D341ED">
        <w:rPr>
          <w:lang w:val="en-GB"/>
        </w:rPr>
        <w:t>c</w:t>
      </w:r>
      <w:r w:rsidR="00750FBF" w:rsidRPr="00D341ED">
        <w:rPr>
          <w:lang w:val="en-GB"/>
        </w:rPr>
        <w:t xml:space="preserve">ommon </w:t>
      </w:r>
      <w:r w:rsidR="00774DE1" w:rsidRPr="00D341ED">
        <w:rPr>
          <w:lang w:val="en-GB"/>
        </w:rPr>
        <w:t>c</w:t>
      </w:r>
      <w:r w:rsidR="00750FBF" w:rsidRPr="00D341ED">
        <w:rPr>
          <w:lang w:val="en-GB"/>
        </w:rPr>
        <w:t xml:space="preserve">ountry </w:t>
      </w:r>
      <w:r w:rsidR="00774DE1" w:rsidRPr="00D341ED">
        <w:rPr>
          <w:lang w:val="en-GB"/>
        </w:rPr>
        <w:t>a</w:t>
      </w:r>
      <w:r w:rsidR="00750FBF" w:rsidRPr="00D341ED">
        <w:rPr>
          <w:lang w:val="en-GB"/>
        </w:rPr>
        <w:t>nalysis</w:t>
      </w:r>
      <w:r w:rsidR="00213001" w:rsidRPr="00D341ED">
        <w:rPr>
          <w:lang w:val="en-GB"/>
        </w:rPr>
        <w:t xml:space="preserve"> prepared to shape the new United Nations Sustainable Development Cooperation Framework (UNSDCF)</w:t>
      </w:r>
      <w:r w:rsidR="00750FBF" w:rsidRPr="00D341ED">
        <w:rPr>
          <w:lang w:val="en-GB"/>
        </w:rPr>
        <w:t>.</w:t>
      </w:r>
    </w:p>
    <w:p w14:paraId="3CEA6D56" w14:textId="6532C8FB" w:rsidR="00A726F6" w:rsidRPr="00D341ED" w:rsidRDefault="00F93BF6" w:rsidP="00C45931">
      <w:pPr>
        <w:pStyle w:val="ListParagraph"/>
        <w:numPr>
          <w:ilvl w:val="0"/>
          <w:numId w:val="14"/>
        </w:numPr>
        <w:tabs>
          <w:tab w:val="left" w:pos="1260"/>
          <w:tab w:val="left" w:pos="1530"/>
        </w:tabs>
        <w:spacing w:after="120" w:line="240" w:lineRule="exact"/>
        <w:ind w:left="1260" w:right="1210" w:firstLine="0"/>
        <w:jc w:val="both"/>
        <w:rPr>
          <w:lang w:val="en-GB"/>
        </w:rPr>
      </w:pPr>
      <w:r w:rsidRPr="00D341ED">
        <w:rPr>
          <w:lang w:val="en-GB"/>
        </w:rPr>
        <w:t>D</w:t>
      </w:r>
      <w:r w:rsidR="003E2AE2" w:rsidRPr="00D341ED">
        <w:rPr>
          <w:lang w:val="en-GB"/>
        </w:rPr>
        <w:t xml:space="preserve">espite </w:t>
      </w:r>
      <w:r w:rsidR="005E3097" w:rsidRPr="00D341ED">
        <w:rPr>
          <w:lang w:val="en-GB"/>
        </w:rPr>
        <w:t xml:space="preserve">a </w:t>
      </w:r>
      <w:r w:rsidR="00035774" w:rsidRPr="00D341ED">
        <w:rPr>
          <w:lang w:val="en-GB"/>
        </w:rPr>
        <w:t xml:space="preserve">remarkable </w:t>
      </w:r>
      <w:r w:rsidR="003E2AE2" w:rsidRPr="00D341ED">
        <w:rPr>
          <w:lang w:val="en-GB"/>
        </w:rPr>
        <w:t>decline</w:t>
      </w:r>
      <w:r w:rsidR="00C6027A" w:rsidRPr="00D341ED">
        <w:rPr>
          <w:lang w:val="en-GB"/>
        </w:rPr>
        <w:t xml:space="preserve"> in poverty</w:t>
      </w:r>
      <w:r w:rsidR="003E2AE2" w:rsidRPr="00D341ED">
        <w:rPr>
          <w:lang w:val="en-GB"/>
        </w:rPr>
        <w:t>, one in five Georgians</w:t>
      </w:r>
      <w:r w:rsidR="005E1F9D" w:rsidRPr="00D341ED">
        <w:rPr>
          <w:lang w:val="en-GB"/>
        </w:rPr>
        <w:t xml:space="preserve"> </w:t>
      </w:r>
      <w:r w:rsidR="00266B89" w:rsidRPr="00D341ED">
        <w:rPr>
          <w:lang w:val="en-GB"/>
        </w:rPr>
        <w:t xml:space="preserve">remains </w:t>
      </w:r>
      <w:r w:rsidR="00C6027A" w:rsidRPr="00D341ED">
        <w:rPr>
          <w:lang w:val="en-GB"/>
        </w:rPr>
        <w:t xml:space="preserve">poor by national standards, </w:t>
      </w:r>
      <w:r w:rsidR="003E2AE2" w:rsidRPr="00D341ED">
        <w:rPr>
          <w:lang w:val="en-GB"/>
        </w:rPr>
        <w:t xml:space="preserve">and </w:t>
      </w:r>
      <w:r w:rsidR="00AF68F8" w:rsidRPr="00D341ED">
        <w:rPr>
          <w:lang w:val="en-GB"/>
        </w:rPr>
        <w:t>4.5</w:t>
      </w:r>
      <w:r w:rsidR="003E2AE2" w:rsidRPr="00D341ED">
        <w:rPr>
          <w:lang w:val="en-GB"/>
        </w:rPr>
        <w:t xml:space="preserve"> </w:t>
      </w:r>
      <w:r w:rsidR="00774DE1" w:rsidRPr="00D341ED">
        <w:rPr>
          <w:lang w:val="en-GB"/>
        </w:rPr>
        <w:t xml:space="preserve">per cent </w:t>
      </w:r>
      <w:r w:rsidR="00912557" w:rsidRPr="00D341ED">
        <w:rPr>
          <w:lang w:val="en-GB"/>
        </w:rPr>
        <w:t xml:space="preserve">meet </w:t>
      </w:r>
      <w:r w:rsidR="003E2AE2" w:rsidRPr="00D341ED">
        <w:rPr>
          <w:lang w:val="en-GB"/>
        </w:rPr>
        <w:t xml:space="preserve">the </w:t>
      </w:r>
      <w:r w:rsidR="00A726F6" w:rsidRPr="00D341ED">
        <w:rPr>
          <w:lang w:val="en-GB"/>
        </w:rPr>
        <w:t xml:space="preserve">$1.9-per-day </w:t>
      </w:r>
      <w:r w:rsidRPr="00D341ED">
        <w:rPr>
          <w:lang w:val="en-GB"/>
        </w:rPr>
        <w:t xml:space="preserve">World Bank </w:t>
      </w:r>
      <w:r w:rsidR="003E2AE2" w:rsidRPr="00D341ED">
        <w:rPr>
          <w:lang w:val="en-GB"/>
        </w:rPr>
        <w:t>definition of extreme poverty</w:t>
      </w:r>
      <w:r w:rsidR="00D7133B" w:rsidRPr="00D341ED">
        <w:rPr>
          <w:lang w:val="en-GB"/>
        </w:rPr>
        <w:t>.</w:t>
      </w:r>
      <w:r w:rsidR="00A726F6" w:rsidRPr="00D341ED">
        <w:rPr>
          <w:lang w:val="en-GB"/>
        </w:rPr>
        <w:t xml:space="preserve"> </w:t>
      </w:r>
    </w:p>
    <w:p w14:paraId="0AD04A66" w14:textId="037E69AC" w:rsidR="00630A44" w:rsidRPr="00D341ED" w:rsidRDefault="00630A44" w:rsidP="00C45931">
      <w:pPr>
        <w:pStyle w:val="ListParagraph"/>
        <w:numPr>
          <w:ilvl w:val="0"/>
          <w:numId w:val="14"/>
        </w:numPr>
        <w:tabs>
          <w:tab w:val="left" w:pos="1260"/>
          <w:tab w:val="left" w:pos="1620"/>
        </w:tabs>
        <w:spacing w:after="120" w:line="240" w:lineRule="exact"/>
        <w:ind w:left="1260" w:right="1210" w:firstLine="0"/>
        <w:jc w:val="both"/>
        <w:rPr>
          <w:lang w:val="en-GB"/>
        </w:rPr>
      </w:pPr>
      <w:r w:rsidRPr="00D341ED">
        <w:rPr>
          <w:lang w:val="en-GB"/>
        </w:rPr>
        <w:t xml:space="preserve">Georgia has a pronounced urban-rural divide. A full </w:t>
      </w:r>
      <w:r w:rsidR="0098609C" w:rsidRPr="00D341ED">
        <w:rPr>
          <w:lang w:val="en-GB"/>
        </w:rPr>
        <w:t>one-</w:t>
      </w:r>
      <w:r w:rsidR="003E2AE2" w:rsidRPr="00D341ED">
        <w:rPr>
          <w:lang w:val="en-GB"/>
        </w:rPr>
        <w:t>third of the population lives in Tbilisi</w:t>
      </w:r>
      <w:r w:rsidRPr="00D341ED">
        <w:rPr>
          <w:lang w:val="en-GB"/>
        </w:rPr>
        <w:t>, and the capital act</w:t>
      </w:r>
      <w:r w:rsidR="00312648" w:rsidRPr="00D341ED">
        <w:rPr>
          <w:lang w:val="en-GB"/>
        </w:rPr>
        <w:t>s</w:t>
      </w:r>
      <w:r w:rsidRPr="00D341ED">
        <w:rPr>
          <w:lang w:val="en-GB"/>
        </w:rPr>
        <w:t xml:space="preserve"> as a magnet for migration from the villages. At the same time, </w:t>
      </w:r>
      <w:r w:rsidR="004B35F4" w:rsidRPr="00D341ED">
        <w:rPr>
          <w:lang w:val="en-GB"/>
        </w:rPr>
        <w:t>o</w:t>
      </w:r>
      <w:r w:rsidR="00A65D81" w:rsidRPr="00D341ED">
        <w:rPr>
          <w:lang w:val="en-GB"/>
        </w:rPr>
        <w:t xml:space="preserve">ver </w:t>
      </w:r>
      <w:r w:rsidR="003E2AE2" w:rsidRPr="00D341ED">
        <w:rPr>
          <w:lang w:val="en-GB"/>
        </w:rPr>
        <w:t xml:space="preserve">40 </w:t>
      </w:r>
      <w:r w:rsidR="00774DE1" w:rsidRPr="00D341ED">
        <w:rPr>
          <w:lang w:val="en-GB"/>
        </w:rPr>
        <w:t xml:space="preserve">per cent </w:t>
      </w:r>
      <w:r w:rsidR="004B35F4" w:rsidRPr="00D341ED">
        <w:rPr>
          <w:lang w:val="en-GB"/>
        </w:rPr>
        <w:t xml:space="preserve">of </w:t>
      </w:r>
      <w:r w:rsidRPr="00D341ED">
        <w:rPr>
          <w:lang w:val="en-GB"/>
        </w:rPr>
        <w:t xml:space="preserve">Georgians </w:t>
      </w:r>
      <w:r w:rsidR="003E2AE2" w:rsidRPr="00D341ED">
        <w:rPr>
          <w:lang w:val="en-GB"/>
        </w:rPr>
        <w:t xml:space="preserve">live in rural areas and </w:t>
      </w:r>
      <w:r w:rsidRPr="00D341ED">
        <w:rPr>
          <w:lang w:val="en-GB"/>
        </w:rPr>
        <w:t xml:space="preserve">depend on </w:t>
      </w:r>
      <w:r w:rsidR="003E2AE2" w:rsidRPr="00D341ED">
        <w:rPr>
          <w:lang w:val="en-GB"/>
        </w:rPr>
        <w:t>farming</w:t>
      </w:r>
      <w:r w:rsidRPr="00D341ED">
        <w:rPr>
          <w:lang w:val="en-GB"/>
        </w:rPr>
        <w:t xml:space="preserve"> for </w:t>
      </w:r>
      <w:r w:rsidR="008506BF" w:rsidRPr="00D341ED">
        <w:rPr>
          <w:lang w:val="en-GB"/>
        </w:rPr>
        <w:t>a living</w:t>
      </w:r>
      <w:r w:rsidR="003E2AE2" w:rsidRPr="00D341ED">
        <w:rPr>
          <w:lang w:val="en-GB"/>
        </w:rPr>
        <w:t xml:space="preserve">. Yet agriculture delivers just 7.2 </w:t>
      </w:r>
      <w:r w:rsidR="00774DE1" w:rsidRPr="00D341ED">
        <w:rPr>
          <w:lang w:val="en-GB"/>
        </w:rPr>
        <w:t xml:space="preserve">per cent </w:t>
      </w:r>
      <w:r w:rsidR="003E2AE2" w:rsidRPr="00D341ED">
        <w:rPr>
          <w:lang w:val="en-GB"/>
        </w:rPr>
        <w:t xml:space="preserve">of GDP. </w:t>
      </w:r>
      <w:r w:rsidRPr="00D341ED">
        <w:rPr>
          <w:lang w:val="en-GB"/>
        </w:rPr>
        <w:t xml:space="preserve">This disparity is arguably the single biggest constraint to economic development. </w:t>
      </w:r>
      <w:r w:rsidR="00284869" w:rsidRPr="00D341ED">
        <w:rPr>
          <w:lang w:val="en-GB"/>
        </w:rPr>
        <w:t>P</w:t>
      </w:r>
      <w:r w:rsidR="003E2AE2" w:rsidRPr="00D341ED">
        <w:rPr>
          <w:lang w:val="en-GB"/>
        </w:rPr>
        <w:t xml:space="preserve">roductivity is </w:t>
      </w:r>
      <w:r w:rsidR="00284869" w:rsidRPr="00D341ED">
        <w:rPr>
          <w:lang w:val="en-GB"/>
        </w:rPr>
        <w:t>low</w:t>
      </w:r>
      <w:r w:rsidR="003E2AE2" w:rsidRPr="00D341ED">
        <w:rPr>
          <w:lang w:val="en-GB"/>
        </w:rPr>
        <w:t>: an average worker’s value</w:t>
      </w:r>
      <w:r w:rsidR="00035774" w:rsidRPr="00D341ED">
        <w:rPr>
          <w:lang w:val="en-GB"/>
        </w:rPr>
        <w:t>-</w:t>
      </w:r>
      <w:r w:rsidR="003E2AE2" w:rsidRPr="00D341ED">
        <w:rPr>
          <w:lang w:val="en-GB"/>
        </w:rPr>
        <w:t xml:space="preserve">added in agriculture is </w:t>
      </w:r>
      <w:r w:rsidR="00A65D81" w:rsidRPr="00D341ED">
        <w:rPr>
          <w:lang w:val="en-GB"/>
        </w:rPr>
        <w:t xml:space="preserve">just </w:t>
      </w:r>
      <w:r w:rsidR="003E2AE2" w:rsidRPr="00D341ED">
        <w:rPr>
          <w:lang w:val="en-GB"/>
        </w:rPr>
        <w:t>one</w:t>
      </w:r>
      <w:r w:rsidR="00774DE1" w:rsidRPr="00D341ED">
        <w:rPr>
          <w:lang w:val="en-GB"/>
        </w:rPr>
        <w:t xml:space="preserve"> </w:t>
      </w:r>
      <w:r w:rsidR="003E2AE2" w:rsidRPr="00D341ED">
        <w:rPr>
          <w:lang w:val="en-GB"/>
        </w:rPr>
        <w:t xml:space="preserve">tenth that </w:t>
      </w:r>
      <w:r w:rsidRPr="00D341ED">
        <w:rPr>
          <w:lang w:val="en-GB"/>
        </w:rPr>
        <w:t xml:space="preserve">in </w:t>
      </w:r>
      <w:r w:rsidR="003E2AE2" w:rsidRPr="00D341ED">
        <w:rPr>
          <w:lang w:val="en-GB"/>
        </w:rPr>
        <w:t xml:space="preserve">industry or services. </w:t>
      </w:r>
      <w:r w:rsidRPr="00D341ED">
        <w:rPr>
          <w:lang w:val="en-GB"/>
        </w:rPr>
        <w:t xml:space="preserve">Most rural dwellers are self-employed or unpaid workers on family farms, while more secure wage work is </w:t>
      </w:r>
      <w:r w:rsidR="00284869" w:rsidRPr="00D341ED">
        <w:rPr>
          <w:lang w:val="en-GB"/>
        </w:rPr>
        <w:t xml:space="preserve">mainly </w:t>
      </w:r>
      <w:r w:rsidRPr="00D341ED">
        <w:rPr>
          <w:lang w:val="en-GB"/>
        </w:rPr>
        <w:t>urban. Rural poverty, at 25.5</w:t>
      </w:r>
      <w:r w:rsidR="00774DE1" w:rsidRPr="00D341ED">
        <w:rPr>
          <w:lang w:val="en-GB"/>
        </w:rPr>
        <w:t xml:space="preserve"> per cent</w:t>
      </w:r>
      <w:r w:rsidRPr="00D341ED">
        <w:rPr>
          <w:lang w:val="en-GB"/>
        </w:rPr>
        <w:t>, is higher than the urban rate, 16.2</w:t>
      </w:r>
      <w:r w:rsidR="00774DE1" w:rsidRPr="00D341ED">
        <w:rPr>
          <w:lang w:val="en-GB"/>
        </w:rPr>
        <w:t xml:space="preserve"> per cent</w:t>
      </w:r>
      <w:r w:rsidRPr="00D341ED">
        <w:rPr>
          <w:lang w:val="en-GB"/>
        </w:rPr>
        <w:t>.</w:t>
      </w:r>
    </w:p>
    <w:p w14:paraId="7EDF552C" w14:textId="0B043B36" w:rsidR="003E2AE2" w:rsidRPr="00D341ED" w:rsidRDefault="006F14ED" w:rsidP="00C45931">
      <w:pPr>
        <w:pStyle w:val="ListParagraph"/>
        <w:numPr>
          <w:ilvl w:val="0"/>
          <w:numId w:val="14"/>
        </w:numPr>
        <w:tabs>
          <w:tab w:val="left" w:pos="1260"/>
          <w:tab w:val="left" w:pos="1620"/>
        </w:tabs>
        <w:spacing w:after="120" w:line="240" w:lineRule="exact"/>
        <w:ind w:left="1260" w:right="1210" w:firstLine="0"/>
        <w:jc w:val="both"/>
        <w:rPr>
          <w:bCs/>
          <w:shd w:val="clear" w:color="auto" w:fill="FFFFFF"/>
          <w:lang w:val="en-GB"/>
        </w:rPr>
      </w:pPr>
      <w:r w:rsidRPr="00D341ED">
        <w:rPr>
          <w:bCs/>
          <w:shd w:val="clear" w:color="auto" w:fill="FFFFFF"/>
          <w:lang w:val="en-GB"/>
        </w:rPr>
        <w:t xml:space="preserve">At 31 </w:t>
      </w:r>
      <w:r w:rsidR="00774DE1" w:rsidRPr="00D341ED">
        <w:rPr>
          <w:bCs/>
          <w:shd w:val="clear" w:color="auto" w:fill="FFFFFF"/>
          <w:lang w:val="en-GB"/>
        </w:rPr>
        <w:t xml:space="preserve">per cent </w:t>
      </w:r>
      <w:r w:rsidRPr="00D341ED">
        <w:rPr>
          <w:bCs/>
          <w:shd w:val="clear" w:color="auto" w:fill="FFFFFF"/>
          <w:lang w:val="en-GB"/>
        </w:rPr>
        <w:t>in 2019, Georgia has a very high share of youth aged 15-29 who are not in education, employment or training (NEET). The share is far higher for young women: 37</w:t>
      </w:r>
      <w:r w:rsidR="00774DE1" w:rsidRPr="00D341ED">
        <w:rPr>
          <w:bCs/>
          <w:shd w:val="clear" w:color="auto" w:fill="FFFFFF"/>
          <w:lang w:val="en-GB"/>
        </w:rPr>
        <w:t> per cent</w:t>
      </w:r>
      <w:r w:rsidRPr="00D341ED">
        <w:rPr>
          <w:bCs/>
          <w:shd w:val="clear" w:color="auto" w:fill="FFFFFF"/>
          <w:lang w:val="en-GB"/>
        </w:rPr>
        <w:t xml:space="preserve"> versus 25 </w:t>
      </w:r>
      <w:r w:rsidR="00774DE1" w:rsidRPr="00D341ED">
        <w:rPr>
          <w:bCs/>
          <w:shd w:val="clear" w:color="auto" w:fill="FFFFFF"/>
          <w:lang w:val="en-GB"/>
        </w:rPr>
        <w:t xml:space="preserve">per cent </w:t>
      </w:r>
      <w:r w:rsidRPr="00D341ED">
        <w:rPr>
          <w:bCs/>
          <w:shd w:val="clear" w:color="auto" w:fill="FFFFFF"/>
          <w:lang w:val="en-GB"/>
        </w:rPr>
        <w:t>for men</w:t>
      </w:r>
      <w:r w:rsidR="0057097B" w:rsidRPr="00D341ED">
        <w:rPr>
          <w:bCs/>
          <w:shd w:val="clear" w:color="auto" w:fill="FFFFFF"/>
          <w:lang w:val="en-GB"/>
        </w:rPr>
        <w:t>.</w:t>
      </w:r>
      <w:r w:rsidR="0057097B" w:rsidRPr="00D341ED">
        <w:rPr>
          <w:rStyle w:val="FootnoteReference"/>
          <w:bCs/>
          <w:shd w:val="clear" w:color="auto" w:fill="FFFFFF"/>
          <w:lang w:val="en-GB"/>
        </w:rPr>
        <w:t xml:space="preserve"> </w:t>
      </w:r>
      <w:r w:rsidR="003E2AE2" w:rsidRPr="00D341ED">
        <w:rPr>
          <w:bCs/>
          <w:shd w:val="clear" w:color="auto" w:fill="FFFFFF"/>
          <w:lang w:val="en-GB"/>
        </w:rPr>
        <w:t xml:space="preserve">The cause: an education system that </w:t>
      </w:r>
      <w:r w:rsidR="00630A44" w:rsidRPr="00D341ED">
        <w:rPr>
          <w:bCs/>
          <w:shd w:val="clear" w:color="auto" w:fill="FFFFFF"/>
          <w:lang w:val="en-GB"/>
        </w:rPr>
        <w:t xml:space="preserve">falls short on </w:t>
      </w:r>
      <w:r w:rsidR="003E2AE2" w:rsidRPr="00D341ED">
        <w:rPr>
          <w:bCs/>
          <w:shd w:val="clear" w:color="auto" w:fill="FFFFFF"/>
          <w:lang w:val="en-GB"/>
        </w:rPr>
        <w:t xml:space="preserve">functional literacy and </w:t>
      </w:r>
      <w:r w:rsidR="00630A44" w:rsidRPr="00D341ED">
        <w:rPr>
          <w:bCs/>
          <w:shd w:val="clear" w:color="auto" w:fill="FFFFFF"/>
          <w:lang w:val="en-GB"/>
        </w:rPr>
        <w:t xml:space="preserve">the </w:t>
      </w:r>
      <w:r w:rsidR="003E2AE2" w:rsidRPr="00D341ED">
        <w:rPr>
          <w:bCs/>
          <w:shd w:val="clear" w:color="auto" w:fill="FFFFFF"/>
          <w:lang w:val="en-GB"/>
        </w:rPr>
        <w:t xml:space="preserve">skills </w:t>
      </w:r>
      <w:r w:rsidR="00FC12E0" w:rsidRPr="00D341ED">
        <w:rPr>
          <w:bCs/>
          <w:shd w:val="clear" w:color="auto" w:fill="FFFFFF"/>
          <w:lang w:val="en-GB"/>
        </w:rPr>
        <w:t xml:space="preserve">(soft and hard) </w:t>
      </w:r>
      <w:r w:rsidR="00630A44" w:rsidRPr="00D341ED">
        <w:rPr>
          <w:bCs/>
          <w:shd w:val="clear" w:color="auto" w:fill="FFFFFF"/>
          <w:lang w:val="en-GB"/>
        </w:rPr>
        <w:t xml:space="preserve">that would make young people </w:t>
      </w:r>
      <w:r w:rsidR="003E2AE2" w:rsidRPr="00D341ED">
        <w:rPr>
          <w:bCs/>
          <w:shd w:val="clear" w:color="auto" w:fill="FFFFFF"/>
          <w:lang w:val="en-GB"/>
        </w:rPr>
        <w:t>employab</w:t>
      </w:r>
      <w:r w:rsidR="00630A44" w:rsidRPr="00D341ED">
        <w:rPr>
          <w:bCs/>
          <w:shd w:val="clear" w:color="auto" w:fill="FFFFFF"/>
          <w:lang w:val="en-GB"/>
        </w:rPr>
        <w:t>le</w:t>
      </w:r>
      <w:r w:rsidR="003E2AE2" w:rsidRPr="00D341ED">
        <w:rPr>
          <w:bCs/>
          <w:shd w:val="clear" w:color="auto" w:fill="FFFFFF"/>
          <w:lang w:val="en-GB"/>
        </w:rPr>
        <w:t>.</w:t>
      </w:r>
    </w:p>
    <w:p w14:paraId="45EB0098" w14:textId="72F49F51" w:rsidR="003E2AE2" w:rsidRPr="00D341ED" w:rsidRDefault="003E2AE2" w:rsidP="00C45931">
      <w:pPr>
        <w:pStyle w:val="ListParagraph"/>
        <w:numPr>
          <w:ilvl w:val="0"/>
          <w:numId w:val="14"/>
        </w:numPr>
        <w:tabs>
          <w:tab w:val="left" w:pos="1260"/>
          <w:tab w:val="left" w:pos="1620"/>
        </w:tabs>
        <w:spacing w:after="120" w:line="240" w:lineRule="exact"/>
        <w:ind w:left="1260" w:right="1210" w:firstLine="0"/>
        <w:jc w:val="both"/>
        <w:rPr>
          <w:lang w:val="en-GB"/>
        </w:rPr>
      </w:pPr>
      <w:bookmarkStart w:id="0" w:name="_Hlk54341151"/>
      <w:r w:rsidRPr="00D341ED">
        <w:rPr>
          <w:lang w:val="en-GB"/>
        </w:rPr>
        <w:t>Although equal rights are fully guaranteed by law and gender attitudes are shifting</w:t>
      </w:r>
      <w:r w:rsidR="00E64F1E" w:rsidRPr="00D341ED">
        <w:rPr>
          <w:rStyle w:val="FootnoteReference"/>
          <w:lang w:val="en-GB"/>
        </w:rPr>
        <w:footnoteReference w:id="3"/>
      </w:r>
      <w:r w:rsidR="006F3F1F" w:rsidRPr="00D341ED">
        <w:rPr>
          <w:lang w:val="en-GB"/>
        </w:rPr>
        <w:t>,</w:t>
      </w:r>
      <w:r w:rsidR="006F3F1F" w:rsidRPr="00D341ED">
        <w:rPr>
          <w:rStyle w:val="FootnoteReference"/>
          <w:lang w:val="en-GB"/>
        </w:rPr>
        <w:t xml:space="preserve"> </w:t>
      </w:r>
      <w:r w:rsidRPr="00D341ED">
        <w:rPr>
          <w:lang w:val="en-GB"/>
        </w:rPr>
        <w:t>women still face discrimination and inequality</w:t>
      </w:r>
      <w:r w:rsidR="00684E86" w:rsidRPr="00D341ED">
        <w:rPr>
          <w:lang w:val="en-GB"/>
        </w:rPr>
        <w:t xml:space="preserve"> in many areas</w:t>
      </w:r>
      <w:r w:rsidRPr="00D341ED">
        <w:rPr>
          <w:lang w:val="en-GB"/>
        </w:rPr>
        <w:t>.</w:t>
      </w:r>
      <w:r w:rsidR="0057097B" w:rsidRPr="00D341ED">
        <w:rPr>
          <w:rStyle w:val="FootnoteReference"/>
          <w:lang w:val="en-GB"/>
        </w:rPr>
        <w:footnoteReference w:id="4"/>
      </w:r>
      <w:r w:rsidR="0057097B" w:rsidRPr="00D341ED">
        <w:rPr>
          <w:lang w:val="en-GB"/>
        </w:rPr>
        <w:t xml:space="preserve"> </w:t>
      </w:r>
      <w:r w:rsidRPr="00D341ED">
        <w:rPr>
          <w:lang w:val="en-GB"/>
        </w:rPr>
        <w:t xml:space="preserve">They </w:t>
      </w:r>
      <w:r w:rsidR="00A65D81" w:rsidRPr="00D341ED">
        <w:rPr>
          <w:lang w:val="en-GB"/>
        </w:rPr>
        <w:t xml:space="preserve">hold </w:t>
      </w:r>
      <w:r w:rsidRPr="00D341ED">
        <w:rPr>
          <w:lang w:val="en-GB"/>
        </w:rPr>
        <w:t>only 14</w:t>
      </w:r>
      <w:r w:rsidR="00712444" w:rsidRPr="00D341ED">
        <w:rPr>
          <w:lang w:val="en-GB"/>
        </w:rPr>
        <w:t xml:space="preserve"> per cent </w:t>
      </w:r>
      <w:r w:rsidRPr="00D341ED">
        <w:rPr>
          <w:lang w:val="en-GB"/>
        </w:rPr>
        <w:t xml:space="preserve">of parliamentary seats and just one of 64 mayoral positions. </w:t>
      </w:r>
      <w:r w:rsidR="00A65D81" w:rsidRPr="00D341ED">
        <w:rPr>
          <w:lang w:val="en-GB"/>
        </w:rPr>
        <w:t>T</w:t>
      </w:r>
      <w:r w:rsidRPr="00D341ED">
        <w:rPr>
          <w:lang w:val="en-GB"/>
        </w:rPr>
        <w:t>hey face an 18.1</w:t>
      </w:r>
      <w:r w:rsidR="00712444" w:rsidRPr="00D341ED">
        <w:rPr>
          <w:lang w:val="en-GB"/>
        </w:rPr>
        <w:t> </w:t>
      </w:r>
      <w:r w:rsidRPr="00D341ED">
        <w:rPr>
          <w:lang w:val="en-GB"/>
        </w:rPr>
        <w:t>percentage-point gap in labo</w:t>
      </w:r>
      <w:r w:rsidR="00712444" w:rsidRPr="00D341ED">
        <w:rPr>
          <w:lang w:val="en-GB"/>
        </w:rPr>
        <w:t>u</w:t>
      </w:r>
      <w:r w:rsidRPr="00D341ED">
        <w:rPr>
          <w:lang w:val="en-GB"/>
        </w:rPr>
        <w:t>r activity rates</w:t>
      </w:r>
      <w:r w:rsidR="00712444" w:rsidRPr="00D341ED">
        <w:rPr>
          <w:lang w:val="en-GB"/>
        </w:rPr>
        <w:t>,</w:t>
      </w:r>
      <w:r w:rsidRPr="00D341ED">
        <w:rPr>
          <w:lang w:val="en-GB"/>
        </w:rPr>
        <w:t xml:space="preserve"> owing to the </w:t>
      </w:r>
      <w:r w:rsidR="00FC12E0" w:rsidRPr="00D341ED">
        <w:rPr>
          <w:lang w:val="en-GB"/>
        </w:rPr>
        <w:t xml:space="preserve">burden </w:t>
      </w:r>
      <w:r w:rsidRPr="00D341ED">
        <w:rPr>
          <w:lang w:val="en-GB"/>
        </w:rPr>
        <w:t xml:space="preserve">of unpaid </w:t>
      </w:r>
      <w:r w:rsidR="00FC12E0" w:rsidRPr="00D341ED">
        <w:rPr>
          <w:lang w:val="en-GB"/>
        </w:rPr>
        <w:t xml:space="preserve">care </w:t>
      </w:r>
      <w:r w:rsidRPr="00D341ED">
        <w:rPr>
          <w:lang w:val="en-GB"/>
        </w:rPr>
        <w:t>work.</w:t>
      </w:r>
      <w:r w:rsidR="00A65D81" w:rsidRPr="00D341ED">
        <w:rPr>
          <w:lang w:val="en-GB"/>
        </w:rPr>
        <w:t xml:space="preserve"> </w:t>
      </w:r>
      <w:r w:rsidRPr="00D341ED">
        <w:rPr>
          <w:lang w:val="en-GB"/>
        </w:rPr>
        <w:t xml:space="preserve"> They earn an average wage that is just 64 </w:t>
      </w:r>
      <w:r w:rsidR="00712444" w:rsidRPr="00D341ED">
        <w:rPr>
          <w:lang w:val="en-GB"/>
        </w:rPr>
        <w:t xml:space="preserve">per cent </w:t>
      </w:r>
      <w:r w:rsidRPr="00D341ED">
        <w:rPr>
          <w:lang w:val="en-GB"/>
        </w:rPr>
        <w:t xml:space="preserve">that for men yet </w:t>
      </w:r>
      <w:r w:rsidR="00712444" w:rsidRPr="00D341ED">
        <w:rPr>
          <w:lang w:val="en-GB"/>
        </w:rPr>
        <w:t xml:space="preserve">they </w:t>
      </w:r>
      <w:r w:rsidRPr="00D341ED">
        <w:rPr>
          <w:lang w:val="en-GB"/>
        </w:rPr>
        <w:t xml:space="preserve">have higher educational attainments. Occupations are </w:t>
      </w:r>
      <w:r w:rsidR="00F81491" w:rsidRPr="00D341ED">
        <w:rPr>
          <w:lang w:val="en-GB"/>
        </w:rPr>
        <w:t>gender-</w:t>
      </w:r>
      <w:r w:rsidRPr="00D341ED">
        <w:rPr>
          <w:lang w:val="en-GB"/>
        </w:rPr>
        <w:t>segregated</w:t>
      </w:r>
      <w:r w:rsidR="00EC25DF" w:rsidRPr="00D341ED">
        <w:rPr>
          <w:lang w:val="en-GB"/>
        </w:rPr>
        <w:t xml:space="preserve">: </w:t>
      </w:r>
      <w:r w:rsidR="003F746A" w:rsidRPr="00D341ED">
        <w:rPr>
          <w:lang w:val="en-GB"/>
        </w:rPr>
        <w:t>almost 90</w:t>
      </w:r>
      <w:r w:rsidR="00EC25DF" w:rsidRPr="00D341ED">
        <w:rPr>
          <w:lang w:val="en-GB"/>
        </w:rPr>
        <w:t xml:space="preserve"> </w:t>
      </w:r>
      <w:r w:rsidR="00712444" w:rsidRPr="00D341ED">
        <w:rPr>
          <w:lang w:val="en-GB"/>
        </w:rPr>
        <w:t xml:space="preserve">per cent </w:t>
      </w:r>
      <w:r w:rsidR="00EC25DF" w:rsidRPr="00D341ED">
        <w:rPr>
          <w:lang w:val="en-GB"/>
        </w:rPr>
        <w:t xml:space="preserve">of </w:t>
      </w:r>
      <w:r w:rsidR="003F746A" w:rsidRPr="00D341ED">
        <w:rPr>
          <w:lang w:val="en-GB"/>
        </w:rPr>
        <w:t>teachers are women</w:t>
      </w:r>
      <w:r w:rsidR="00EC25DF" w:rsidRPr="00D341ED">
        <w:rPr>
          <w:lang w:val="en-GB"/>
        </w:rPr>
        <w:t xml:space="preserve">, </w:t>
      </w:r>
      <w:r w:rsidR="00FC12E0" w:rsidRPr="00D341ED">
        <w:rPr>
          <w:lang w:val="en-GB"/>
        </w:rPr>
        <w:t xml:space="preserve">yet only </w:t>
      </w:r>
      <w:r w:rsidRPr="00D341ED">
        <w:rPr>
          <w:lang w:val="en-GB"/>
        </w:rPr>
        <w:t xml:space="preserve">12 </w:t>
      </w:r>
      <w:r w:rsidR="00712444" w:rsidRPr="00D341ED">
        <w:rPr>
          <w:lang w:val="en-GB"/>
        </w:rPr>
        <w:t xml:space="preserve">per cent </w:t>
      </w:r>
      <w:r w:rsidR="003F746A" w:rsidRPr="00D341ED">
        <w:rPr>
          <w:lang w:val="en-GB"/>
        </w:rPr>
        <w:t>of engineering</w:t>
      </w:r>
      <w:r w:rsidR="00FC12E0" w:rsidRPr="00D341ED">
        <w:rPr>
          <w:lang w:val="en-GB"/>
        </w:rPr>
        <w:t xml:space="preserve"> students are female</w:t>
      </w:r>
      <w:r w:rsidRPr="00D341ED">
        <w:rPr>
          <w:lang w:val="en-GB"/>
        </w:rPr>
        <w:t>.</w:t>
      </w:r>
      <w:r w:rsidR="00DB6C1E" w:rsidRPr="00D341ED">
        <w:rPr>
          <w:lang w:val="en-GB"/>
        </w:rPr>
        <w:t xml:space="preserve"> </w:t>
      </w:r>
      <w:r w:rsidRPr="00D341ED">
        <w:rPr>
          <w:lang w:val="en-GB"/>
        </w:rPr>
        <w:t>One in five women experience</w:t>
      </w:r>
      <w:r w:rsidR="00FC12E0" w:rsidRPr="00D341ED">
        <w:rPr>
          <w:lang w:val="en-GB"/>
        </w:rPr>
        <w:t>s</w:t>
      </w:r>
      <w:r w:rsidRPr="00D341ED">
        <w:rPr>
          <w:lang w:val="en-GB"/>
        </w:rPr>
        <w:t xml:space="preserve"> sexual harassment</w:t>
      </w:r>
      <w:r w:rsidR="00712444" w:rsidRPr="00D341ED">
        <w:rPr>
          <w:lang w:val="en-GB"/>
        </w:rPr>
        <w:t xml:space="preserve">; </w:t>
      </w:r>
      <w:r w:rsidRPr="00D341ED">
        <w:rPr>
          <w:lang w:val="en-GB"/>
        </w:rPr>
        <w:t>one in seven face</w:t>
      </w:r>
      <w:r w:rsidR="00FC12E0" w:rsidRPr="00D341ED">
        <w:rPr>
          <w:lang w:val="en-GB"/>
        </w:rPr>
        <w:t>s</w:t>
      </w:r>
      <w:r w:rsidRPr="00D341ED">
        <w:rPr>
          <w:lang w:val="en-GB"/>
        </w:rPr>
        <w:t xml:space="preserve"> violence at the hands of an intimate partner. </w:t>
      </w:r>
    </w:p>
    <w:bookmarkEnd w:id="0"/>
    <w:p w14:paraId="23A6426D" w14:textId="2F2BF40C" w:rsidR="003E2AE2" w:rsidRPr="00D341ED" w:rsidRDefault="003E2AE2" w:rsidP="00C45931">
      <w:pPr>
        <w:pStyle w:val="ListParagraph"/>
        <w:numPr>
          <w:ilvl w:val="0"/>
          <w:numId w:val="14"/>
        </w:numPr>
        <w:tabs>
          <w:tab w:val="left" w:pos="1260"/>
          <w:tab w:val="left" w:pos="1620"/>
        </w:tabs>
        <w:spacing w:after="120" w:line="240" w:lineRule="exact"/>
        <w:ind w:left="1260" w:right="1210" w:firstLine="0"/>
        <w:jc w:val="both"/>
        <w:rPr>
          <w:bCs/>
          <w:shd w:val="clear" w:color="auto" w:fill="FFFFFF"/>
          <w:lang w:val="en-GB"/>
        </w:rPr>
      </w:pPr>
      <w:r w:rsidRPr="00D341ED">
        <w:rPr>
          <w:lang w:val="en-GB"/>
        </w:rPr>
        <w:t xml:space="preserve">The </w:t>
      </w:r>
      <w:r w:rsidR="006255FA" w:rsidRPr="00D341ED">
        <w:rPr>
          <w:lang w:val="en-GB"/>
        </w:rPr>
        <w:t>lesbian, gay, bisexual, transgender, queer, intersex (</w:t>
      </w:r>
      <w:r w:rsidRPr="00D341ED">
        <w:rPr>
          <w:lang w:val="en-GB"/>
        </w:rPr>
        <w:t>LGBTQI</w:t>
      </w:r>
      <w:r w:rsidR="006255FA" w:rsidRPr="00D341ED">
        <w:rPr>
          <w:lang w:val="en-GB"/>
        </w:rPr>
        <w:t>)</w:t>
      </w:r>
      <w:r w:rsidRPr="00D341ED">
        <w:rPr>
          <w:lang w:val="en-GB"/>
        </w:rPr>
        <w:t xml:space="preserve"> community is arguably the most marginalized. Discrimination bas</w:t>
      </w:r>
      <w:r w:rsidR="00962585" w:rsidRPr="00D341ED">
        <w:rPr>
          <w:lang w:val="en-GB"/>
        </w:rPr>
        <w:t>ed</w:t>
      </w:r>
      <w:r w:rsidRPr="00D341ED">
        <w:rPr>
          <w:lang w:val="en-GB"/>
        </w:rPr>
        <w:t xml:space="preserve"> o</w:t>
      </w:r>
      <w:r w:rsidR="00962585" w:rsidRPr="00D341ED">
        <w:rPr>
          <w:lang w:val="en-GB"/>
        </w:rPr>
        <w:t>n</w:t>
      </w:r>
      <w:r w:rsidRPr="00D341ED">
        <w:rPr>
          <w:lang w:val="en-GB"/>
        </w:rPr>
        <w:t xml:space="preserve"> sexual orientation and gender identity is illegal, but LGBTQI persons routinely </w:t>
      </w:r>
      <w:r w:rsidRPr="00D341ED">
        <w:rPr>
          <w:shd w:val="clear" w:color="auto" w:fill="FFFFFF"/>
          <w:lang w:val="en-GB"/>
        </w:rPr>
        <w:t xml:space="preserve">encounter bias, hate speech and violence. </w:t>
      </w:r>
    </w:p>
    <w:p w14:paraId="431DE90F" w14:textId="14EA1A07" w:rsidR="003E2AE2" w:rsidRPr="00D341ED" w:rsidRDefault="003E2AE2" w:rsidP="00C45931">
      <w:pPr>
        <w:pStyle w:val="ListParagraph"/>
        <w:numPr>
          <w:ilvl w:val="0"/>
          <w:numId w:val="14"/>
        </w:numPr>
        <w:tabs>
          <w:tab w:val="left" w:pos="1260"/>
          <w:tab w:val="left" w:pos="1620"/>
        </w:tabs>
        <w:spacing w:after="120" w:line="240" w:lineRule="exact"/>
        <w:ind w:left="1260" w:right="1210" w:firstLine="0"/>
        <w:jc w:val="both"/>
        <w:rPr>
          <w:bCs/>
          <w:shd w:val="clear" w:color="auto" w:fill="FFFFFF"/>
          <w:lang w:val="en-GB"/>
        </w:rPr>
      </w:pPr>
      <w:r w:rsidRPr="00D341ED">
        <w:rPr>
          <w:bCs/>
          <w:shd w:val="clear" w:color="auto" w:fill="FFFFFF"/>
          <w:lang w:val="en-GB"/>
        </w:rPr>
        <w:t>Georgia ratified the U</w:t>
      </w:r>
      <w:r w:rsidR="006255FA" w:rsidRPr="00D341ED">
        <w:rPr>
          <w:bCs/>
          <w:shd w:val="clear" w:color="auto" w:fill="FFFFFF"/>
          <w:lang w:val="en-GB"/>
        </w:rPr>
        <w:t xml:space="preserve">nited </w:t>
      </w:r>
      <w:r w:rsidRPr="00D341ED">
        <w:rPr>
          <w:bCs/>
          <w:shd w:val="clear" w:color="auto" w:fill="FFFFFF"/>
          <w:lang w:val="en-GB"/>
        </w:rPr>
        <w:t>N</w:t>
      </w:r>
      <w:r w:rsidR="006255FA" w:rsidRPr="00D341ED">
        <w:rPr>
          <w:bCs/>
          <w:shd w:val="clear" w:color="auto" w:fill="FFFFFF"/>
          <w:lang w:val="en-GB"/>
        </w:rPr>
        <w:t>ations</w:t>
      </w:r>
      <w:r w:rsidRPr="00D341ED">
        <w:rPr>
          <w:bCs/>
          <w:shd w:val="clear" w:color="auto" w:fill="FFFFFF"/>
          <w:lang w:val="en-GB"/>
        </w:rPr>
        <w:t xml:space="preserve"> Convention on the Rights of Persons with Disabilities in 201</w:t>
      </w:r>
      <w:r w:rsidR="00676DBC" w:rsidRPr="00D341ED">
        <w:rPr>
          <w:bCs/>
          <w:shd w:val="clear" w:color="auto" w:fill="FFFFFF"/>
          <w:lang w:val="en-GB"/>
        </w:rPr>
        <w:t>4</w:t>
      </w:r>
      <w:r w:rsidRPr="00D341ED">
        <w:rPr>
          <w:bCs/>
          <w:shd w:val="clear" w:color="auto" w:fill="FFFFFF"/>
          <w:lang w:val="en-GB"/>
        </w:rPr>
        <w:t xml:space="preserve">, but persons with disabilities </w:t>
      </w:r>
      <w:r w:rsidR="006F3F1F" w:rsidRPr="00D341ED">
        <w:rPr>
          <w:bCs/>
          <w:shd w:val="clear" w:color="auto" w:fill="FFFFFF"/>
          <w:lang w:val="en-GB"/>
        </w:rPr>
        <w:t xml:space="preserve">still </w:t>
      </w:r>
      <w:r w:rsidR="00FC12E0" w:rsidRPr="00D341ED">
        <w:rPr>
          <w:bCs/>
          <w:shd w:val="clear" w:color="auto" w:fill="FFFFFF"/>
          <w:lang w:val="en-GB"/>
        </w:rPr>
        <w:t xml:space="preserve">struggle for </w:t>
      </w:r>
      <w:r w:rsidR="005E3097" w:rsidRPr="00D341ED">
        <w:rPr>
          <w:bCs/>
          <w:shd w:val="clear" w:color="auto" w:fill="FFFFFF"/>
          <w:lang w:val="en-GB"/>
        </w:rPr>
        <w:t xml:space="preserve">their rightful </w:t>
      </w:r>
      <w:r w:rsidR="00FC12E0" w:rsidRPr="00D341ED">
        <w:rPr>
          <w:bCs/>
          <w:shd w:val="clear" w:color="auto" w:fill="FFFFFF"/>
          <w:lang w:val="en-GB"/>
        </w:rPr>
        <w:t>place in society</w:t>
      </w:r>
      <w:r w:rsidRPr="00D341ED">
        <w:rPr>
          <w:bCs/>
          <w:shd w:val="clear" w:color="auto" w:fill="FFFFFF"/>
          <w:lang w:val="en-GB"/>
        </w:rPr>
        <w:t xml:space="preserve">. Only 3 </w:t>
      </w:r>
      <w:r w:rsidR="006255FA" w:rsidRPr="00D341ED">
        <w:rPr>
          <w:bCs/>
          <w:shd w:val="clear" w:color="auto" w:fill="FFFFFF"/>
          <w:lang w:val="en-GB"/>
        </w:rPr>
        <w:t xml:space="preserve">per cent </w:t>
      </w:r>
      <w:r w:rsidR="005E3097" w:rsidRPr="00D341ED">
        <w:rPr>
          <w:bCs/>
          <w:shd w:val="clear" w:color="auto" w:fill="FFFFFF"/>
          <w:lang w:val="en-GB"/>
        </w:rPr>
        <w:t xml:space="preserve">are </w:t>
      </w:r>
      <w:r w:rsidRPr="00D341ED">
        <w:rPr>
          <w:bCs/>
          <w:shd w:val="clear" w:color="auto" w:fill="FFFFFF"/>
          <w:lang w:val="en-GB"/>
        </w:rPr>
        <w:t xml:space="preserve">registered </w:t>
      </w:r>
      <w:r w:rsidR="005E3097" w:rsidRPr="00D341ED">
        <w:rPr>
          <w:bCs/>
          <w:shd w:val="clear" w:color="auto" w:fill="FFFFFF"/>
          <w:lang w:val="en-GB"/>
        </w:rPr>
        <w:t xml:space="preserve">for </w:t>
      </w:r>
      <w:r w:rsidRPr="00D341ED">
        <w:rPr>
          <w:bCs/>
          <w:shd w:val="clear" w:color="auto" w:fill="FFFFFF"/>
          <w:lang w:val="en-GB"/>
        </w:rPr>
        <w:t>disab</w:t>
      </w:r>
      <w:r w:rsidR="005E3097" w:rsidRPr="00D341ED">
        <w:rPr>
          <w:bCs/>
          <w:shd w:val="clear" w:color="auto" w:fill="FFFFFF"/>
          <w:lang w:val="en-GB"/>
        </w:rPr>
        <w:t>ility benefits</w:t>
      </w:r>
      <w:r w:rsidRPr="00D341ED">
        <w:rPr>
          <w:bCs/>
          <w:shd w:val="clear" w:color="auto" w:fill="FFFFFF"/>
          <w:lang w:val="en-GB"/>
        </w:rPr>
        <w:t xml:space="preserve">, whereas </w:t>
      </w:r>
      <w:r w:rsidR="005F07CC" w:rsidRPr="00D341ED">
        <w:rPr>
          <w:lang w:val="en-GB"/>
        </w:rPr>
        <w:t xml:space="preserve">global </w:t>
      </w:r>
      <w:r w:rsidRPr="00D341ED">
        <w:rPr>
          <w:lang w:val="en-GB"/>
        </w:rPr>
        <w:t xml:space="preserve">norms suggest the actual share </w:t>
      </w:r>
      <w:r w:rsidR="005E3097" w:rsidRPr="00D341ED">
        <w:rPr>
          <w:lang w:val="en-GB"/>
        </w:rPr>
        <w:t xml:space="preserve">of the population </w:t>
      </w:r>
      <w:r w:rsidR="006F3F1F" w:rsidRPr="00D341ED">
        <w:rPr>
          <w:lang w:val="en-GB"/>
        </w:rPr>
        <w:t xml:space="preserve">with some form of disability </w:t>
      </w:r>
      <w:r w:rsidRPr="00D341ED">
        <w:rPr>
          <w:lang w:val="en-GB"/>
        </w:rPr>
        <w:t>must be around 1</w:t>
      </w:r>
      <w:r w:rsidR="00CA5E26" w:rsidRPr="00D341ED">
        <w:rPr>
          <w:lang w:val="en-GB"/>
        </w:rPr>
        <w:t>5</w:t>
      </w:r>
      <w:r w:rsidR="006255FA" w:rsidRPr="00D341ED">
        <w:rPr>
          <w:lang w:val="en-GB"/>
        </w:rPr>
        <w:t xml:space="preserve"> per cent</w:t>
      </w:r>
      <w:r w:rsidRPr="00D341ED">
        <w:rPr>
          <w:lang w:val="en-GB"/>
        </w:rPr>
        <w:t>.</w:t>
      </w:r>
      <w:r w:rsidR="006F3F1F" w:rsidRPr="00D341ED">
        <w:rPr>
          <w:lang w:val="en-GB"/>
        </w:rPr>
        <w:t xml:space="preserve"> </w:t>
      </w:r>
      <w:r w:rsidRPr="00D341ED">
        <w:rPr>
          <w:lang w:val="en-GB"/>
        </w:rPr>
        <w:t>Stigma leads families to keep disability hidden, so few children with disabilities attend school or enter the labour force (only 133</w:t>
      </w:r>
      <w:r w:rsidR="006255FA" w:rsidRPr="00D341ED">
        <w:rPr>
          <w:lang w:val="en-GB"/>
        </w:rPr>
        <w:t xml:space="preserve"> persons with disabilities </w:t>
      </w:r>
      <w:r w:rsidRPr="00D341ED">
        <w:rPr>
          <w:lang w:val="en-GB"/>
        </w:rPr>
        <w:t>are employed in the public sector). Disability is still assessed using a medical rather than social model. Physical barriers are widespread, as are disempowering stereotypes.</w:t>
      </w:r>
      <w:r w:rsidR="003A0B92" w:rsidRPr="00D341ED">
        <w:rPr>
          <w:lang w:val="en-GB"/>
        </w:rPr>
        <w:t xml:space="preserve"> </w:t>
      </w:r>
      <w:r w:rsidR="00AA423F" w:rsidRPr="00D341ED">
        <w:rPr>
          <w:lang w:val="en-GB"/>
        </w:rPr>
        <w:t>A n</w:t>
      </w:r>
      <w:r w:rsidR="003A0B92" w:rsidRPr="00D341ED">
        <w:rPr>
          <w:lang w:val="en-GB"/>
        </w:rPr>
        <w:t xml:space="preserve">ew </w:t>
      </w:r>
      <w:r w:rsidR="00AA423F" w:rsidRPr="00D341ED">
        <w:rPr>
          <w:lang w:val="en-GB"/>
        </w:rPr>
        <w:t>UNDP survey</w:t>
      </w:r>
      <w:r w:rsidR="006F3F1F" w:rsidRPr="00D341ED">
        <w:rPr>
          <w:rStyle w:val="FootnoteReference"/>
          <w:lang w:val="en-GB"/>
        </w:rPr>
        <w:footnoteReference w:id="5"/>
      </w:r>
      <w:r w:rsidR="00AA423F" w:rsidRPr="00D341ED">
        <w:rPr>
          <w:lang w:val="en-GB"/>
        </w:rPr>
        <w:t xml:space="preserve"> </w:t>
      </w:r>
      <w:r w:rsidR="003A0B92" w:rsidRPr="00D341ED">
        <w:rPr>
          <w:lang w:val="en-GB"/>
        </w:rPr>
        <w:t xml:space="preserve">suggests that attitudes are changing, but 43 </w:t>
      </w:r>
      <w:r w:rsidR="006255FA" w:rsidRPr="00D341ED">
        <w:rPr>
          <w:lang w:val="en-GB"/>
        </w:rPr>
        <w:t xml:space="preserve">per cent of the population still </w:t>
      </w:r>
      <w:r w:rsidR="003A0B92" w:rsidRPr="00D341ED">
        <w:rPr>
          <w:lang w:val="en-GB"/>
        </w:rPr>
        <w:t xml:space="preserve">believe that assistance for </w:t>
      </w:r>
      <w:r w:rsidR="006255FA" w:rsidRPr="00D341ED">
        <w:rPr>
          <w:lang w:val="en-GB"/>
        </w:rPr>
        <w:t xml:space="preserve">people with disabilities </w:t>
      </w:r>
      <w:r w:rsidR="003A0B92" w:rsidRPr="00D341ED">
        <w:rPr>
          <w:lang w:val="en-GB"/>
        </w:rPr>
        <w:t>is a form of Government charity rather than a state obligation.</w:t>
      </w:r>
    </w:p>
    <w:p w14:paraId="4C0D0B94" w14:textId="1A16F47F" w:rsidR="003E2AE2" w:rsidRPr="00D341ED" w:rsidRDefault="00843B12" w:rsidP="00C45931">
      <w:pPr>
        <w:pStyle w:val="ListParagraph"/>
        <w:numPr>
          <w:ilvl w:val="0"/>
          <w:numId w:val="14"/>
        </w:numPr>
        <w:tabs>
          <w:tab w:val="left" w:pos="1260"/>
          <w:tab w:val="left" w:pos="1620"/>
        </w:tabs>
        <w:spacing w:after="120" w:line="240" w:lineRule="exact"/>
        <w:ind w:left="1260" w:right="1210" w:firstLine="0"/>
        <w:jc w:val="both"/>
        <w:rPr>
          <w:lang w:val="en-GB"/>
        </w:rPr>
      </w:pPr>
      <w:r w:rsidRPr="00D341ED">
        <w:rPr>
          <w:lang w:val="en-GB"/>
        </w:rPr>
        <w:t>Conflict-affected communities face daunting challenges</w:t>
      </w:r>
      <w:r w:rsidR="006F3F1F" w:rsidRPr="00D341ED">
        <w:rPr>
          <w:lang w:val="en-GB"/>
        </w:rPr>
        <w:t>.</w:t>
      </w:r>
      <w:r w:rsidR="009C0E09" w:rsidRPr="00D341ED">
        <w:rPr>
          <w:lang w:val="en-GB"/>
        </w:rPr>
        <w:t xml:space="preserve"> </w:t>
      </w:r>
      <w:r w:rsidR="006F3F1F" w:rsidRPr="00D341ED">
        <w:rPr>
          <w:lang w:val="en-GB"/>
        </w:rPr>
        <w:t xml:space="preserve">Georgia has one of the world’s highest displacement rates: </w:t>
      </w:r>
      <w:r w:rsidR="003E2AE2" w:rsidRPr="00D341ED">
        <w:rPr>
          <w:lang w:val="en-GB"/>
        </w:rPr>
        <w:t xml:space="preserve">286,216 persons, or 7.7 </w:t>
      </w:r>
      <w:r w:rsidR="009C0E09" w:rsidRPr="00D341ED">
        <w:rPr>
          <w:lang w:val="en-GB"/>
        </w:rPr>
        <w:t xml:space="preserve">per cent </w:t>
      </w:r>
      <w:r w:rsidR="003E2AE2" w:rsidRPr="00D341ED">
        <w:rPr>
          <w:lang w:val="en-GB"/>
        </w:rPr>
        <w:t xml:space="preserve">of the population, </w:t>
      </w:r>
      <w:r w:rsidR="00FC12E0" w:rsidRPr="00D341ED">
        <w:rPr>
          <w:lang w:val="en-GB"/>
        </w:rPr>
        <w:t xml:space="preserve">are </w:t>
      </w:r>
      <w:r w:rsidR="005E1F9D" w:rsidRPr="00D341ED">
        <w:rPr>
          <w:lang w:val="en-GB"/>
        </w:rPr>
        <w:t xml:space="preserve">currently </w:t>
      </w:r>
      <w:r w:rsidR="003E2AE2" w:rsidRPr="00D341ED">
        <w:rPr>
          <w:lang w:val="en-GB"/>
        </w:rPr>
        <w:t xml:space="preserve">registered as </w:t>
      </w:r>
      <w:r w:rsidR="00FC12E0" w:rsidRPr="00D341ED">
        <w:rPr>
          <w:lang w:val="en-GB"/>
        </w:rPr>
        <w:t>internally displaced persons (</w:t>
      </w:r>
      <w:r w:rsidR="003E2AE2" w:rsidRPr="00D341ED">
        <w:rPr>
          <w:lang w:val="en-GB"/>
        </w:rPr>
        <w:t>IDPs</w:t>
      </w:r>
      <w:r w:rsidR="00FC12E0" w:rsidRPr="00D341ED">
        <w:rPr>
          <w:lang w:val="en-GB"/>
        </w:rPr>
        <w:t>)</w:t>
      </w:r>
      <w:r w:rsidR="003E2AE2" w:rsidRPr="00D341ED">
        <w:rPr>
          <w:lang w:val="en-GB"/>
        </w:rPr>
        <w:t xml:space="preserve">. Georgian authorities have promoted integration into host communities, but many IDPs remain isolated and dependent on state benefits. Only 45 </w:t>
      </w:r>
      <w:r w:rsidR="009C0E09" w:rsidRPr="00D341ED">
        <w:rPr>
          <w:lang w:val="en-GB"/>
        </w:rPr>
        <w:t xml:space="preserve">per cent </w:t>
      </w:r>
      <w:r w:rsidR="003E2AE2" w:rsidRPr="00D341ED">
        <w:rPr>
          <w:lang w:val="en-GB"/>
        </w:rPr>
        <w:t xml:space="preserve">have received purpose-built housing, leaving thousands living in </w:t>
      </w:r>
      <w:r w:rsidR="009C0E09" w:rsidRPr="00D341ED">
        <w:rPr>
          <w:lang w:val="en-GB"/>
        </w:rPr>
        <w:t>‘</w:t>
      </w:r>
      <w:r w:rsidR="003E2AE2" w:rsidRPr="00D341ED">
        <w:rPr>
          <w:lang w:val="en-GB"/>
        </w:rPr>
        <w:t>collective centr</w:t>
      </w:r>
      <w:r w:rsidR="009C0E09" w:rsidRPr="00D341ED">
        <w:rPr>
          <w:lang w:val="en-GB"/>
        </w:rPr>
        <w:t>e</w:t>
      </w:r>
      <w:r w:rsidR="003E2AE2" w:rsidRPr="00D341ED">
        <w:rPr>
          <w:lang w:val="en-GB"/>
        </w:rPr>
        <w:t>s</w:t>
      </w:r>
      <w:r w:rsidR="009C0E09" w:rsidRPr="00D341ED">
        <w:rPr>
          <w:lang w:val="en-GB"/>
        </w:rPr>
        <w:t>’</w:t>
      </w:r>
      <w:r w:rsidR="003E2AE2" w:rsidRPr="00D341ED">
        <w:rPr>
          <w:lang w:val="en-GB"/>
        </w:rPr>
        <w:t xml:space="preserve">. Job opportunities </w:t>
      </w:r>
      <w:r w:rsidR="00E85F86" w:rsidRPr="00D341ED">
        <w:rPr>
          <w:lang w:val="en-GB"/>
        </w:rPr>
        <w:t xml:space="preserve">and social amenities </w:t>
      </w:r>
      <w:r w:rsidR="003E2AE2" w:rsidRPr="00D341ED">
        <w:rPr>
          <w:lang w:val="en-GB"/>
        </w:rPr>
        <w:t>remain scarce</w:t>
      </w:r>
      <w:r w:rsidR="00E85F86" w:rsidRPr="00D341ED">
        <w:rPr>
          <w:lang w:val="en-GB"/>
        </w:rPr>
        <w:t xml:space="preserve"> for </w:t>
      </w:r>
      <w:r w:rsidR="006530F2" w:rsidRPr="00D341ED">
        <w:rPr>
          <w:lang w:val="en-GB"/>
        </w:rPr>
        <w:t xml:space="preserve">both </w:t>
      </w:r>
      <w:r w:rsidR="00E85F86" w:rsidRPr="00D341ED">
        <w:rPr>
          <w:lang w:val="en-GB"/>
        </w:rPr>
        <w:t>IDPs and p</w:t>
      </w:r>
      <w:r w:rsidR="003E2AE2" w:rsidRPr="00D341ED">
        <w:rPr>
          <w:lang w:val="en-GB"/>
        </w:rPr>
        <w:t>eople living along dividing lines</w:t>
      </w:r>
      <w:r w:rsidR="00E85F86" w:rsidRPr="00D341ED">
        <w:rPr>
          <w:lang w:val="en-GB"/>
        </w:rPr>
        <w:t>.</w:t>
      </w:r>
      <w:r w:rsidR="00AA423F" w:rsidRPr="00D341ED">
        <w:rPr>
          <w:lang w:val="en-GB"/>
        </w:rPr>
        <w:t xml:space="preserve"> </w:t>
      </w:r>
    </w:p>
    <w:p w14:paraId="3940D795" w14:textId="64125FB9" w:rsidR="003E2AE2" w:rsidRPr="00D341ED" w:rsidRDefault="005A78AB" w:rsidP="00C45931">
      <w:pPr>
        <w:pStyle w:val="ListParagraph"/>
        <w:numPr>
          <w:ilvl w:val="0"/>
          <w:numId w:val="14"/>
        </w:numPr>
        <w:tabs>
          <w:tab w:val="left" w:pos="1260"/>
          <w:tab w:val="left" w:pos="1620"/>
        </w:tabs>
        <w:spacing w:after="120" w:line="240" w:lineRule="exact"/>
        <w:ind w:left="1260" w:right="1210" w:firstLine="0"/>
        <w:jc w:val="both"/>
        <w:rPr>
          <w:lang w:val="en-GB"/>
        </w:rPr>
      </w:pPr>
      <w:bookmarkStart w:id="1" w:name="_Hlk54354945"/>
      <w:r w:rsidRPr="00D341ED">
        <w:rPr>
          <w:lang w:val="en-GB"/>
        </w:rPr>
        <w:lastRenderedPageBreak/>
        <w:t xml:space="preserve">Although laudable progress has been made in </w:t>
      </w:r>
      <w:r w:rsidR="009005FF" w:rsidRPr="00D341ED">
        <w:rPr>
          <w:lang w:val="en-GB"/>
        </w:rPr>
        <w:t xml:space="preserve">adopting international standards, including the Paris </w:t>
      </w:r>
      <w:r w:rsidR="006F3F1F" w:rsidRPr="00D341ED">
        <w:rPr>
          <w:lang w:val="en-GB"/>
        </w:rPr>
        <w:t xml:space="preserve">Climate </w:t>
      </w:r>
      <w:r w:rsidR="00B70E85" w:rsidRPr="00D341ED">
        <w:rPr>
          <w:lang w:val="en-GB"/>
        </w:rPr>
        <w:t>A</w:t>
      </w:r>
      <w:r w:rsidR="009005FF" w:rsidRPr="00D341ED">
        <w:rPr>
          <w:lang w:val="en-GB"/>
        </w:rPr>
        <w:t xml:space="preserve">greement, </w:t>
      </w:r>
      <w:r w:rsidR="00F47031" w:rsidRPr="00D341ED">
        <w:rPr>
          <w:lang w:val="en-GB"/>
        </w:rPr>
        <w:t>Georgia faces significant e</w:t>
      </w:r>
      <w:r w:rsidR="003E2AE2" w:rsidRPr="00D341ED">
        <w:rPr>
          <w:lang w:val="en-GB"/>
        </w:rPr>
        <w:t xml:space="preserve">nvironmental </w:t>
      </w:r>
      <w:r w:rsidR="00F47031" w:rsidRPr="00D341ED">
        <w:rPr>
          <w:lang w:val="en-GB"/>
        </w:rPr>
        <w:t>challenges</w:t>
      </w:r>
      <w:r w:rsidR="003E2AE2" w:rsidRPr="00D341ED">
        <w:rPr>
          <w:lang w:val="en-GB"/>
        </w:rPr>
        <w:t xml:space="preserve">. Seismic risk is high. With climate change disrupting weather patterns, floods, droughts, landslides and mudslides have become more frequent and destructive. </w:t>
      </w:r>
      <w:r w:rsidR="009C0E09" w:rsidRPr="00D341ED">
        <w:rPr>
          <w:lang w:val="en-GB"/>
        </w:rPr>
        <w:t xml:space="preserve">Each year </w:t>
      </w:r>
      <w:r w:rsidR="00EF51A9" w:rsidRPr="00D341ED">
        <w:rPr>
          <w:lang w:val="en-GB"/>
        </w:rPr>
        <w:t>$</w:t>
      </w:r>
      <w:r w:rsidR="00E823CE" w:rsidRPr="00D341ED">
        <w:rPr>
          <w:lang w:val="en-GB"/>
        </w:rPr>
        <w:t>258</w:t>
      </w:r>
      <w:r w:rsidR="009C0E09" w:rsidRPr="00D341ED">
        <w:rPr>
          <w:lang w:val="en-GB"/>
        </w:rPr>
        <w:t> </w:t>
      </w:r>
      <w:r w:rsidR="003E2AE2" w:rsidRPr="00D341ED">
        <w:rPr>
          <w:lang w:val="en-GB"/>
        </w:rPr>
        <w:t xml:space="preserve">million is spent </w:t>
      </w:r>
      <w:r w:rsidR="00730D30" w:rsidRPr="00D341ED">
        <w:rPr>
          <w:lang w:val="en-GB"/>
        </w:rPr>
        <w:t xml:space="preserve">on </w:t>
      </w:r>
      <w:r w:rsidR="003E2AE2" w:rsidRPr="00D341ED">
        <w:rPr>
          <w:lang w:val="en-GB"/>
        </w:rPr>
        <w:t xml:space="preserve">flood </w:t>
      </w:r>
      <w:r w:rsidR="00730D30" w:rsidRPr="00D341ED">
        <w:rPr>
          <w:lang w:val="en-GB"/>
        </w:rPr>
        <w:t>recovery</w:t>
      </w:r>
      <w:r w:rsidR="003E2AE2" w:rsidRPr="00D341ED">
        <w:rPr>
          <w:lang w:val="en-GB"/>
        </w:rPr>
        <w:t>. Precipitation and temperature extremes risk disrupting the hydropower supply, and other renewable</w:t>
      </w:r>
      <w:r w:rsidR="00730D30" w:rsidRPr="00D341ED">
        <w:rPr>
          <w:lang w:val="en-GB"/>
        </w:rPr>
        <w:t>s</w:t>
      </w:r>
      <w:r w:rsidR="003E2AE2" w:rsidRPr="00D341ED">
        <w:rPr>
          <w:lang w:val="en-GB"/>
        </w:rPr>
        <w:t xml:space="preserve"> (wind, solar</w:t>
      </w:r>
      <w:r w:rsidR="009C0E09" w:rsidRPr="00D341ED">
        <w:rPr>
          <w:lang w:val="en-GB"/>
        </w:rPr>
        <w:t xml:space="preserve">, </w:t>
      </w:r>
      <w:r w:rsidR="003E2AE2" w:rsidRPr="00D341ED">
        <w:rPr>
          <w:lang w:val="en-GB"/>
        </w:rPr>
        <w:t xml:space="preserve">geothermal) </w:t>
      </w:r>
      <w:r w:rsidR="00F31C4F" w:rsidRPr="00D341ED">
        <w:rPr>
          <w:lang w:val="en-GB"/>
        </w:rPr>
        <w:t xml:space="preserve">currently </w:t>
      </w:r>
      <w:r w:rsidR="003E2AE2" w:rsidRPr="00D341ED">
        <w:rPr>
          <w:lang w:val="en-GB"/>
        </w:rPr>
        <w:t>amount</w:t>
      </w:r>
      <w:r w:rsidR="00B70E85" w:rsidRPr="00D341ED">
        <w:rPr>
          <w:lang w:val="en-GB"/>
        </w:rPr>
        <w:t xml:space="preserve"> </w:t>
      </w:r>
      <w:r w:rsidR="003E2AE2" w:rsidRPr="00D341ED">
        <w:rPr>
          <w:lang w:val="en-GB"/>
        </w:rPr>
        <w:t xml:space="preserve">to just 0.6 </w:t>
      </w:r>
      <w:r w:rsidR="009C0E09" w:rsidRPr="00D341ED">
        <w:rPr>
          <w:lang w:val="en-GB"/>
        </w:rPr>
        <w:t xml:space="preserve">per cent </w:t>
      </w:r>
      <w:r w:rsidR="003E2AE2" w:rsidRPr="00D341ED">
        <w:rPr>
          <w:lang w:val="en-GB"/>
        </w:rPr>
        <w:t xml:space="preserve">of the energy balance. Urban air pollution </w:t>
      </w:r>
      <w:r w:rsidR="000419DE" w:rsidRPr="00D341ED">
        <w:rPr>
          <w:lang w:val="en-GB"/>
        </w:rPr>
        <w:t xml:space="preserve">contains high levels of </w:t>
      </w:r>
      <w:r w:rsidR="001418CF" w:rsidRPr="00D341ED">
        <w:rPr>
          <w:lang w:val="en-GB"/>
        </w:rPr>
        <w:t xml:space="preserve">harmful </w:t>
      </w:r>
      <w:r w:rsidR="000419DE" w:rsidRPr="00D341ED">
        <w:rPr>
          <w:lang w:val="en-GB"/>
        </w:rPr>
        <w:t>particulates</w:t>
      </w:r>
      <w:r w:rsidR="003E2AE2" w:rsidRPr="00D341ED">
        <w:rPr>
          <w:lang w:val="en-GB"/>
        </w:rPr>
        <w:t xml:space="preserve">, </w:t>
      </w:r>
      <w:r w:rsidR="000419DE" w:rsidRPr="00D341ED">
        <w:rPr>
          <w:lang w:val="en-GB"/>
        </w:rPr>
        <w:t xml:space="preserve">with </w:t>
      </w:r>
      <w:r w:rsidR="003E2AE2" w:rsidRPr="00D341ED">
        <w:rPr>
          <w:lang w:val="en-GB"/>
        </w:rPr>
        <w:t xml:space="preserve">a measurable </w:t>
      </w:r>
      <w:r w:rsidR="001418CF" w:rsidRPr="00D341ED">
        <w:rPr>
          <w:lang w:val="en-GB"/>
        </w:rPr>
        <w:t xml:space="preserve">negative </w:t>
      </w:r>
      <w:r w:rsidR="000419DE" w:rsidRPr="00D341ED">
        <w:rPr>
          <w:lang w:val="en-GB"/>
        </w:rPr>
        <w:t>impact on health</w:t>
      </w:r>
      <w:r w:rsidR="003E2AE2" w:rsidRPr="00D341ED">
        <w:rPr>
          <w:lang w:val="en-GB"/>
        </w:rPr>
        <w:t xml:space="preserve">. </w:t>
      </w:r>
      <w:r w:rsidR="001418CF" w:rsidRPr="00D341ED">
        <w:rPr>
          <w:lang w:val="en-GB"/>
        </w:rPr>
        <w:t xml:space="preserve">As of 2020, </w:t>
      </w:r>
      <w:r w:rsidR="003E2AE2" w:rsidRPr="00D341ED">
        <w:rPr>
          <w:lang w:val="en-GB"/>
        </w:rPr>
        <w:t xml:space="preserve">11 </w:t>
      </w:r>
      <w:r w:rsidR="009C0E09" w:rsidRPr="00D341ED">
        <w:rPr>
          <w:lang w:val="en-GB"/>
        </w:rPr>
        <w:t xml:space="preserve">per cent </w:t>
      </w:r>
      <w:r w:rsidR="003E2AE2" w:rsidRPr="00D341ED">
        <w:rPr>
          <w:lang w:val="en-GB"/>
        </w:rPr>
        <w:t xml:space="preserve">of </w:t>
      </w:r>
      <w:r w:rsidR="009C0E09" w:rsidRPr="00D341ED">
        <w:rPr>
          <w:lang w:val="en-GB"/>
        </w:rPr>
        <w:t xml:space="preserve">the national </w:t>
      </w:r>
      <w:r w:rsidR="003E2AE2" w:rsidRPr="00D341ED">
        <w:rPr>
          <w:lang w:val="en-GB"/>
        </w:rPr>
        <w:t xml:space="preserve">territory </w:t>
      </w:r>
      <w:r w:rsidR="00B70E85" w:rsidRPr="00D341ED">
        <w:rPr>
          <w:lang w:val="en-GB"/>
        </w:rPr>
        <w:t xml:space="preserve">has been </w:t>
      </w:r>
      <w:r w:rsidR="003E2AE2" w:rsidRPr="00D341ED">
        <w:rPr>
          <w:lang w:val="en-GB"/>
        </w:rPr>
        <w:t xml:space="preserve">designated </w:t>
      </w:r>
      <w:r w:rsidR="00335B9B" w:rsidRPr="00D341ED">
        <w:rPr>
          <w:lang w:val="en-GB"/>
        </w:rPr>
        <w:t xml:space="preserve">as </w:t>
      </w:r>
      <w:r w:rsidR="003E2AE2" w:rsidRPr="00D341ED">
        <w:rPr>
          <w:lang w:val="en-GB"/>
        </w:rPr>
        <w:t>protected</w:t>
      </w:r>
      <w:r w:rsidR="00E85F86" w:rsidRPr="00D341ED">
        <w:rPr>
          <w:lang w:val="en-GB"/>
        </w:rPr>
        <w:t xml:space="preserve"> areas</w:t>
      </w:r>
      <w:r w:rsidR="003E2AE2" w:rsidRPr="00D341ED">
        <w:rPr>
          <w:lang w:val="en-GB"/>
        </w:rPr>
        <w:t xml:space="preserve">, but </w:t>
      </w:r>
      <w:r w:rsidR="006F3F1F" w:rsidRPr="00D341ED">
        <w:rPr>
          <w:lang w:val="en-GB"/>
        </w:rPr>
        <w:t xml:space="preserve">illegal </w:t>
      </w:r>
      <w:r w:rsidR="003E2AE2" w:rsidRPr="00D341ED">
        <w:rPr>
          <w:lang w:val="en-GB"/>
        </w:rPr>
        <w:t xml:space="preserve">logging and other incursions underline the need for better management and more sustainable </w:t>
      </w:r>
      <w:r w:rsidR="00B70E85" w:rsidRPr="00D341ED">
        <w:rPr>
          <w:lang w:val="en-GB"/>
        </w:rPr>
        <w:t xml:space="preserve">use of natural </w:t>
      </w:r>
      <w:r w:rsidR="001418CF" w:rsidRPr="00D341ED">
        <w:rPr>
          <w:lang w:val="en-GB"/>
        </w:rPr>
        <w:t>resource</w:t>
      </w:r>
      <w:r w:rsidR="00B70E85" w:rsidRPr="00D341ED">
        <w:rPr>
          <w:lang w:val="en-GB"/>
        </w:rPr>
        <w:t>s</w:t>
      </w:r>
      <w:r w:rsidR="003E2AE2" w:rsidRPr="00D341ED">
        <w:rPr>
          <w:lang w:val="en-GB"/>
        </w:rPr>
        <w:t>.</w:t>
      </w:r>
    </w:p>
    <w:bookmarkEnd w:id="1"/>
    <w:p w14:paraId="21163547" w14:textId="497F76F2" w:rsidR="0012275E" w:rsidRPr="00D341ED" w:rsidRDefault="00A65D81" w:rsidP="004C0138">
      <w:pPr>
        <w:pStyle w:val="ListParagraph"/>
        <w:numPr>
          <w:ilvl w:val="0"/>
          <w:numId w:val="14"/>
        </w:numPr>
        <w:tabs>
          <w:tab w:val="left" w:pos="1260"/>
          <w:tab w:val="left" w:pos="1620"/>
        </w:tabs>
        <w:ind w:left="1267" w:right="1210" w:firstLine="0"/>
        <w:contextualSpacing/>
        <w:jc w:val="both"/>
        <w:rPr>
          <w:lang w:val="en-GB"/>
        </w:rPr>
      </w:pPr>
      <w:r w:rsidRPr="00D341ED">
        <w:rPr>
          <w:lang w:val="en-GB"/>
        </w:rPr>
        <w:t xml:space="preserve">Improving </w:t>
      </w:r>
      <w:r w:rsidR="00B70E85" w:rsidRPr="00D341ED">
        <w:rPr>
          <w:lang w:val="en-GB"/>
        </w:rPr>
        <w:t xml:space="preserve">the </w:t>
      </w:r>
      <w:r w:rsidRPr="00D341ED">
        <w:rPr>
          <w:lang w:val="en-GB"/>
        </w:rPr>
        <w:t xml:space="preserve">well-being </w:t>
      </w:r>
      <w:r w:rsidR="00D328B9" w:rsidRPr="00D341ED">
        <w:rPr>
          <w:lang w:val="en-GB"/>
        </w:rPr>
        <w:t xml:space="preserve">of </w:t>
      </w:r>
      <w:r w:rsidR="00B70E85" w:rsidRPr="00D341ED">
        <w:rPr>
          <w:lang w:val="en-GB"/>
        </w:rPr>
        <w:t>groups at risk of being left behind</w:t>
      </w:r>
      <w:r w:rsidR="005E1F9D" w:rsidRPr="00D341ED">
        <w:rPr>
          <w:lang w:val="en-GB"/>
        </w:rPr>
        <w:t xml:space="preserve"> </w:t>
      </w:r>
      <w:r w:rsidR="00000CDC" w:rsidRPr="00D341ED">
        <w:rPr>
          <w:lang w:val="en-GB"/>
        </w:rPr>
        <w:t xml:space="preserve">while working towards enduring peace and prosperity for all Georgians </w:t>
      </w:r>
      <w:r w:rsidR="005E1F9D" w:rsidRPr="00D341ED">
        <w:rPr>
          <w:lang w:val="en-GB"/>
        </w:rPr>
        <w:t xml:space="preserve">is </w:t>
      </w:r>
      <w:r w:rsidR="004C32E8" w:rsidRPr="00D341ED">
        <w:rPr>
          <w:lang w:val="en-GB"/>
        </w:rPr>
        <w:t>the</w:t>
      </w:r>
      <w:r w:rsidR="002B3082" w:rsidRPr="00D341ED">
        <w:rPr>
          <w:lang w:val="en-GB"/>
        </w:rPr>
        <w:t xml:space="preserve"> unifying </w:t>
      </w:r>
      <w:r w:rsidR="00862F48" w:rsidRPr="00D341ED">
        <w:rPr>
          <w:lang w:val="en-GB"/>
        </w:rPr>
        <w:t xml:space="preserve">UNDP </w:t>
      </w:r>
      <w:r w:rsidR="002B3082" w:rsidRPr="00D341ED">
        <w:rPr>
          <w:lang w:val="en-GB"/>
        </w:rPr>
        <w:t xml:space="preserve">vision </w:t>
      </w:r>
      <w:r w:rsidR="00000CDC" w:rsidRPr="00D341ED">
        <w:rPr>
          <w:lang w:val="en-GB"/>
        </w:rPr>
        <w:t xml:space="preserve">for </w:t>
      </w:r>
      <w:r w:rsidR="005E1F9D" w:rsidRPr="00D341ED">
        <w:rPr>
          <w:lang w:val="en-GB"/>
        </w:rPr>
        <w:t>2021-2025</w:t>
      </w:r>
      <w:r w:rsidR="0012275E" w:rsidRPr="00D341ED">
        <w:rPr>
          <w:lang w:val="en-GB"/>
        </w:rPr>
        <w:t xml:space="preserve">. </w:t>
      </w:r>
      <w:r w:rsidR="005E1F9D" w:rsidRPr="00D341ED">
        <w:rPr>
          <w:lang w:val="en-GB"/>
        </w:rPr>
        <w:t xml:space="preserve">The new </w:t>
      </w:r>
      <w:r w:rsidR="00862F48" w:rsidRPr="00D341ED">
        <w:rPr>
          <w:lang w:val="en-GB"/>
        </w:rPr>
        <w:t xml:space="preserve">country </w:t>
      </w:r>
      <w:r w:rsidR="005E1F9D" w:rsidRPr="00D341ED">
        <w:rPr>
          <w:lang w:val="en-GB"/>
        </w:rPr>
        <w:t xml:space="preserve">programme </w:t>
      </w:r>
      <w:r w:rsidR="0012275E" w:rsidRPr="00D341ED">
        <w:rPr>
          <w:lang w:val="en-GB"/>
        </w:rPr>
        <w:t xml:space="preserve">was developed in tandem with the UNSDCF and </w:t>
      </w:r>
      <w:r w:rsidR="00000CDC" w:rsidRPr="00D341ED">
        <w:rPr>
          <w:lang w:val="en-GB"/>
        </w:rPr>
        <w:t xml:space="preserve">directly </w:t>
      </w:r>
      <w:r w:rsidR="0012275E" w:rsidRPr="00D341ED">
        <w:rPr>
          <w:lang w:val="en-GB"/>
        </w:rPr>
        <w:t xml:space="preserve">incorporates four of </w:t>
      </w:r>
      <w:r w:rsidR="00B70E85" w:rsidRPr="00D341ED">
        <w:rPr>
          <w:lang w:val="en-GB"/>
        </w:rPr>
        <w:t xml:space="preserve">the </w:t>
      </w:r>
      <w:r w:rsidR="0012275E" w:rsidRPr="00D341ED">
        <w:rPr>
          <w:lang w:val="en-GB"/>
        </w:rPr>
        <w:t xml:space="preserve">five </w:t>
      </w:r>
      <w:r w:rsidR="00DD7AC4" w:rsidRPr="00D341ED">
        <w:rPr>
          <w:lang w:val="en-GB"/>
        </w:rPr>
        <w:t xml:space="preserve">joint </w:t>
      </w:r>
      <w:r w:rsidR="0012275E" w:rsidRPr="00D341ED">
        <w:rPr>
          <w:lang w:val="en-GB"/>
        </w:rPr>
        <w:t xml:space="preserve">outcomes. </w:t>
      </w:r>
      <w:r w:rsidR="00862F48" w:rsidRPr="00D341ED">
        <w:rPr>
          <w:lang w:val="en-GB"/>
        </w:rPr>
        <w:t xml:space="preserve">The </w:t>
      </w:r>
      <w:r w:rsidR="0012275E" w:rsidRPr="00D341ED">
        <w:rPr>
          <w:lang w:val="en-GB"/>
        </w:rPr>
        <w:t xml:space="preserve">UNDP theory of change mirrors </w:t>
      </w:r>
      <w:r w:rsidR="00DD7AC4" w:rsidRPr="00D341ED">
        <w:rPr>
          <w:lang w:val="en-GB"/>
        </w:rPr>
        <w:t xml:space="preserve">that of </w:t>
      </w:r>
      <w:r w:rsidR="0012275E" w:rsidRPr="00D341ED">
        <w:rPr>
          <w:lang w:val="en-GB"/>
        </w:rPr>
        <w:t>the UNSDCF: it locates the root causes of poverty</w:t>
      </w:r>
      <w:r w:rsidRPr="00D341ED">
        <w:rPr>
          <w:lang w:val="en-GB"/>
        </w:rPr>
        <w:t xml:space="preserve"> and </w:t>
      </w:r>
      <w:r w:rsidR="0012275E" w:rsidRPr="00D341ED">
        <w:rPr>
          <w:lang w:val="en-GB"/>
        </w:rPr>
        <w:t>inequality in structural factors – the quality of governance institutions, the structure of the economy and the legacy of conflict – and proposes structural solutions</w:t>
      </w:r>
      <w:r w:rsidR="00B70E85" w:rsidRPr="00D341ED">
        <w:rPr>
          <w:lang w:val="en-GB"/>
        </w:rPr>
        <w:t xml:space="preserve"> </w:t>
      </w:r>
      <w:r w:rsidR="00000CDC" w:rsidRPr="00D341ED">
        <w:rPr>
          <w:lang w:val="en-GB"/>
        </w:rPr>
        <w:t xml:space="preserve">to </w:t>
      </w:r>
      <w:r w:rsidR="00F31C4F" w:rsidRPr="00D341ED">
        <w:rPr>
          <w:lang w:val="en-GB"/>
        </w:rPr>
        <w:t xml:space="preserve">address </w:t>
      </w:r>
      <w:r w:rsidR="00000CDC" w:rsidRPr="00D341ED">
        <w:rPr>
          <w:lang w:val="en-GB"/>
        </w:rPr>
        <w:t>these challenges</w:t>
      </w:r>
      <w:r w:rsidR="005E1F9D" w:rsidRPr="00D341ED">
        <w:rPr>
          <w:lang w:val="en-GB"/>
        </w:rPr>
        <w:t>.</w:t>
      </w:r>
    </w:p>
    <w:p w14:paraId="2265782F" w14:textId="77777777" w:rsidR="00C45931" w:rsidRPr="00D341ED" w:rsidRDefault="00C45931" w:rsidP="004C0138">
      <w:pPr>
        <w:pStyle w:val="ListParagraph"/>
        <w:tabs>
          <w:tab w:val="left" w:pos="1260"/>
          <w:tab w:val="left" w:pos="1620"/>
        </w:tabs>
        <w:ind w:left="1267" w:right="1210"/>
        <w:contextualSpacing/>
        <w:jc w:val="both"/>
        <w:rPr>
          <w:sz w:val="12"/>
          <w:szCs w:val="12"/>
          <w:lang w:val="en-GB"/>
        </w:rPr>
      </w:pPr>
    </w:p>
    <w:p w14:paraId="3E3AA31C" w14:textId="391A15B4" w:rsidR="002B3082" w:rsidRPr="00D341ED" w:rsidRDefault="002B3082" w:rsidP="004C0138">
      <w:pPr>
        <w:pStyle w:val="ListParagraph"/>
        <w:numPr>
          <w:ilvl w:val="0"/>
          <w:numId w:val="14"/>
        </w:numPr>
        <w:tabs>
          <w:tab w:val="left" w:pos="1260"/>
          <w:tab w:val="left" w:pos="1620"/>
        </w:tabs>
        <w:spacing w:after="120"/>
        <w:ind w:left="1267" w:right="1210" w:firstLine="0"/>
        <w:jc w:val="both"/>
        <w:rPr>
          <w:lang w:val="en-GB"/>
        </w:rPr>
      </w:pPr>
      <w:r w:rsidRPr="00D341ED">
        <w:rPr>
          <w:lang w:val="en-GB"/>
        </w:rPr>
        <w:t xml:space="preserve">The new programme builds on sturdy foundations. </w:t>
      </w:r>
      <w:r w:rsidR="00862F48" w:rsidRPr="00D341ED">
        <w:rPr>
          <w:lang w:val="en-GB"/>
        </w:rPr>
        <w:t>The 2019 i</w:t>
      </w:r>
      <w:r w:rsidRPr="00D341ED">
        <w:rPr>
          <w:lang w:val="en-GB"/>
        </w:rPr>
        <w:t xml:space="preserve">ndependent </w:t>
      </w:r>
      <w:r w:rsidR="00862F48" w:rsidRPr="00D341ED">
        <w:rPr>
          <w:lang w:val="en-GB"/>
        </w:rPr>
        <w:t>c</w:t>
      </w:r>
      <w:r w:rsidRPr="00D341ED">
        <w:rPr>
          <w:lang w:val="en-GB"/>
        </w:rPr>
        <w:t xml:space="preserve">ountry </w:t>
      </w:r>
      <w:r w:rsidR="00862F48" w:rsidRPr="00D341ED">
        <w:rPr>
          <w:lang w:val="en-GB"/>
        </w:rPr>
        <w:t>p</w:t>
      </w:r>
      <w:r w:rsidRPr="00D341ED">
        <w:rPr>
          <w:lang w:val="en-GB"/>
        </w:rPr>
        <w:t xml:space="preserve">rogramme </w:t>
      </w:r>
      <w:r w:rsidR="00862F48" w:rsidRPr="00D341ED">
        <w:rPr>
          <w:lang w:val="en-GB"/>
        </w:rPr>
        <w:t>e</w:t>
      </w:r>
      <w:r w:rsidRPr="00D341ED">
        <w:rPr>
          <w:lang w:val="en-GB"/>
        </w:rPr>
        <w:t xml:space="preserve">valuation (ICPE) </w:t>
      </w:r>
      <w:r w:rsidR="00534F99" w:rsidRPr="00D341ED">
        <w:rPr>
          <w:lang w:val="en-GB"/>
        </w:rPr>
        <w:t xml:space="preserve">said </w:t>
      </w:r>
      <w:r w:rsidRPr="00D341ED">
        <w:rPr>
          <w:lang w:val="en-GB"/>
        </w:rPr>
        <w:t xml:space="preserve">UNDP </w:t>
      </w:r>
      <w:r w:rsidR="00534F99" w:rsidRPr="00D341ED">
        <w:rPr>
          <w:lang w:val="en-GB"/>
        </w:rPr>
        <w:t xml:space="preserve">work in </w:t>
      </w:r>
      <w:r w:rsidRPr="00D341ED">
        <w:rPr>
          <w:lang w:val="en-GB"/>
        </w:rPr>
        <w:t>2016-2020 was “highly relevant and strategically positioned”</w:t>
      </w:r>
      <w:r w:rsidR="00534F99" w:rsidRPr="00D341ED">
        <w:rPr>
          <w:lang w:val="en-GB"/>
        </w:rPr>
        <w:t xml:space="preserve"> and called UNDP a “trustworthy and respected strategic partner for both the Government and the international community”</w:t>
      </w:r>
      <w:r w:rsidR="00862F48" w:rsidRPr="00D341ED">
        <w:rPr>
          <w:lang w:val="en-GB"/>
        </w:rPr>
        <w:t>.</w:t>
      </w:r>
      <w:r w:rsidRPr="00D341ED">
        <w:rPr>
          <w:rStyle w:val="FootnoteReference"/>
          <w:lang w:val="en-GB"/>
        </w:rPr>
        <w:footnoteReference w:id="6"/>
      </w:r>
      <w:r w:rsidR="00F47031" w:rsidRPr="00D341ED">
        <w:rPr>
          <w:lang w:val="en-GB"/>
        </w:rPr>
        <w:t xml:space="preserve"> </w:t>
      </w:r>
    </w:p>
    <w:p w14:paraId="62AC3D0E" w14:textId="442CE1D7" w:rsidR="00000CDC" w:rsidRPr="00D341ED" w:rsidRDefault="00260378" w:rsidP="004C0138">
      <w:pPr>
        <w:pStyle w:val="ListParagraph"/>
        <w:numPr>
          <w:ilvl w:val="0"/>
          <w:numId w:val="14"/>
        </w:numPr>
        <w:tabs>
          <w:tab w:val="left" w:pos="1260"/>
          <w:tab w:val="left" w:pos="1620"/>
        </w:tabs>
        <w:ind w:left="1267" w:right="1210" w:firstLine="0"/>
        <w:contextualSpacing/>
        <w:jc w:val="both"/>
        <w:rPr>
          <w:lang w:val="en-GB"/>
        </w:rPr>
      </w:pPr>
      <w:r w:rsidRPr="00D341ED">
        <w:rPr>
          <w:lang w:val="en-GB"/>
        </w:rPr>
        <w:t xml:space="preserve">Looking ahead, UNDP </w:t>
      </w:r>
      <w:r w:rsidR="00B640B7" w:rsidRPr="00D341ED">
        <w:rPr>
          <w:lang w:val="en-GB"/>
        </w:rPr>
        <w:t>aim</w:t>
      </w:r>
      <w:r w:rsidR="00862F48" w:rsidRPr="00D341ED">
        <w:rPr>
          <w:lang w:val="en-GB"/>
        </w:rPr>
        <w:t>s</w:t>
      </w:r>
      <w:r w:rsidR="00B640B7" w:rsidRPr="00D341ED">
        <w:rPr>
          <w:lang w:val="en-GB"/>
        </w:rPr>
        <w:t xml:space="preserve"> to </w:t>
      </w:r>
      <w:r w:rsidR="00452219" w:rsidRPr="00D341ED">
        <w:rPr>
          <w:lang w:val="en-GB"/>
        </w:rPr>
        <w:t xml:space="preserve">provide </w:t>
      </w:r>
      <w:r w:rsidR="0012275E" w:rsidRPr="00D341ED">
        <w:rPr>
          <w:lang w:val="en-GB"/>
        </w:rPr>
        <w:t xml:space="preserve">more integrated </w:t>
      </w:r>
      <w:r w:rsidR="00452219" w:rsidRPr="00D341ED">
        <w:rPr>
          <w:lang w:val="en-GB"/>
        </w:rPr>
        <w:t>solutions</w:t>
      </w:r>
      <w:r w:rsidR="0012275E" w:rsidRPr="00D341ED">
        <w:rPr>
          <w:lang w:val="en-GB"/>
        </w:rPr>
        <w:t xml:space="preserve">, </w:t>
      </w:r>
      <w:r w:rsidR="00452219" w:rsidRPr="00D341ED">
        <w:rPr>
          <w:lang w:val="en-GB"/>
        </w:rPr>
        <w:t xml:space="preserve">bridging </w:t>
      </w:r>
      <w:r w:rsidR="0012275E" w:rsidRPr="00D341ED">
        <w:rPr>
          <w:lang w:val="en-GB"/>
        </w:rPr>
        <w:t xml:space="preserve">different sectors and applying multiple areas of expertise to address </w:t>
      </w:r>
      <w:r w:rsidR="003C0430" w:rsidRPr="00D341ED">
        <w:rPr>
          <w:lang w:val="en-GB"/>
        </w:rPr>
        <w:t xml:space="preserve">simultaneously </w:t>
      </w:r>
      <w:r w:rsidR="003451A6" w:rsidRPr="00D341ED">
        <w:rPr>
          <w:lang w:val="en-GB"/>
        </w:rPr>
        <w:t xml:space="preserve">the </w:t>
      </w:r>
      <w:r w:rsidR="0012275E" w:rsidRPr="00D341ED">
        <w:rPr>
          <w:lang w:val="en-GB"/>
        </w:rPr>
        <w:t>diverse root causes</w:t>
      </w:r>
      <w:r w:rsidR="003451A6" w:rsidRPr="00D341ED">
        <w:rPr>
          <w:lang w:val="en-GB"/>
        </w:rPr>
        <w:t xml:space="preserve"> of poverty and inequality</w:t>
      </w:r>
      <w:r w:rsidR="0012275E" w:rsidRPr="00D341ED">
        <w:rPr>
          <w:lang w:val="en-GB"/>
        </w:rPr>
        <w:t xml:space="preserve">. </w:t>
      </w:r>
      <w:r w:rsidR="003451A6" w:rsidRPr="00D341ED">
        <w:rPr>
          <w:lang w:val="en-GB"/>
        </w:rPr>
        <w:t>As underlined in the ICPE, t</w:t>
      </w:r>
      <w:r w:rsidR="0012275E" w:rsidRPr="00D341ED">
        <w:rPr>
          <w:lang w:val="en-GB"/>
        </w:rPr>
        <w:t xml:space="preserve">his integrated approach </w:t>
      </w:r>
      <w:r w:rsidR="003A5933" w:rsidRPr="00D341ED">
        <w:rPr>
          <w:lang w:val="en-GB"/>
        </w:rPr>
        <w:t>presents</w:t>
      </w:r>
      <w:r w:rsidR="0001067C" w:rsidRPr="00D341ED">
        <w:rPr>
          <w:lang w:val="en-GB"/>
        </w:rPr>
        <w:t xml:space="preserve"> </w:t>
      </w:r>
      <w:r w:rsidR="0012275E" w:rsidRPr="00D341ED">
        <w:rPr>
          <w:lang w:val="en-GB"/>
        </w:rPr>
        <w:t>particular</w:t>
      </w:r>
      <w:r w:rsidR="0001067C" w:rsidRPr="00D341ED">
        <w:rPr>
          <w:lang w:val="en-GB"/>
        </w:rPr>
        <w:t xml:space="preserve"> promise</w:t>
      </w:r>
      <w:r w:rsidR="0012275E" w:rsidRPr="00D341ED">
        <w:rPr>
          <w:lang w:val="en-GB"/>
        </w:rPr>
        <w:t xml:space="preserve"> at the municipal level, where UNDP efforts in local governance, rural development</w:t>
      </w:r>
      <w:r w:rsidR="002F2207" w:rsidRPr="00D341ED">
        <w:rPr>
          <w:lang w:val="en-GB"/>
        </w:rPr>
        <w:t xml:space="preserve"> </w:t>
      </w:r>
      <w:r w:rsidR="0012275E" w:rsidRPr="00D341ED">
        <w:rPr>
          <w:lang w:val="en-GB"/>
        </w:rPr>
        <w:t>and disaster risk reduction can combine</w:t>
      </w:r>
      <w:r w:rsidR="00384F28" w:rsidRPr="00D341ED">
        <w:rPr>
          <w:lang w:val="en-GB"/>
        </w:rPr>
        <w:t xml:space="preserve"> to generate new synergies</w:t>
      </w:r>
      <w:r w:rsidR="0012275E" w:rsidRPr="00D341ED">
        <w:rPr>
          <w:lang w:val="en-GB"/>
        </w:rPr>
        <w:t xml:space="preserve">. </w:t>
      </w:r>
    </w:p>
    <w:p w14:paraId="6C451196" w14:textId="77777777" w:rsidR="00C45931" w:rsidRPr="00D341ED" w:rsidRDefault="00C45931" w:rsidP="004C0138">
      <w:pPr>
        <w:pStyle w:val="ListParagraph"/>
        <w:tabs>
          <w:tab w:val="left" w:pos="1260"/>
          <w:tab w:val="left" w:pos="1620"/>
        </w:tabs>
        <w:ind w:left="1267" w:right="1210"/>
        <w:contextualSpacing/>
        <w:jc w:val="both"/>
        <w:rPr>
          <w:sz w:val="12"/>
          <w:szCs w:val="12"/>
          <w:lang w:val="en-GB"/>
        </w:rPr>
      </w:pPr>
    </w:p>
    <w:p w14:paraId="6920EB3C" w14:textId="3173227A" w:rsidR="0012275E" w:rsidRPr="00D341ED" w:rsidRDefault="003C0430" w:rsidP="004C0138">
      <w:pPr>
        <w:pStyle w:val="ListParagraph"/>
        <w:numPr>
          <w:ilvl w:val="0"/>
          <w:numId w:val="14"/>
        </w:numPr>
        <w:tabs>
          <w:tab w:val="left" w:pos="1260"/>
          <w:tab w:val="left" w:pos="1620"/>
        </w:tabs>
        <w:ind w:left="1267" w:right="1210" w:firstLine="0"/>
        <w:contextualSpacing/>
        <w:jc w:val="both"/>
        <w:rPr>
          <w:lang w:val="en-GB"/>
        </w:rPr>
      </w:pPr>
      <w:r w:rsidRPr="00D341ED">
        <w:rPr>
          <w:lang w:val="en-GB"/>
        </w:rPr>
        <w:t>UNDP will continue to add value by combining top-down policy advice from global expert networks with bottom-up solutions pioneered through hands-on implementation</w:t>
      </w:r>
      <w:r w:rsidR="003451A6" w:rsidRPr="00D341ED">
        <w:rPr>
          <w:lang w:val="en-GB"/>
        </w:rPr>
        <w:t xml:space="preserve">. </w:t>
      </w:r>
      <w:r w:rsidR="00335B9B" w:rsidRPr="00D341ED">
        <w:rPr>
          <w:lang w:val="en-GB"/>
        </w:rPr>
        <w:t xml:space="preserve">This </w:t>
      </w:r>
      <w:r w:rsidRPr="00D341ED">
        <w:rPr>
          <w:lang w:val="en-GB"/>
        </w:rPr>
        <w:t xml:space="preserve">mutually reinforcing process </w:t>
      </w:r>
      <w:r w:rsidR="00335B9B" w:rsidRPr="00D341ED">
        <w:rPr>
          <w:lang w:val="en-GB"/>
        </w:rPr>
        <w:t xml:space="preserve">of </w:t>
      </w:r>
      <w:r w:rsidR="002F2207" w:rsidRPr="00D341ED">
        <w:rPr>
          <w:lang w:val="en-GB"/>
        </w:rPr>
        <w:t xml:space="preserve">blending policy and practice </w:t>
      </w:r>
      <w:r w:rsidR="00335B9B" w:rsidRPr="00D341ED">
        <w:rPr>
          <w:lang w:val="en-GB"/>
        </w:rPr>
        <w:t xml:space="preserve">was praised by the ICPE </w:t>
      </w:r>
      <w:r w:rsidR="003451A6" w:rsidRPr="00D341ED">
        <w:rPr>
          <w:lang w:val="en-GB"/>
        </w:rPr>
        <w:t xml:space="preserve">as particularly effective when UNDP programming </w:t>
      </w:r>
      <w:r w:rsidR="00862F48" w:rsidRPr="00D341ED">
        <w:rPr>
          <w:lang w:val="en-GB"/>
        </w:rPr>
        <w:t xml:space="preserve">is </w:t>
      </w:r>
      <w:r w:rsidR="003451A6" w:rsidRPr="00D341ED">
        <w:rPr>
          <w:lang w:val="en-GB"/>
        </w:rPr>
        <w:t xml:space="preserve">sustained </w:t>
      </w:r>
      <w:r w:rsidR="002F2207" w:rsidRPr="00D341ED">
        <w:rPr>
          <w:lang w:val="en-GB"/>
        </w:rPr>
        <w:t xml:space="preserve">over multi-year periods </w:t>
      </w:r>
      <w:r w:rsidR="00862F48" w:rsidRPr="00D341ED">
        <w:rPr>
          <w:lang w:val="en-GB"/>
        </w:rPr>
        <w:t>(</w:t>
      </w:r>
      <w:r w:rsidR="002F2207" w:rsidRPr="00D341ED">
        <w:rPr>
          <w:lang w:val="en-GB"/>
        </w:rPr>
        <w:t xml:space="preserve">judged as the minimum necessary to </w:t>
      </w:r>
      <w:r w:rsidR="003451A6" w:rsidRPr="00D341ED">
        <w:rPr>
          <w:lang w:val="en-GB"/>
        </w:rPr>
        <w:t xml:space="preserve">deliver </w:t>
      </w:r>
      <w:r w:rsidR="002F2207" w:rsidRPr="00D341ED">
        <w:rPr>
          <w:lang w:val="en-GB"/>
        </w:rPr>
        <w:t>sustainable</w:t>
      </w:r>
      <w:r w:rsidR="003451A6" w:rsidRPr="00D341ED">
        <w:rPr>
          <w:lang w:val="en-GB"/>
        </w:rPr>
        <w:t xml:space="preserve"> </w:t>
      </w:r>
      <w:r w:rsidR="002F2207" w:rsidRPr="00D341ED">
        <w:rPr>
          <w:lang w:val="en-GB"/>
        </w:rPr>
        <w:t>change</w:t>
      </w:r>
      <w:r w:rsidR="00862F48" w:rsidRPr="00D341ED">
        <w:rPr>
          <w:lang w:val="en-GB"/>
        </w:rPr>
        <w:t>)</w:t>
      </w:r>
      <w:r w:rsidRPr="00D341ED">
        <w:rPr>
          <w:lang w:val="en-GB"/>
        </w:rPr>
        <w:t>.</w:t>
      </w:r>
    </w:p>
    <w:p w14:paraId="40F11C58" w14:textId="77777777" w:rsidR="00C45931" w:rsidRPr="00D341ED" w:rsidRDefault="00C45931" w:rsidP="004C0138">
      <w:pPr>
        <w:pStyle w:val="ListParagraph"/>
        <w:rPr>
          <w:sz w:val="12"/>
          <w:szCs w:val="12"/>
          <w:lang w:val="en-GB"/>
        </w:rPr>
      </w:pPr>
    </w:p>
    <w:p w14:paraId="616EF3BB" w14:textId="2B0D465A" w:rsidR="0012275E" w:rsidRPr="00D341ED" w:rsidRDefault="0012275E" w:rsidP="004C0138">
      <w:pPr>
        <w:pStyle w:val="ListParagraph"/>
        <w:numPr>
          <w:ilvl w:val="0"/>
          <w:numId w:val="14"/>
        </w:numPr>
        <w:tabs>
          <w:tab w:val="left" w:pos="1260"/>
          <w:tab w:val="left" w:pos="1620"/>
          <w:tab w:val="left" w:pos="7470"/>
        </w:tabs>
        <w:ind w:left="1260" w:right="1210" w:firstLine="0"/>
        <w:contextualSpacing/>
        <w:jc w:val="both"/>
        <w:rPr>
          <w:lang w:val="en-GB"/>
        </w:rPr>
      </w:pPr>
      <w:r w:rsidRPr="00D341ED">
        <w:rPr>
          <w:lang w:val="en-GB"/>
        </w:rPr>
        <w:t>This multisectoral approach also underpin</w:t>
      </w:r>
      <w:r w:rsidR="00862F48" w:rsidRPr="00D341ED">
        <w:rPr>
          <w:lang w:val="en-GB"/>
        </w:rPr>
        <w:t>s</w:t>
      </w:r>
      <w:r w:rsidRPr="00D341ED">
        <w:rPr>
          <w:lang w:val="en-GB"/>
        </w:rPr>
        <w:t xml:space="preserve"> </w:t>
      </w:r>
      <w:r w:rsidR="00862F48" w:rsidRPr="00D341ED">
        <w:rPr>
          <w:lang w:val="en-GB"/>
        </w:rPr>
        <w:t xml:space="preserve">the </w:t>
      </w:r>
      <w:r w:rsidRPr="00D341ED">
        <w:rPr>
          <w:lang w:val="en-GB"/>
        </w:rPr>
        <w:t xml:space="preserve">UNDP role as </w:t>
      </w:r>
      <w:r w:rsidR="009524D2" w:rsidRPr="00D341ED">
        <w:rPr>
          <w:lang w:val="en-GB"/>
        </w:rPr>
        <w:t>‘</w:t>
      </w:r>
      <w:r w:rsidRPr="00D341ED">
        <w:rPr>
          <w:lang w:val="en-GB"/>
        </w:rPr>
        <w:t>integrator</w:t>
      </w:r>
      <w:r w:rsidR="009524D2" w:rsidRPr="00D341ED">
        <w:rPr>
          <w:lang w:val="en-GB"/>
        </w:rPr>
        <w:t>’</w:t>
      </w:r>
      <w:r w:rsidRPr="00D341ED">
        <w:rPr>
          <w:lang w:val="en-GB"/>
        </w:rPr>
        <w:t xml:space="preserve"> for Agenda 2030 within the U</w:t>
      </w:r>
      <w:r w:rsidR="00862F48" w:rsidRPr="00D341ED">
        <w:rPr>
          <w:lang w:val="en-GB"/>
        </w:rPr>
        <w:t xml:space="preserve">nited </w:t>
      </w:r>
      <w:r w:rsidRPr="00D341ED">
        <w:rPr>
          <w:lang w:val="en-GB"/>
        </w:rPr>
        <w:t>N</w:t>
      </w:r>
      <w:r w:rsidR="00862F48" w:rsidRPr="00D341ED">
        <w:rPr>
          <w:lang w:val="en-GB"/>
        </w:rPr>
        <w:t>ations</w:t>
      </w:r>
      <w:r w:rsidRPr="00D341ED">
        <w:rPr>
          <w:lang w:val="en-GB"/>
        </w:rPr>
        <w:t xml:space="preserve"> system. </w:t>
      </w:r>
      <w:r w:rsidR="00013601" w:rsidRPr="00D341ED">
        <w:rPr>
          <w:lang w:val="en-GB"/>
        </w:rPr>
        <w:t>UNDP</w:t>
      </w:r>
      <w:r w:rsidR="00561604" w:rsidRPr="00D341ED">
        <w:rPr>
          <w:lang w:val="en-GB"/>
        </w:rPr>
        <w:t xml:space="preserve"> </w:t>
      </w:r>
      <w:r w:rsidR="00013601" w:rsidRPr="00D341ED">
        <w:rPr>
          <w:lang w:val="en-GB"/>
        </w:rPr>
        <w:t xml:space="preserve">will </w:t>
      </w:r>
      <w:r w:rsidR="003C0430" w:rsidRPr="00D341ED">
        <w:rPr>
          <w:lang w:val="en-GB"/>
        </w:rPr>
        <w:t xml:space="preserve">work to create </w:t>
      </w:r>
      <w:r w:rsidR="00013601" w:rsidRPr="00D341ED">
        <w:rPr>
          <w:lang w:val="en-GB"/>
        </w:rPr>
        <w:t>a platform</w:t>
      </w:r>
      <w:r w:rsidR="00561604" w:rsidRPr="00D341ED">
        <w:rPr>
          <w:lang w:val="en-GB"/>
        </w:rPr>
        <w:t xml:space="preserve"> </w:t>
      </w:r>
      <w:r w:rsidR="00013601" w:rsidRPr="00D341ED">
        <w:rPr>
          <w:lang w:val="en-GB"/>
        </w:rPr>
        <w:t xml:space="preserve">for other </w:t>
      </w:r>
      <w:r w:rsidR="00862F48" w:rsidRPr="00D341ED">
        <w:rPr>
          <w:lang w:val="en-GB"/>
        </w:rPr>
        <w:t xml:space="preserve">organizations </w:t>
      </w:r>
      <w:r w:rsidR="00013601" w:rsidRPr="00D341ED">
        <w:rPr>
          <w:lang w:val="en-GB"/>
        </w:rPr>
        <w:t>to apply</w:t>
      </w:r>
      <w:r w:rsidRPr="00D341ED">
        <w:rPr>
          <w:bCs/>
          <w:lang w:val="en-GB"/>
        </w:rPr>
        <w:t xml:space="preserve"> specialized </w:t>
      </w:r>
      <w:r w:rsidRPr="00D341ED">
        <w:rPr>
          <w:lang w:val="en-GB"/>
        </w:rPr>
        <w:t xml:space="preserve">policy advice, normative guidance and </w:t>
      </w:r>
      <w:r w:rsidR="00C76F22" w:rsidRPr="00D341ED">
        <w:rPr>
          <w:lang w:val="en-GB"/>
        </w:rPr>
        <w:t xml:space="preserve">tested </w:t>
      </w:r>
      <w:r w:rsidRPr="00D341ED">
        <w:rPr>
          <w:lang w:val="en-GB"/>
        </w:rPr>
        <w:t xml:space="preserve">practices, with UNDP </w:t>
      </w:r>
      <w:r w:rsidR="00F10D02" w:rsidRPr="00D341ED">
        <w:rPr>
          <w:lang w:val="en-GB"/>
        </w:rPr>
        <w:t xml:space="preserve">anchoring </w:t>
      </w:r>
      <w:r w:rsidRPr="00D341ED">
        <w:rPr>
          <w:lang w:val="en-GB"/>
        </w:rPr>
        <w:t xml:space="preserve">a </w:t>
      </w:r>
      <w:r w:rsidR="00862F48" w:rsidRPr="00D341ED">
        <w:rPr>
          <w:lang w:val="en-GB"/>
        </w:rPr>
        <w:t>system</w:t>
      </w:r>
      <w:r w:rsidRPr="00D341ED">
        <w:rPr>
          <w:lang w:val="en-GB"/>
        </w:rPr>
        <w:t xml:space="preserve">-wide effort </w:t>
      </w:r>
      <w:r w:rsidR="00384F28" w:rsidRPr="00D341ED">
        <w:rPr>
          <w:lang w:val="en-GB"/>
        </w:rPr>
        <w:t xml:space="preserve">supporting national partners in </w:t>
      </w:r>
      <w:r w:rsidRPr="00D341ED">
        <w:rPr>
          <w:lang w:val="en-GB"/>
        </w:rPr>
        <w:t>promot</w:t>
      </w:r>
      <w:r w:rsidR="00384F28" w:rsidRPr="00D341ED">
        <w:rPr>
          <w:lang w:val="en-GB"/>
        </w:rPr>
        <w:t>ing</w:t>
      </w:r>
      <w:r w:rsidRPr="00D341ED">
        <w:rPr>
          <w:lang w:val="en-GB"/>
        </w:rPr>
        <w:t xml:space="preserve"> and measur</w:t>
      </w:r>
      <w:r w:rsidR="00384F28" w:rsidRPr="00D341ED">
        <w:rPr>
          <w:lang w:val="en-GB"/>
        </w:rPr>
        <w:t>ing</w:t>
      </w:r>
      <w:r w:rsidRPr="00D341ED">
        <w:rPr>
          <w:lang w:val="en-GB"/>
        </w:rPr>
        <w:t xml:space="preserve"> progress </w:t>
      </w:r>
      <w:r w:rsidR="00F10D02" w:rsidRPr="00D341ED">
        <w:rPr>
          <w:lang w:val="en-GB"/>
        </w:rPr>
        <w:t xml:space="preserve">towards the </w:t>
      </w:r>
      <w:r w:rsidR="005F07CC" w:rsidRPr="00D341ED">
        <w:rPr>
          <w:lang w:val="en-GB"/>
        </w:rPr>
        <w:t>SDGs</w:t>
      </w:r>
      <w:r w:rsidRPr="00D341ED">
        <w:rPr>
          <w:lang w:val="en-GB"/>
        </w:rPr>
        <w:t xml:space="preserve">. </w:t>
      </w:r>
      <w:r w:rsidR="00C76F22" w:rsidRPr="00D341ED">
        <w:rPr>
          <w:lang w:val="en-GB"/>
        </w:rPr>
        <w:t xml:space="preserve">UNDP already partners with other organizations in 20 per cent of its programming; </w:t>
      </w:r>
      <w:r w:rsidR="00335B9B" w:rsidRPr="00D341ED">
        <w:rPr>
          <w:lang w:val="en-GB"/>
        </w:rPr>
        <w:t xml:space="preserve">such </w:t>
      </w:r>
      <w:r w:rsidR="00C76F22" w:rsidRPr="00D341ED">
        <w:rPr>
          <w:lang w:val="en-GB"/>
        </w:rPr>
        <w:t>c</w:t>
      </w:r>
      <w:r w:rsidR="006A5DA9" w:rsidRPr="00D341ED">
        <w:rPr>
          <w:lang w:val="en-GB"/>
        </w:rPr>
        <w:t xml:space="preserve">ollaboration will </w:t>
      </w:r>
      <w:r w:rsidR="00335B9B" w:rsidRPr="00D341ED">
        <w:rPr>
          <w:lang w:val="en-GB"/>
        </w:rPr>
        <w:t>grow stronger</w:t>
      </w:r>
      <w:r w:rsidR="005F07CC" w:rsidRPr="00D341ED">
        <w:rPr>
          <w:lang w:val="en-GB"/>
        </w:rPr>
        <w:t>.</w:t>
      </w:r>
      <w:r w:rsidR="00862F48" w:rsidRPr="00D341ED">
        <w:rPr>
          <w:lang w:val="en-GB"/>
        </w:rPr>
        <w:t xml:space="preserve"> </w:t>
      </w:r>
      <w:r w:rsidR="00C76F22" w:rsidRPr="00D341ED">
        <w:rPr>
          <w:lang w:val="en-GB"/>
        </w:rPr>
        <w:t>J</w:t>
      </w:r>
      <w:r w:rsidR="005F07CC" w:rsidRPr="00D341ED">
        <w:rPr>
          <w:lang w:val="en-GB"/>
        </w:rPr>
        <w:t xml:space="preserve">oint </w:t>
      </w:r>
      <w:r w:rsidRPr="00D341ED">
        <w:rPr>
          <w:lang w:val="en-GB"/>
        </w:rPr>
        <w:t>issues-based advocacy</w:t>
      </w:r>
      <w:r w:rsidR="006A5DA9" w:rsidRPr="00D341ED">
        <w:rPr>
          <w:lang w:val="en-GB"/>
        </w:rPr>
        <w:t xml:space="preserve"> </w:t>
      </w:r>
      <w:r w:rsidR="005F07CC" w:rsidRPr="00D341ED">
        <w:rPr>
          <w:lang w:val="en-GB"/>
        </w:rPr>
        <w:t xml:space="preserve">efforts </w:t>
      </w:r>
      <w:r w:rsidR="006A5DA9" w:rsidRPr="00D341ED">
        <w:rPr>
          <w:lang w:val="en-GB"/>
        </w:rPr>
        <w:t xml:space="preserve">will complement the quest for </w:t>
      </w:r>
      <w:r w:rsidR="005F07CC" w:rsidRPr="00D341ED">
        <w:rPr>
          <w:lang w:val="en-GB"/>
        </w:rPr>
        <w:t xml:space="preserve">shared </w:t>
      </w:r>
      <w:r w:rsidR="006A5DA9" w:rsidRPr="00D341ED">
        <w:rPr>
          <w:lang w:val="en-GB"/>
        </w:rPr>
        <w:t>results under</w:t>
      </w:r>
      <w:r w:rsidRPr="00D341ED">
        <w:rPr>
          <w:lang w:val="en-GB"/>
        </w:rPr>
        <w:t xml:space="preserve"> </w:t>
      </w:r>
      <w:r w:rsidR="006A5DA9" w:rsidRPr="00D341ED">
        <w:rPr>
          <w:lang w:val="en-GB"/>
        </w:rPr>
        <w:t>the UNSDCF.</w:t>
      </w:r>
      <w:r w:rsidRPr="00D341ED">
        <w:rPr>
          <w:lang w:val="en-GB"/>
        </w:rPr>
        <w:t xml:space="preserve"> </w:t>
      </w:r>
    </w:p>
    <w:p w14:paraId="65BDE590" w14:textId="77777777" w:rsidR="00C45931" w:rsidRPr="00D341ED" w:rsidRDefault="00C45931" w:rsidP="004C0138">
      <w:pPr>
        <w:pStyle w:val="ListParagraph"/>
        <w:tabs>
          <w:tab w:val="left" w:pos="1260"/>
          <w:tab w:val="left" w:pos="1620"/>
          <w:tab w:val="left" w:pos="7470"/>
        </w:tabs>
        <w:ind w:left="1260" w:right="1210"/>
        <w:contextualSpacing/>
        <w:jc w:val="both"/>
        <w:rPr>
          <w:sz w:val="12"/>
          <w:szCs w:val="12"/>
          <w:lang w:val="en-GB"/>
        </w:rPr>
      </w:pPr>
    </w:p>
    <w:p w14:paraId="78893023" w14:textId="72F5DC37" w:rsidR="0012275E" w:rsidRPr="00D341ED" w:rsidRDefault="0012275E" w:rsidP="004C0138">
      <w:pPr>
        <w:pStyle w:val="ListParagraph"/>
        <w:numPr>
          <w:ilvl w:val="0"/>
          <w:numId w:val="14"/>
        </w:numPr>
        <w:tabs>
          <w:tab w:val="left" w:pos="1260"/>
          <w:tab w:val="left" w:pos="1620"/>
        </w:tabs>
        <w:ind w:left="1260" w:right="1210" w:firstLine="0"/>
        <w:contextualSpacing/>
        <w:jc w:val="both"/>
        <w:rPr>
          <w:lang w:val="en-GB"/>
        </w:rPr>
      </w:pPr>
      <w:r w:rsidRPr="00D341ED">
        <w:rPr>
          <w:lang w:val="en-GB"/>
        </w:rPr>
        <w:t>At the same time, UNDP will fulfil its role as the U</w:t>
      </w:r>
      <w:r w:rsidR="00862F48" w:rsidRPr="00D341ED">
        <w:rPr>
          <w:lang w:val="en-GB"/>
        </w:rPr>
        <w:t xml:space="preserve">nited </w:t>
      </w:r>
      <w:r w:rsidRPr="00D341ED">
        <w:rPr>
          <w:lang w:val="en-GB"/>
        </w:rPr>
        <w:t>N</w:t>
      </w:r>
      <w:r w:rsidR="00862F48" w:rsidRPr="00D341ED">
        <w:rPr>
          <w:lang w:val="en-GB"/>
        </w:rPr>
        <w:t>ations</w:t>
      </w:r>
      <w:r w:rsidRPr="00D341ED">
        <w:rPr>
          <w:lang w:val="en-GB"/>
        </w:rPr>
        <w:t xml:space="preserve"> technical lead agency for COVID-19 socioeconomic recovery</w:t>
      </w:r>
      <w:r w:rsidR="00000CDC" w:rsidRPr="00D341ED">
        <w:rPr>
          <w:lang w:val="en-GB"/>
        </w:rPr>
        <w:t xml:space="preserve"> by helping to interweave different strands of analysis and programming into a </w:t>
      </w:r>
      <w:r w:rsidR="00C76F22" w:rsidRPr="00D341ED">
        <w:rPr>
          <w:lang w:val="en-GB"/>
        </w:rPr>
        <w:t xml:space="preserve">single </w:t>
      </w:r>
      <w:r w:rsidR="00000CDC" w:rsidRPr="00D341ED">
        <w:rPr>
          <w:lang w:val="en-GB"/>
        </w:rPr>
        <w:t xml:space="preserve">cohesive </w:t>
      </w:r>
      <w:r w:rsidR="00B640B7" w:rsidRPr="00D341ED">
        <w:rPr>
          <w:lang w:val="en-GB"/>
        </w:rPr>
        <w:t>response</w:t>
      </w:r>
      <w:r w:rsidRPr="00D341ED">
        <w:rPr>
          <w:lang w:val="en-GB"/>
        </w:rPr>
        <w:t xml:space="preserve">. It will also </w:t>
      </w:r>
      <w:r w:rsidR="00000CDC" w:rsidRPr="00D341ED">
        <w:rPr>
          <w:lang w:val="en-GB"/>
        </w:rPr>
        <w:t xml:space="preserve">provide </w:t>
      </w:r>
      <w:r w:rsidRPr="00D341ED">
        <w:rPr>
          <w:lang w:val="en-GB"/>
        </w:rPr>
        <w:t>expertise to contribute to the ongoing debate about possible new pathways to prosperity for Georgia.</w:t>
      </w:r>
    </w:p>
    <w:p w14:paraId="42089B70" w14:textId="77777777" w:rsidR="0012275E" w:rsidRPr="00D341ED" w:rsidRDefault="0012275E" w:rsidP="00C45931">
      <w:pPr>
        <w:pStyle w:val="ListParagraph"/>
        <w:tabs>
          <w:tab w:val="left" w:pos="1260"/>
          <w:tab w:val="left" w:pos="1620"/>
        </w:tabs>
        <w:spacing w:line="240" w:lineRule="exact"/>
        <w:ind w:left="1260"/>
        <w:rPr>
          <w:sz w:val="12"/>
          <w:szCs w:val="12"/>
          <w:lang w:val="en-GB"/>
        </w:rPr>
      </w:pPr>
    </w:p>
    <w:p w14:paraId="5F3FE0BE" w14:textId="6C1E2199" w:rsidR="0012275E" w:rsidRPr="00D341ED" w:rsidRDefault="0012275E" w:rsidP="00C45931">
      <w:pPr>
        <w:pStyle w:val="ListParagraph"/>
        <w:numPr>
          <w:ilvl w:val="0"/>
          <w:numId w:val="14"/>
        </w:numPr>
        <w:tabs>
          <w:tab w:val="left" w:pos="1260"/>
          <w:tab w:val="left" w:pos="1620"/>
        </w:tabs>
        <w:spacing w:after="120" w:line="240" w:lineRule="exact"/>
        <w:ind w:left="1260" w:right="1210" w:firstLine="0"/>
        <w:contextualSpacing/>
        <w:jc w:val="both"/>
        <w:rPr>
          <w:lang w:val="en-GB"/>
        </w:rPr>
      </w:pPr>
      <w:r w:rsidRPr="00D341ED">
        <w:rPr>
          <w:lang w:val="en-GB"/>
        </w:rPr>
        <w:t xml:space="preserve">UNDP has already established a reputation for innovation in Georgia, working with partners </w:t>
      </w:r>
      <w:r w:rsidR="00862F48" w:rsidRPr="00D341ED">
        <w:rPr>
          <w:lang w:val="en-GB"/>
        </w:rPr>
        <w:t xml:space="preserve">such as </w:t>
      </w:r>
      <w:r w:rsidRPr="00D341ED">
        <w:rPr>
          <w:lang w:val="en-GB"/>
        </w:rPr>
        <w:t>the award-winning Public Service Hall to introduce e-services</w:t>
      </w:r>
      <w:r w:rsidR="004038F0" w:rsidRPr="00D341ED">
        <w:rPr>
          <w:lang w:val="en-GB"/>
        </w:rPr>
        <w:t xml:space="preserve"> and the city of Rustavi to engage citizens directly in addressing post-industrial urban legacies</w:t>
      </w:r>
      <w:r w:rsidRPr="00D341ED">
        <w:rPr>
          <w:lang w:val="en-GB"/>
        </w:rPr>
        <w:t xml:space="preserve">. Building </w:t>
      </w:r>
      <w:r w:rsidRPr="00D341ED">
        <w:rPr>
          <w:lang w:val="en-GB"/>
        </w:rPr>
        <w:lastRenderedPageBreak/>
        <w:t xml:space="preserve">on numerous e-initiatives launched in response to </w:t>
      </w:r>
      <w:r w:rsidR="004038F0" w:rsidRPr="00D341ED">
        <w:rPr>
          <w:lang w:val="en-GB"/>
        </w:rPr>
        <w:t>COVID-19</w:t>
      </w:r>
      <w:r w:rsidRPr="00D341ED">
        <w:rPr>
          <w:lang w:val="en-GB"/>
        </w:rPr>
        <w:t xml:space="preserve">, UNDP will </w:t>
      </w:r>
      <w:r w:rsidR="00000CDC" w:rsidRPr="00D341ED">
        <w:rPr>
          <w:lang w:val="en-GB"/>
        </w:rPr>
        <w:t xml:space="preserve">continue to </w:t>
      </w:r>
      <w:r w:rsidRPr="00D341ED">
        <w:rPr>
          <w:lang w:val="en-GB"/>
        </w:rPr>
        <w:t xml:space="preserve">apply </w:t>
      </w:r>
      <w:r w:rsidR="000135B2" w:rsidRPr="00D341ED">
        <w:rPr>
          <w:lang w:val="en-GB"/>
        </w:rPr>
        <w:t>‘</w:t>
      </w:r>
      <w:r w:rsidRPr="00D341ED">
        <w:rPr>
          <w:lang w:val="en-GB"/>
        </w:rPr>
        <w:t>digital disruption</w:t>
      </w:r>
      <w:r w:rsidR="000135B2" w:rsidRPr="00D341ED">
        <w:rPr>
          <w:lang w:val="en-GB"/>
        </w:rPr>
        <w:t>’</w:t>
      </w:r>
      <w:r w:rsidRPr="00D341ED">
        <w:rPr>
          <w:lang w:val="en-GB"/>
        </w:rPr>
        <w:t xml:space="preserve"> to improve governance, bridge distances, increase competitiveness and </w:t>
      </w:r>
      <w:r w:rsidR="00000CDC" w:rsidRPr="00D341ED">
        <w:rPr>
          <w:lang w:val="en-GB"/>
        </w:rPr>
        <w:t xml:space="preserve">advance </w:t>
      </w:r>
      <w:r w:rsidRPr="00D341ED">
        <w:rPr>
          <w:lang w:val="en-GB"/>
        </w:rPr>
        <w:t xml:space="preserve">social </w:t>
      </w:r>
      <w:r w:rsidR="001B5D8E" w:rsidRPr="00D341ED">
        <w:rPr>
          <w:lang w:val="en-GB"/>
        </w:rPr>
        <w:t>cohesion</w:t>
      </w:r>
      <w:r w:rsidRPr="00D341ED">
        <w:rPr>
          <w:lang w:val="en-GB"/>
        </w:rPr>
        <w:t xml:space="preserve">. The </w:t>
      </w:r>
      <w:r w:rsidR="00862F48" w:rsidRPr="00D341ED">
        <w:rPr>
          <w:lang w:val="en-GB"/>
        </w:rPr>
        <w:t>a</w:t>
      </w:r>
      <w:r w:rsidRPr="00D341ED">
        <w:rPr>
          <w:lang w:val="en-GB"/>
        </w:rPr>
        <w:t xml:space="preserve">ccelerator </w:t>
      </w:r>
      <w:r w:rsidR="00862F48" w:rsidRPr="00D341ED">
        <w:rPr>
          <w:lang w:val="en-GB"/>
        </w:rPr>
        <w:t>l</w:t>
      </w:r>
      <w:r w:rsidRPr="00D341ED">
        <w:rPr>
          <w:lang w:val="en-GB"/>
        </w:rPr>
        <w:t xml:space="preserve">ab established in 2020 will </w:t>
      </w:r>
      <w:r w:rsidR="006B4031" w:rsidRPr="00D341ED">
        <w:rPr>
          <w:lang w:val="en-GB"/>
        </w:rPr>
        <w:t xml:space="preserve">help </w:t>
      </w:r>
      <w:r w:rsidR="00482544" w:rsidRPr="00D341ED">
        <w:rPr>
          <w:lang w:val="en-GB"/>
        </w:rPr>
        <w:t xml:space="preserve">ensure </w:t>
      </w:r>
      <w:r w:rsidRPr="00D341ED">
        <w:rPr>
          <w:lang w:val="en-GB"/>
        </w:rPr>
        <w:t xml:space="preserve">that </w:t>
      </w:r>
      <w:r w:rsidR="00330E9B" w:rsidRPr="00D341ED">
        <w:rPr>
          <w:lang w:val="en-GB"/>
        </w:rPr>
        <w:t xml:space="preserve">UNDP </w:t>
      </w:r>
      <w:r w:rsidRPr="00D341ED">
        <w:rPr>
          <w:lang w:val="en-GB"/>
        </w:rPr>
        <w:t xml:space="preserve">initiatives </w:t>
      </w:r>
      <w:r w:rsidR="00000CDC" w:rsidRPr="00D341ED">
        <w:rPr>
          <w:lang w:val="en-GB"/>
        </w:rPr>
        <w:t xml:space="preserve">leverage </w:t>
      </w:r>
      <w:r w:rsidR="004038F0" w:rsidRPr="00D341ED">
        <w:rPr>
          <w:lang w:val="en-GB"/>
        </w:rPr>
        <w:t>technolog</w:t>
      </w:r>
      <w:r w:rsidR="00330E9B" w:rsidRPr="00D341ED">
        <w:rPr>
          <w:lang w:val="en-GB"/>
        </w:rPr>
        <w:t>y</w:t>
      </w:r>
      <w:r w:rsidR="004E7846" w:rsidRPr="00D341ED">
        <w:rPr>
          <w:lang w:val="en-GB"/>
        </w:rPr>
        <w:t xml:space="preserve"> </w:t>
      </w:r>
      <w:r w:rsidR="00183C35" w:rsidRPr="00D341ED">
        <w:rPr>
          <w:lang w:val="en-GB"/>
        </w:rPr>
        <w:t xml:space="preserve">and apply </w:t>
      </w:r>
      <w:r w:rsidRPr="00D341ED">
        <w:rPr>
          <w:lang w:val="en-GB"/>
        </w:rPr>
        <w:t>human-centred design and behavio</w:t>
      </w:r>
      <w:r w:rsidR="00862F48" w:rsidRPr="00D341ED">
        <w:rPr>
          <w:lang w:val="en-GB"/>
        </w:rPr>
        <w:t>u</w:t>
      </w:r>
      <w:r w:rsidRPr="00D341ED">
        <w:rPr>
          <w:lang w:val="en-GB"/>
        </w:rPr>
        <w:t xml:space="preserve">ral </w:t>
      </w:r>
      <w:r w:rsidR="004038F0" w:rsidRPr="00D341ED">
        <w:rPr>
          <w:lang w:val="en-GB"/>
        </w:rPr>
        <w:t>science</w:t>
      </w:r>
      <w:r w:rsidRPr="00D341ED">
        <w:rPr>
          <w:lang w:val="en-GB"/>
        </w:rPr>
        <w:t xml:space="preserve">. </w:t>
      </w:r>
    </w:p>
    <w:p w14:paraId="499C4D92" w14:textId="77777777" w:rsidR="0012275E" w:rsidRPr="00D341ED" w:rsidRDefault="0012275E" w:rsidP="005A353B">
      <w:pPr>
        <w:pStyle w:val="ListParagraph"/>
        <w:tabs>
          <w:tab w:val="left" w:pos="1260"/>
          <w:tab w:val="left" w:pos="1620"/>
        </w:tabs>
        <w:spacing w:line="240" w:lineRule="exact"/>
        <w:ind w:left="1260"/>
        <w:rPr>
          <w:lang w:val="en-GB"/>
        </w:rPr>
      </w:pPr>
    </w:p>
    <w:p w14:paraId="56DB56ED" w14:textId="06D13E31" w:rsidR="004820B0" w:rsidRPr="00D341ED" w:rsidRDefault="004820B0" w:rsidP="00C45931">
      <w:pPr>
        <w:pStyle w:val="Heading2"/>
        <w:tabs>
          <w:tab w:val="left" w:pos="1260"/>
          <w:tab w:val="left" w:pos="1620"/>
        </w:tabs>
        <w:spacing w:after="200" w:line="240" w:lineRule="exact"/>
        <w:ind w:left="1260" w:right="1267" w:hanging="360"/>
        <w:jc w:val="both"/>
        <w:rPr>
          <w:rFonts w:ascii="Times New Roman" w:hAnsi="Times New Roman"/>
          <w:color w:val="000000" w:themeColor="text1"/>
          <w:spacing w:val="-3"/>
          <w:sz w:val="20"/>
          <w:lang w:val="en-GB"/>
        </w:rPr>
      </w:pPr>
      <w:r w:rsidRPr="00D341ED">
        <w:rPr>
          <w:rFonts w:ascii="Times New Roman" w:hAnsi="Times New Roman"/>
          <w:color w:val="000000" w:themeColor="text1"/>
          <w:sz w:val="24"/>
          <w:szCs w:val="24"/>
          <w:lang w:val="en-GB"/>
        </w:rPr>
        <w:t xml:space="preserve">II. </w:t>
      </w:r>
      <w:r w:rsidR="00C45931" w:rsidRPr="00D341ED">
        <w:rPr>
          <w:rFonts w:ascii="Times New Roman" w:hAnsi="Times New Roman"/>
          <w:color w:val="000000" w:themeColor="text1"/>
          <w:sz w:val="24"/>
          <w:szCs w:val="24"/>
          <w:lang w:val="en-GB"/>
        </w:rPr>
        <w:tab/>
      </w:r>
      <w:r w:rsidR="00677F8A" w:rsidRPr="00D341ED">
        <w:rPr>
          <w:rFonts w:ascii="Times New Roman" w:hAnsi="Times New Roman"/>
          <w:color w:val="000000" w:themeColor="text1"/>
          <w:sz w:val="24"/>
          <w:szCs w:val="24"/>
          <w:lang w:val="en-GB"/>
        </w:rPr>
        <w:t xml:space="preserve">Programme </w:t>
      </w:r>
      <w:r w:rsidR="00C45931" w:rsidRPr="00D341ED">
        <w:rPr>
          <w:rFonts w:ascii="Times New Roman" w:hAnsi="Times New Roman"/>
          <w:color w:val="000000" w:themeColor="text1"/>
          <w:sz w:val="24"/>
          <w:szCs w:val="24"/>
          <w:lang w:val="en-GB"/>
        </w:rPr>
        <w:t>p</w:t>
      </w:r>
      <w:r w:rsidR="00677F8A" w:rsidRPr="00D341ED">
        <w:rPr>
          <w:rFonts w:ascii="Times New Roman" w:hAnsi="Times New Roman"/>
          <w:color w:val="000000" w:themeColor="text1"/>
          <w:sz w:val="24"/>
          <w:szCs w:val="24"/>
          <w:lang w:val="en-GB"/>
        </w:rPr>
        <w:t>riorities</w:t>
      </w:r>
      <w:r w:rsidR="002B6341" w:rsidRPr="00D341ED">
        <w:rPr>
          <w:rFonts w:ascii="Times New Roman" w:hAnsi="Times New Roman"/>
          <w:color w:val="000000" w:themeColor="text1"/>
          <w:sz w:val="24"/>
          <w:szCs w:val="24"/>
          <w:lang w:val="en-GB"/>
        </w:rPr>
        <w:t xml:space="preserve"> </w:t>
      </w:r>
      <w:r w:rsidR="004736BE" w:rsidRPr="00D341ED">
        <w:rPr>
          <w:rFonts w:ascii="Times New Roman" w:hAnsi="Times New Roman"/>
          <w:color w:val="000000" w:themeColor="text1"/>
          <w:sz w:val="24"/>
          <w:szCs w:val="24"/>
          <w:lang w:val="en-GB"/>
        </w:rPr>
        <w:t xml:space="preserve">and </w:t>
      </w:r>
      <w:r w:rsidR="00C45931" w:rsidRPr="00D341ED">
        <w:rPr>
          <w:rFonts w:ascii="Times New Roman" w:hAnsi="Times New Roman"/>
          <w:color w:val="000000" w:themeColor="text1"/>
          <w:sz w:val="24"/>
          <w:szCs w:val="24"/>
          <w:lang w:val="en-GB"/>
        </w:rPr>
        <w:t>p</w:t>
      </w:r>
      <w:r w:rsidR="002B6341" w:rsidRPr="00D341ED">
        <w:rPr>
          <w:rFonts w:ascii="Times New Roman" w:hAnsi="Times New Roman"/>
          <w:color w:val="000000" w:themeColor="text1"/>
          <w:sz w:val="24"/>
          <w:szCs w:val="24"/>
          <w:lang w:val="en-GB"/>
        </w:rPr>
        <w:t>artnerships</w:t>
      </w:r>
      <w:r w:rsidR="00074DB9" w:rsidRPr="00D341ED">
        <w:rPr>
          <w:rFonts w:ascii="Times New Roman" w:hAnsi="Times New Roman"/>
          <w:color w:val="000000" w:themeColor="text1"/>
          <w:sz w:val="24"/>
          <w:szCs w:val="24"/>
          <w:lang w:val="en-GB"/>
        </w:rPr>
        <w:t xml:space="preserve"> </w:t>
      </w:r>
    </w:p>
    <w:p w14:paraId="6ADAB4C5" w14:textId="0C290141" w:rsidR="00D25729" w:rsidRPr="00D341ED" w:rsidRDefault="00862F48" w:rsidP="004C0138">
      <w:pPr>
        <w:pStyle w:val="ListParagraph"/>
        <w:numPr>
          <w:ilvl w:val="0"/>
          <w:numId w:val="14"/>
        </w:numPr>
        <w:tabs>
          <w:tab w:val="left" w:pos="1260"/>
          <w:tab w:val="left" w:pos="1620"/>
        </w:tabs>
        <w:ind w:left="1267" w:right="1210" w:firstLine="0"/>
        <w:contextualSpacing/>
        <w:jc w:val="both"/>
        <w:rPr>
          <w:lang w:val="en-GB"/>
        </w:rPr>
      </w:pPr>
      <w:r w:rsidRPr="00D341ED">
        <w:rPr>
          <w:lang w:val="en-GB"/>
        </w:rPr>
        <w:t xml:space="preserve">The </w:t>
      </w:r>
      <w:r w:rsidR="00410C26" w:rsidRPr="00D341ED">
        <w:rPr>
          <w:lang w:val="en-GB"/>
        </w:rPr>
        <w:t>new</w:t>
      </w:r>
      <w:r w:rsidR="00C35CCF" w:rsidRPr="00D341ED">
        <w:rPr>
          <w:lang w:val="en-GB"/>
        </w:rPr>
        <w:t xml:space="preserve"> </w:t>
      </w:r>
      <w:r w:rsidRPr="00D341ED">
        <w:rPr>
          <w:lang w:val="en-GB"/>
        </w:rPr>
        <w:t xml:space="preserve">UNDP </w:t>
      </w:r>
      <w:r w:rsidR="00C35CCF" w:rsidRPr="00D341ED">
        <w:rPr>
          <w:lang w:val="en-GB"/>
        </w:rPr>
        <w:t>country programme</w:t>
      </w:r>
      <w:r w:rsidR="00CD0B85" w:rsidRPr="00D341ED">
        <w:rPr>
          <w:lang w:val="en-GB"/>
        </w:rPr>
        <w:t xml:space="preserve"> </w:t>
      </w:r>
      <w:r w:rsidR="00410C26" w:rsidRPr="00D341ED">
        <w:rPr>
          <w:lang w:val="en-GB"/>
        </w:rPr>
        <w:t xml:space="preserve">will </w:t>
      </w:r>
      <w:r w:rsidR="00C35CCF" w:rsidRPr="00D341ED">
        <w:rPr>
          <w:lang w:val="en-GB"/>
        </w:rPr>
        <w:t>support national development priorities by focusing on the intertwined goals of European integration and sustainable development, relying on the complementarity of the two agendas to multiply their impact</w:t>
      </w:r>
      <w:r w:rsidR="00410C26" w:rsidRPr="00D341ED">
        <w:rPr>
          <w:lang w:val="en-GB"/>
        </w:rPr>
        <w:t xml:space="preserve">. </w:t>
      </w:r>
      <w:r w:rsidRPr="00D341ED">
        <w:rPr>
          <w:lang w:val="en-GB"/>
        </w:rPr>
        <w:t>I</w:t>
      </w:r>
      <w:r w:rsidR="00D21661" w:rsidRPr="00D341ED">
        <w:rPr>
          <w:lang w:val="en-GB"/>
        </w:rPr>
        <w:t>n</w:t>
      </w:r>
      <w:r w:rsidRPr="00D341ED">
        <w:rPr>
          <w:lang w:val="en-GB"/>
        </w:rPr>
        <w:t xml:space="preserve"> tandem</w:t>
      </w:r>
      <w:r w:rsidR="00410C26" w:rsidRPr="00D341ED">
        <w:rPr>
          <w:lang w:val="en-GB"/>
        </w:rPr>
        <w:t xml:space="preserve">, it will help adapt and respond to </w:t>
      </w:r>
      <w:r w:rsidR="00D21661" w:rsidRPr="00D341ED">
        <w:rPr>
          <w:lang w:val="en-GB"/>
        </w:rPr>
        <w:t xml:space="preserve">the </w:t>
      </w:r>
      <w:r w:rsidR="001F6671" w:rsidRPr="00D341ED">
        <w:rPr>
          <w:lang w:val="en-GB"/>
        </w:rPr>
        <w:t xml:space="preserve">COVID-19 </w:t>
      </w:r>
      <w:r w:rsidR="00D21661" w:rsidRPr="00D341ED">
        <w:rPr>
          <w:lang w:val="en-GB"/>
        </w:rPr>
        <w:t xml:space="preserve">pandemic </w:t>
      </w:r>
      <w:r w:rsidR="00410C26" w:rsidRPr="00D341ED">
        <w:rPr>
          <w:lang w:val="en-GB"/>
        </w:rPr>
        <w:t xml:space="preserve">by </w:t>
      </w:r>
      <w:r w:rsidR="00C35CCF" w:rsidRPr="00D341ED">
        <w:rPr>
          <w:lang w:val="en-GB"/>
        </w:rPr>
        <w:t>protect</w:t>
      </w:r>
      <w:r w:rsidR="001F6671" w:rsidRPr="00D341ED">
        <w:rPr>
          <w:lang w:val="en-GB"/>
        </w:rPr>
        <w:t>ing</w:t>
      </w:r>
      <w:r w:rsidR="00C35CCF" w:rsidRPr="00D341ED">
        <w:rPr>
          <w:lang w:val="en-GB"/>
        </w:rPr>
        <w:t xml:space="preserve"> lives and livelihoods in the short term </w:t>
      </w:r>
      <w:r w:rsidR="00410C26" w:rsidRPr="00D341ED">
        <w:rPr>
          <w:lang w:val="en-GB"/>
        </w:rPr>
        <w:t xml:space="preserve">and </w:t>
      </w:r>
      <w:r w:rsidR="00C35CCF" w:rsidRPr="00D341ED">
        <w:rPr>
          <w:lang w:val="en-GB"/>
        </w:rPr>
        <w:t xml:space="preserve">seeking ways to </w:t>
      </w:r>
      <w:r w:rsidR="000135B2" w:rsidRPr="00D341ED">
        <w:rPr>
          <w:lang w:val="en-GB"/>
        </w:rPr>
        <w:t>‘</w:t>
      </w:r>
      <w:r w:rsidR="00C35CCF" w:rsidRPr="00D341ED">
        <w:rPr>
          <w:lang w:val="en-GB"/>
        </w:rPr>
        <w:t>build forward better</w:t>
      </w:r>
      <w:r w:rsidR="000135B2" w:rsidRPr="00D341ED">
        <w:rPr>
          <w:lang w:val="en-GB"/>
        </w:rPr>
        <w:t>’</w:t>
      </w:r>
      <w:r w:rsidR="00C35CCF" w:rsidRPr="00D341ED">
        <w:rPr>
          <w:lang w:val="en-GB"/>
        </w:rPr>
        <w:t xml:space="preserve"> in the </w:t>
      </w:r>
      <w:r w:rsidR="00410C26" w:rsidRPr="00D341ED">
        <w:rPr>
          <w:lang w:val="en-GB"/>
        </w:rPr>
        <w:t xml:space="preserve">long </w:t>
      </w:r>
      <w:r w:rsidR="00C35CCF" w:rsidRPr="00D341ED">
        <w:rPr>
          <w:lang w:val="en-GB"/>
        </w:rPr>
        <w:t>term.</w:t>
      </w:r>
      <w:r w:rsidR="00CA53EF" w:rsidRPr="00D341ED">
        <w:rPr>
          <w:lang w:val="en-GB"/>
        </w:rPr>
        <w:t xml:space="preserve"> </w:t>
      </w:r>
    </w:p>
    <w:p w14:paraId="11DCEF86" w14:textId="77777777" w:rsidR="00410C26" w:rsidRPr="00D341ED" w:rsidRDefault="00410C26" w:rsidP="004C0138">
      <w:pPr>
        <w:pStyle w:val="ListParagraph"/>
        <w:tabs>
          <w:tab w:val="left" w:pos="1260"/>
          <w:tab w:val="left" w:pos="1620"/>
        </w:tabs>
        <w:ind w:left="1267" w:right="1210"/>
        <w:contextualSpacing/>
        <w:jc w:val="both"/>
        <w:rPr>
          <w:sz w:val="12"/>
          <w:szCs w:val="12"/>
          <w:lang w:val="en-GB"/>
        </w:rPr>
      </w:pPr>
    </w:p>
    <w:p w14:paraId="7C9E2F2D" w14:textId="086A1194" w:rsidR="006C5D4B" w:rsidRPr="00D341ED" w:rsidRDefault="00051122" w:rsidP="004C0138">
      <w:pPr>
        <w:pStyle w:val="ListParagraph"/>
        <w:numPr>
          <w:ilvl w:val="0"/>
          <w:numId w:val="14"/>
        </w:numPr>
        <w:tabs>
          <w:tab w:val="left" w:pos="1260"/>
          <w:tab w:val="left" w:pos="1620"/>
        </w:tabs>
        <w:ind w:left="1267" w:right="1210" w:firstLine="0"/>
        <w:contextualSpacing/>
        <w:jc w:val="both"/>
        <w:rPr>
          <w:lang w:val="en-GB"/>
        </w:rPr>
      </w:pPr>
      <w:r w:rsidRPr="00D341ED">
        <w:rPr>
          <w:lang w:val="en-GB"/>
        </w:rPr>
        <w:t xml:space="preserve">The </w:t>
      </w:r>
      <w:r w:rsidR="00862F48" w:rsidRPr="00D341ED">
        <w:rPr>
          <w:lang w:val="en-GB"/>
        </w:rPr>
        <w:t xml:space="preserve">country </w:t>
      </w:r>
      <w:r w:rsidRPr="00D341ED">
        <w:rPr>
          <w:lang w:val="en-GB"/>
        </w:rPr>
        <w:t xml:space="preserve">programme </w:t>
      </w:r>
      <w:r w:rsidR="006C5D4B" w:rsidRPr="00D341ED">
        <w:rPr>
          <w:lang w:val="en-GB"/>
        </w:rPr>
        <w:t xml:space="preserve">has roots in the findings of the </w:t>
      </w:r>
      <w:r w:rsidR="00862F48" w:rsidRPr="00D341ED">
        <w:rPr>
          <w:lang w:val="en-GB"/>
        </w:rPr>
        <w:t>m</w:t>
      </w:r>
      <w:r w:rsidR="006C5D4B" w:rsidRPr="00D341ED">
        <w:rPr>
          <w:lang w:val="en-GB"/>
        </w:rPr>
        <w:t xml:space="preserve">ainstreaming, </w:t>
      </w:r>
      <w:r w:rsidR="00862F48" w:rsidRPr="00D341ED">
        <w:rPr>
          <w:lang w:val="en-GB"/>
        </w:rPr>
        <w:t>a</w:t>
      </w:r>
      <w:r w:rsidR="006C5D4B" w:rsidRPr="00D341ED">
        <w:rPr>
          <w:lang w:val="en-GB"/>
        </w:rPr>
        <w:t xml:space="preserve">cceleration and </w:t>
      </w:r>
      <w:r w:rsidR="00862F48" w:rsidRPr="00D341ED">
        <w:rPr>
          <w:lang w:val="en-GB"/>
        </w:rPr>
        <w:t>p</w:t>
      </w:r>
      <w:r w:rsidR="006C5D4B" w:rsidRPr="00D341ED">
        <w:rPr>
          <w:lang w:val="en-GB"/>
        </w:rPr>
        <w:t xml:space="preserve">olicy </w:t>
      </w:r>
      <w:r w:rsidR="00862F48" w:rsidRPr="00D341ED">
        <w:rPr>
          <w:lang w:val="en-GB"/>
        </w:rPr>
        <w:t>s</w:t>
      </w:r>
      <w:r w:rsidR="006C5D4B" w:rsidRPr="00D341ED">
        <w:rPr>
          <w:lang w:val="en-GB"/>
        </w:rPr>
        <w:t xml:space="preserve">upport (MAPS) exercise that </w:t>
      </w:r>
      <w:r w:rsidR="004038F0" w:rsidRPr="00D341ED">
        <w:rPr>
          <w:lang w:val="en-GB"/>
        </w:rPr>
        <w:t>UNDP led on behalf of the U</w:t>
      </w:r>
      <w:r w:rsidR="00862F48" w:rsidRPr="00D341ED">
        <w:rPr>
          <w:lang w:val="en-GB"/>
        </w:rPr>
        <w:t xml:space="preserve">nited </w:t>
      </w:r>
      <w:r w:rsidR="004038F0" w:rsidRPr="00D341ED">
        <w:rPr>
          <w:lang w:val="en-GB"/>
        </w:rPr>
        <w:t>N</w:t>
      </w:r>
      <w:r w:rsidR="00862F48" w:rsidRPr="00D341ED">
        <w:rPr>
          <w:lang w:val="en-GB"/>
        </w:rPr>
        <w:t>ations</w:t>
      </w:r>
      <w:r w:rsidR="004038F0" w:rsidRPr="00D341ED">
        <w:rPr>
          <w:lang w:val="en-GB"/>
        </w:rPr>
        <w:t xml:space="preserve"> </w:t>
      </w:r>
      <w:r w:rsidR="00862F48" w:rsidRPr="00D341ED">
        <w:rPr>
          <w:lang w:val="en-GB"/>
        </w:rPr>
        <w:t xml:space="preserve">system, </w:t>
      </w:r>
      <w:r w:rsidR="006C5D4B" w:rsidRPr="00D341ED">
        <w:rPr>
          <w:lang w:val="en-GB"/>
        </w:rPr>
        <w:t>together with the Government Administration</w:t>
      </w:r>
      <w:r w:rsidR="009524D2" w:rsidRPr="00D341ED">
        <w:rPr>
          <w:lang w:val="en-GB"/>
        </w:rPr>
        <w:t>,</w:t>
      </w:r>
      <w:r w:rsidRPr="00D341ED">
        <w:rPr>
          <w:lang w:val="en-GB"/>
        </w:rPr>
        <w:t xml:space="preserve"> in 2019</w:t>
      </w:r>
      <w:r w:rsidR="006C5D4B" w:rsidRPr="00D341ED">
        <w:rPr>
          <w:lang w:val="en-GB"/>
        </w:rPr>
        <w:t>.</w:t>
      </w:r>
      <w:r w:rsidR="00B30EA6" w:rsidRPr="00D341ED">
        <w:rPr>
          <w:rStyle w:val="FootnoteReference"/>
          <w:lang w:val="en-GB"/>
        </w:rPr>
        <w:footnoteReference w:id="7"/>
      </w:r>
      <w:r w:rsidR="006C5D4B" w:rsidRPr="00D341ED">
        <w:rPr>
          <w:lang w:val="en-GB"/>
        </w:rPr>
        <w:t xml:space="preserve"> This </w:t>
      </w:r>
      <w:r w:rsidR="003D6A71" w:rsidRPr="00D341ED">
        <w:rPr>
          <w:lang w:val="en-GB"/>
        </w:rPr>
        <w:t xml:space="preserve">broad </w:t>
      </w:r>
      <w:r w:rsidR="004038F0" w:rsidRPr="00D341ED">
        <w:rPr>
          <w:lang w:val="en-GB"/>
        </w:rPr>
        <w:t xml:space="preserve">participatory exercise </w:t>
      </w:r>
      <w:r w:rsidR="006C5D4B" w:rsidRPr="00D341ED">
        <w:rPr>
          <w:lang w:val="en-GB"/>
        </w:rPr>
        <w:t>yielded consensus around four high</w:t>
      </w:r>
      <w:r w:rsidR="00862F48" w:rsidRPr="00D341ED">
        <w:rPr>
          <w:lang w:val="en-GB"/>
        </w:rPr>
        <w:t>-</w:t>
      </w:r>
      <w:r w:rsidR="006C5D4B" w:rsidRPr="00D341ED">
        <w:rPr>
          <w:lang w:val="en-GB"/>
        </w:rPr>
        <w:t xml:space="preserve">impact solutions </w:t>
      </w:r>
      <w:r w:rsidR="003D6A71" w:rsidRPr="00D341ED">
        <w:rPr>
          <w:lang w:val="en-GB"/>
        </w:rPr>
        <w:t xml:space="preserve">judged to have </w:t>
      </w:r>
      <w:r w:rsidR="006C5D4B" w:rsidRPr="00D341ED">
        <w:rPr>
          <w:lang w:val="en-GB"/>
        </w:rPr>
        <w:t>the potential to unlock progress towards goals</w:t>
      </w:r>
      <w:r w:rsidRPr="00D341ED">
        <w:rPr>
          <w:lang w:val="en-GB"/>
        </w:rPr>
        <w:t xml:space="preserve"> that Georgia deems high priorities</w:t>
      </w:r>
      <w:r w:rsidR="006C5D4B" w:rsidRPr="00D341ED">
        <w:rPr>
          <w:lang w:val="en-GB"/>
        </w:rPr>
        <w:t xml:space="preserve">: decentralized development; </w:t>
      </w:r>
      <w:r w:rsidR="003D6A71" w:rsidRPr="00D341ED">
        <w:rPr>
          <w:lang w:val="en-GB"/>
        </w:rPr>
        <w:t>human rights and equal</w:t>
      </w:r>
      <w:r w:rsidRPr="00D341ED">
        <w:rPr>
          <w:lang w:val="en-GB"/>
        </w:rPr>
        <w:t>ity</w:t>
      </w:r>
      <w:r w:rsidR="006C5D4B" w:rsidRPr="00D341ED">
        <w:rPr>
          <w:lang w:val="en-GB"/>
        </w:rPr>
        <w:t xml:space="preserve">; investing in youth and rural areas; and green energy and sustainable cities. These four areas, with </w:t>
      </w:r>
      <w:r w:rsidR="0077144B" w:rsidRPr="00D341ED">
        <w:rPr>
          <w:lang w:val="en-GB"/>
        </w:rPr>
        <w:t xml:space="preserve">a subset of </w:t>
      </w:r>
      <w:r w:rsidR="006C5D4B" w:rsidRPr="00D341ED">
        <w:rPr>
          <w:lang w:val="en-GB"/>
        </w:rPr>
        <w:t xml:space="preserve">prioritized SDG targets, feature in the </w:t>
      </w:r>
      <w:r w:rsidR="001B5D8E" w:rsidRPr="00D341ED">
        <w:rPr>
          <w:lang w:val="en-GB"/>
        </w:rPr>
        <w:t xml:space="preserve">2020 </w:t>
      </w:r>
      <w:r w:rsidR="006C5D4B" w:rsidRPr="00D341ED">
        <w:rPr>
          <w:lang w:val="en-GB"/>
        </w:rPr>
        <w:t>voluntary national review. The</w:t>
      </w:r>
      <w:r w:rsidR="0077144B" w:rsidRPr="00D341ED">
        <w:rPr>
          <w:lang w:val="en-GB"/>
        </w:rPr>
        <w:t>y</w:t>
      </w:r>
      <w:r w:rsidR="006C5D4B" w:rsidRPr="00D341ED">
        <w:rPr>
          <w:lang w:val="en-GB"/>
        </w:rPr>
        <w:t xml:space="preserve"> also </w:t>
      </w:r>
      <w:r w:rsidR="00082F85" w:rsidRPr="00D341ED">
        <w:rPr>
          <w:lang w:val="en-GB"/>
        </w:rPr>
        <w:t xml:space="preserve">serve as </w:t>
      </w:r>
      <w:r w:rsidR="006C5D4B" w:rsidRPr="00D341ED">
        <w:rPr>
          <w:lang w:val="en-GB"/>
        </w:rPr>
        <w:t>cornerstones for the U</w:t>
      </w:r>
      <w:r w:rsidR="00FA1C28" w:rsidRPr="00D341ED">
        <w:rPr>
          <w:lang w:val="en-GB"/>
        </w:rPr>
        <w:t xml:space="preserve">nited </w:t>
      </w:r>
      <w:r w:rsidR="006C5D4B" w:rsidRPr="00D341ED">
        <w:rPr>
          <w:lang w:val="en-GB"/>
        </w:rPr>
        <w:t>N</w:t>
      </w:r>
      <w:r w:rsidR="00FA1C28" w:rsidRPr="00D341ED">
        <w:rPr>
          <w:lang w:val="en-GB"/>
        </w:rPr>
        <w:t>ations</w:t>
      </w:r>
      <w:r w:rsidR="006C5D4B" w:rsidRPr="00D341ED">
        <w:rPr>
          <w:lang w:val="en-GB"/>
        </w:rPr>
        <w:t xml:space="preserve"> COVID-19 response and recovery offer</w:t>
      </w:r>
      <w:r w:rsidR="009524D2" w:rsidRPr="00D341ED">
        <w:rPr>
          <w:lang w:val="en-GB"/>
        </w:rPr>
        <w:t>, which was published in August 2020</w:t>
      </w:r>
      <w:r w:rsidR="006C5D4B" w:rsidRPr="00D341ED">
        <w:rPr>
          <w:lang w:val="en-GB"/>
        </w:rPr>
        <w:t>.</w:t>
      </w:r>
    </w:p>
    <w:p w14:paraId="3AC97608" w14:textId="77777777" w:rsidR="00410C26" w:rsidRPr="00D341ED" w:rsidRDefault="00410C26" w:rsidP="005A353B">
      <w:pPr>
        <w:pStyle w:val="ListParagraph"/>
        <w:tabs>
          <w:tab w:val="left" w:pos="1260"/>
          <w:tab w:val="left" w:pos="1620"/>
        </w:tabs>
        <w:ind w:left="1260" w:right="1210"/>
        <w:contextualSpacing/>
        <w:jc w:val="both"/>
        <w:rPr>
          <w:sz w:val="12"/>
          <w:szCs w:val="12"/>
          <w:lang w:val="en-GB"/>
        </w:rPr>
      </w:pPr>
    </w:p>
    <w:p w14:paraId="2960D7E1" w14:textId="0C863710" w:rsidR="00C35CCF" w:rsidRPr="00D341ED" w:rsidRDefault="00857249" w:rsidP="005A353B">
      <w:pPr>
        <w:pStyle w:val="ListParagraph"/>
        <w:numPr>
          <w:ilvl w:val="0"/>
          <w:numId w:val="14"/>
        </w:numPr>
        <w:tabs>
          <w:tab w:val="left" w:pos="1260"/>
          <w:tab w:val="left" w:pos="1620"/>
        </w:tabs>
        <w:ind w:left="1260" w:right="1210" w:firstLine="0"/>
        <w:contextualSpacing/>
        <w:jc w:val="both"/>
        <w:rPr>
          <w:lang w:val="en-GB"/>
        </w:rPr>
      </w:pPr>
      <w:r w:rsidRPr="00D341ED">
        <w:rPr>
          <w:lang w:val="en-GB"/>
        </w:rPr>
        <w:t xml:space="preserve">Following these </w:t>
      </w:r>
      <w:r w:rsidR="00C8608D" w:rsidRPr="00D341ED">
        <w:rPr>
          <w:lang w:val="en-GB"/>
        </w:rPr>
        <w:t>sign</w:t>
      </w:r>
      <w:r w:rsidRPr="00D341ED">
        <w:rPr>
          <w:lang w:val="en-GB"/>
        </w:rPr>
        <w:t xml:space="preserve">posts, </w:t>
      </w:r>
      <w:r w:rsidR="004A7ECC" w:rsidRPr="00D341ED">
        <w:rPr>
          <w:lang w:val="en-GB"/>
        </w:rPr>
        <w:t xml:space="preserve">and </w:t>
      </w:r>
      <w:r w:rsidR="003C5EBC" w:rsidRPr="00D341ED">
        <w:rPr>
          <w:lang w:val="en-GB"/>
        </w:rPr>
        <w:t xml:space="preserve">drawing on </w:t>
      </w:r>
      <w:r w:rsidR="00D21661" w:rsidRPr="00D341ED">
        <w:rPr>
          <w:lang w:val="en-GB"/>
        </w:rPr>
        <w:t xml:space="preserve">all </w:t>
      </w:r>
      <w:r w:rsidR="003C5EBC" w:rsidRPr="00D341ED">
        <w:rPr>
          <w:lang w:val="en-GB"/>
        </w:rPr>
        <w:t xml:space="preserve">six </w:t>
      </w:r>
      <w:r w:rsidR="005F07CC" w:rsidRPr="00D341ED">
        <w:rPr>
          <w:lang w:val="en-GB"/>
        </w:rPr>
        <w:t xml:space="preserve">signature </w:t>
      </w:r>
      <w:r w:rsidR="004A7ECC" w:rsidRPr="00D341ED">
        <w:rPr>
          <w:lang w:val="en-GB"/>
        </w:rPr>
        <w:t>solutions defined in</w:t>
      </w:r>
      <w:r w:rsidR="003C5EBC" w:rsidRPr="00D341ED">
        <w:rPr>
          <w:lang w:val="en-GB"/>
        </w:rPr>
        <w:t xml:space="preserve"> </w:t>
      </w:r>
      <w:r w:rsidR="004A7ECC" w:rsidRPr="00D341ED">
        <w:rPr>
          <w:lang w:val="en-GB"/>
        </w:rPr>
        <w:t xml:space="preserve">the </w:t>
      </w:r>
      <w:r w:rsidR="00D21661" w:rsidRPr="00D341ED">
        <w:rPr>
          <w:lang w:val="en-GB"/>
        </w:rPr>
        <w:t xml:space="preserve">current </w:t>
      </w:r>
      <w:r w:rsidR="004A7ECC" w:rsidRPr="00D341ED">
        <w:rPr>
          <w:lang w:val="en-GB"/>
        </w:rPr>
        <w:t>UNDP Strategic Plan</w:t>
      </w:r>
      <w:r w:rsidR="00D21661" w:rsidRPr="00D341ED">
        <w:rPr>
          <w:lang w:val="en-GB"/>
        </w:rPr>
        <w:t>,</w:t>
      </w:r>
      <w:r w:rsidR="00FA1C28" w:rsidRPr="00D341ED">
        <w:rPr>
          <w:lang w:val="en-GB"/>
        </w:rPr>
        <w:t xml:space="preserve"> </w:t>
      </w:r>
      <w:r w:rsidR="004A7ECC" w:rsidRPr="00D341ED">
        <w:rPr>
          <w:lang w:val="en-GB"/>
        </w:rPr>
        <w:t xml:space="preserve">the new </w:t>
      </w:r>
      <w:r w:rsidR="00FA1C28" w:rsidRPr="00D341ED">
        <w:rPr>
          <w:lang w:val="en-GB"/>
        </w:rPr>
        <w:t xml:space="preserve">country </w:t>
      </w:r>
      <w:r w:rsidR="004A7ECC" w:rsidRPr="00D341ED">
        <w:rPr>
          <w:lang w:val="en-GB"/>
        </w:rPr>
        <w:t xml:space="preserve">programme maps out </w:t>
      </w:r>
      <w:r w:rsidR="00C35CCF" w:rsidRPr="00D341ED">
        <w:rPr>
          <w:lang w:val="en-GB"/>
        </w:rPr>
        <w:t xml:space="preserve">four </w:t>
      </w:r>
      <w:r w:rsidR="001F6671" w:rsidRPr="00D341ED">
        <w:rPr>
          <w:lang w:val="en-GB"/>
        </w:rPr>
        <w:t>solution pathways</w:t>
      </w:r>
      <w:r w:rsidR="00F76CD0" w:rsidRPr="00D341ED">
        <w:rPr>
          <w:lang w:val="en-GB"/>
        </w:rPr>
        <w:t>.</w:t>
      </w:r>
    </w:p>
    <w:p w14:paraId="44E871BC" w14:textId="77777777" w:rsidR="00C35CCF" w:rsidRPr="00D341ED" w:rsidRDefault="00C35CCF" w:rsidP="005A353B">
      <w:pPr>
        <w:pStyle w:val="ListParagraph"/>
        <w:tabs>
          <w:tab w:val="left" w:pos="1260"/>
          <w:tab w:val="left" w:pos="1620"/>
        </w:tabs>
        <w:ind w:left="1260"/>
        <w:rPr>
          <w:sz w:val="12"/>
          <w:szCs w:val="12"/>
          <w:lang w:val="en-GB"/>
        </w:rPr>
      </w:pPr>
    </w:p>
    <w:p w14:paraId="122CE6DE" w14:textId="59AD06F0" w:rsidR="00C35CCF" w:rsidRPr="00D341ED" w:rsidRDefault="00C35CCF" w:rsidP="009A5A8A">
      <w:pPr>
        <w:pStyle w:val="ListParagraph"/>
        <w:numPr>
          <w:ilvl w:val="1"/>
          <w:numId w:val="18"/>
        </w:numPr>
        <w:tabs>
          <w:tab w:val="left" w:pos="1800"/>
        </w:tabs>
        <w:ind w:right="1210"/>
        <w:contextualSpacing/>
        <w:jc w:val="both"/>
        <w:rPr>
          <w:lang w:val="en-GB"/>
        </w:rPr>
      </w:pPr>
      <w:r w:rsidRPr="00D341ED">
        <w:rPr>
          <w:b/>
          <w:bCs/>
          <w:lang w:val="en-GB"/>
        </w:rPr>
        <w:t xml:space="preserve">Improving governance for equality and justice. </w:t>
      </w:r>
      <w:r w:rsidRPr="00D341ED">
        <w:rPr>
          <w:lang w:val="en-GB"/>
        </w:rPr>
        <w:t>Building on</w:t>
      </w:r>
      <w:r w:rsidRPr="00D341ED">
        <w:rPr>
          <w:b/>
          <w:bCs/>
          <w:lang w:val="en-GB"/>
        </w:rPr>
        <w:t xml:space="preserve"> </w:t>
      </w:r>
      <w:r w:rsidRPr="00D341ED">
        <w:rPr>
          <w:lang w:val="en-GB"/>
        </w:rPr>
        <w:t xml:space="preserve">years of work supporting </w:t>
      </w:r>
      <w:r w:rsidR="00F76CD0" w:rsidRPr="00D341ED">
        <w:rPr>
          <w:lang w:val="en-GB"/>
        </w:rPr>
        <w:t xml:space="preserve">national </w:t>
      </w:r>
      <w:r w:rsidRPr="00D341ED">
        <w:rPr>
          <w:lang w:val="en-GB"/>
        </w:rPr>
        <w:t>aspirations to establish model institutions of democratic governance, UNDP will focus in 2021-</w:t>
      </w:r>
      <w:r w:rsidR="00E07FD2" w:rsidRPr="00D341ED">
        <w:rPr>
          <w:lang w:val="en-GB"/>
        </w:rPr>
        <w:t>20</w:t>
      </w:r>
      <w:r w:rsidRPr="00D341ED">
        <w:rPr>
          <w:lang w:val="en-GB"/>
        </w:rPr>
        <w:t xml:space="preserve">25 on </w:t>
      </w:r>
      <w:r w:rsidR="004E7846" w:rsidRPr="00D341ED">
        <w:rPr>
          <w:lang w:val="en-GB"/>
        </w:rPr>
        <w:t xml:space="preserve">utilizing </w:t>
      </w:r>
      <w:r w:rsidR="00013601" w:rsidRPr="00D341ED">
        <w:rPr>
          <w:lang w:val="en-GB"/>
        </w:rPr>
        <w:t xml:space="preserve">legislative frameworks </w:t>
      </w:r>
      <w:r w:rsidR="004E7846" w:rsidRPr="00D341ED">
        <w:rPr>
          <w:lang w:val="en-GB"/>
        </w:rPr>
        <w:t xml:space="preserve">for development progress </w:t>
      </w:r>
      <w:r w:rsidRPr="00D341ED">
        <w:rPr>
          <w:lang w:val="en-GB"/>
        </w:rPr>
        <w:t xml:space="preserve">and </w:t>
      </w:r>
      <w:r w:rsidR="0021237C" w:rsidRPr="00D341ED">
        <w:rPr>
          <w:lang w:val="en-GB"/>
        </w:rPr>
        <w:t xml:space="preserve">translating </w:t>
      </w:r>
      <w:r w:rsidRPr="00D341ED">
        <w:rPr>
          <w:lang w:val="en-GB"/>
        </w:rPr>
        <w:t>standards and principles adopted in past years in</w:t>
      </w:r>
      <w:r w:rsidR="0021237C" w:rsidRPr="00D341ED">
        <w:rPr>
          <w:lang w:val="en-GB"/>
        </w:rPr>
        <w:t>to</w:t>
      </w:r>
      <w:r w:rsidRPr="00D341ED">
        <w:rPr>
          <w:lang w:val="en-GB"/>
        </w:rPr>
        <w:t xml:space="preserve"> everyday practice. </w:t>
      </w:r>
      <w:r w:rsidR="00F76CD0" w:rsidRPr="00D341ED">
        <w:rPr>
          <w:lang w:val="en-GB"/>
        </w:rPr>
        <w:t>UNDP will:</w:t>
      </w:r>
    </w:p>
    <w:p w14:paraId="144A5D23" w14:textId="77777777" w:rsidR="00C35CCF" w:rsidRPr="00D341ED" w:rsidRDefault="00C35CCF" w:rsidP="009A5A8A">
      <w:pPr>
        <w:pStyle w:val="ListParagraph"/>
        <w:tabs>
          <w:tab w:val="left" w:pos="1620"/>
        </w:tabs>
        <w:ind w:left="1980" w:right="1210"/>
        <w:contextualSpacing/>
        <w:jc w:val="both"/>
        <w:rPr>
          <w:sz w:val="12"/>
          <w:szCs w:val="12"/>
          <w:lang w:val="en-GB"/>
        </w:rPr>
      </w:pPr>
    </w:p>
    <w:p w14:paraId="4A449C58" w14:textId="6DE3EA24" w:rsidR="00C35CCF" w:rsidRPr="00D341ED" w:rsidRDefault="00F76CD0" w:rsidP="009A5A8A">
      <w:pPr>
        <w:pStyle w:val="ListParagraph"/>
        <w:numPr>
          <w:ilvl w:val="2"/>
          <w:numId w:val="28"/>
        </w:numPr>
        <w:tabs>
          <w:tab w:val="left" w:pos="1620"/>
        </w:tabs>
        <w:ind w:left="1980" w:right="1210"/>
        <w:contextualSpacing/>
        <w:jc w:val="both"/>
        <w:rPr>
          <w:lang w:val="en-GB"/>
        </w:rPr>
      </w:pPr>
      <w:bookmarkStart w:id="3" w:name="_Hlk54763284"/>
      <w:r w:rsidRPr="00D341ED">
        <w:rPr>
          <w:lang w:val="en-GB"/>
        </w:rPr>
        <w:t>C</w:t>
      </w:r>
      <w:r w:rsidR="003C40D2" w:rsidRPr="00D341ED">
        <w:rPr>
          <w:lang w:val="en-GB"/>
        </w:rPr>
        <w:t xml:space="preserve">ontinue to </w:t>
      </w:r>
      <w:r w:rsidR="00C35CCF" w:rsidRPr="00D341ED">
        <w:rPr>
          <w:lang w:val="en-GB"/>
        </w:rPr>
        <w:t>assist the Parliament in undertaking its expanded role as the country’s core decision-making institution</w:t>
      </w:r>
      <w:r w:rsidR="00723AEA" w:rsidRPr="00D341ED">
        <w:rPr>
          <w:lang w:val="en-GB"/>
        </w:rPr>
        <w:t xml:space="preserve"> and monitor media during elections</w:t>
      </w:r>
      <w:r w:rsidRPr="00D341ED">
        <w:rPr>
          <w:lang w:val="en-GB"/>
        </w:rPr>
        <w:t>;</w:t>
      </w:r>
      <w:bookmarkEnd w:id="3"/>
      <w:r w:rsidR="00C35CCF" w:rsidRPr="00D341ED">
        <w:rPr>
          <w:lang w:val="en-GB"/>
        </w:rPr>
        <w:t xml:space="preserve"> </w:t>
      </w:r>
    </w:p>
    <w:p w14:paraId="026ED8C1" w14:textId="77777777" w:rsidR="00C45931" w:rsidRPr="00D341ED" w:rsidRDefault="00C45931" w:rsidP="009A5A8A">
      <w:pPr>
        <w:pStyle w:val="ListParagraph"/>
        <w:tabs>
          <w:tab w:val="left" w:pos="1620"/>
        </w:tabs>
        <w:ind w:left="1980" w:right="1210"/>
        <w:contextualSpacing/>
        <w:jc w:val="both"/>
        <w:rPr>
          <w:sz w:val="12"/>
          <w:szCs w:val="12"/>
          <w:lang w:val="en-GB"/>
        </w:rPr>
      </w:pPr>
    </w:p>
    <w:p w14:paraId="3EE36AB6" w14:textId="3717D67B" w:rsidR="0012275E" w:rsidRPr="00D341ED" w:rsidRDefault="00F76CD0" w:rsidP="009A5A8A">
      <w:pPr>
        <w:pStyle w:val="ListParagraph"/>
        <w:numPr>
          <w:ilvl w:val="2"/>
          <w:numId w:val="28"/>
        </w:numPr>
        <w:tabs>
          <w:tab w:val="left" w:pos="1620"/>
        </w:tabs>
        <w:ind w:left="1980" w:right="1210"/>
        <w:contextualSpacing/>
        <w:jc w:val="both"/>
        <w:rPr>
          <w:lang w:val="en-GB"/>
        </w:rPr>
      </w:pPr>
      <w:r w:rsidRPr="00D341ED">
        <w:rPr>
          <w:lang w:val="en-GB"/>
        </w:rPr>
        <w:t>C</w:t>
      </w:r>
      <w:r w:rsidR="003C40D2" w:rsidRPr="00D341ED">
        <w:rPr>
          <w:lang w:val="en-GB"/>
        </w:rPr>
        <w:t xml:space="preserve">ontinue to </w:t>
      </w:r>
      <w:r w:rsidR="00714A19" w:rsidRPr="00D341ED">
        <w:rPr>
          <w:lang w:val="en-GB"/>
        </w:rPr>
        <w:t>s</w:t>
      </w:r>
      <w:r w:rsidR="00C35CCF" w:rsidRPr="00D341ED">
        <w:rPr>
          <w:lang w:val="en-GB"/>
        </w:rPr>
        <w:t>upport public administration reform,</w:t>
      </w:r>
      <w:r w:rsidR="0012275E" w:rsidRPr="00D341ED">
        <w:rPr>
          <w:lang w:val="en-GB"/>
        </w:rPr>
        <w:t xml:space="preserve"> focus</w:t>
      </w:r>
      <w:r w:rsidRPr="00D341ED">
        <w:rPr>
          <w:lang w:val="en-GB"/>
        </w:rPr>
        <w:t>ed</w:t>
      </w:r>
      <w:r w:rsidR="0012275E" w:rsidRPr="00D341ED">
        <w:rPr>
          <w:lang w:val="en-GB"/>
        </w:rPr>
        <w:t xml:space="preserve"> on building a </w:t>
      </w:r>
      <w:r w:rsidR="00E07FD2" w:rsidRPr="00D341ED">
        <w:rPr>
          <w:lang w:val="en-GB"/>
        </w:rPr>
        <w:t xml:space="preserve">more </w:t>
      </w:r>
      <w:r w:rsidR="0012275E" w:rsidRPr="00D341ED">
        <w:rPr>
          <w:lang w:val="en-GB"/>
        </w:rPr>
        <w:t>merit-based</w:t>
      </w:r>
      <w:r w:rsidRPr="00D341ED">
        <w:rPr>
          <w:lang w:val="en-GB"/>
        </w:rPr>
        <w:t xml:space="preserve">, </w:t>
      </w:r>
      <w:r w:rsidR="0012275E" w:rsidRPr="00D341ED">
        <w:rPr>
          <w:lang w:val="en-GB"/>
        </w:rPr>
        <w:t>non-partisan civil service, enhancing whole-of-government policy planning and coordination, fostering public participation, helping standardize and improve the quality of public service delivery, advance e-services and mainstream transparency and accountability</w:t>
      </w:r>
      <w:r w:rsidRPr="00D341ED">
        <w:rPr>
          <w:lang w:val="en-GB"/>
        </w:rPr>
        <w:t>;</w:t>
      </w:r>
    </w:p>
    <w:p w14:paraId="6ED70A4C" w14:textId="01B21836" w:rsidR="0012275E" w:rsidRPr="00D341ED" w:rsidRDefault="0012275E" w:rsidP="009A5A8A">
      <w:pPr>
        <w:pStyle w:val="ListParagraph"/>
        <w:tabs>
          <w:tab w:val="left" w:pos="1620"/>
        </w:tabs>
        <w:ind w:left="1980" w:right="1210"/>
        <w:contextualSpacing/>
        <w:jc w:val="both"/>
        <w:rPr>
          <w:sz w:val="12"/>
          <w:szCs w:val="12"/>
          <w:lang w:val="en-GB"/>
        </w:rPr>
      </w:pPr>
    </w:p>
    <w:p w14:paraId="5C6F393C" w14:textId="69BF0086" w:rsidR="00D63025" w:rsidRPr="00D341ED" w:rsidRDefault="00D63025" w:rsidP="00D63025">
      <w:pPr>
        <w:pStyle w:val="ListParagraph"/>
        <w:numPr>
          <w:ilvl w:val="2"/>
          <w:numId w:val="28"/>
        </w:numPr>
        <w:tabs>
          <w:tab w:val="left" w:pos="1620"/>
        </w:tabs>
        <w:ind w:left="1980" w:right="1210"/>
        <w:contextualSpacing/>
        <w:jc w:val="both"/>
        <w:rPr>
          <w:lang w:val="en-GB"/>
        </w:rPr>
      </w:pPr>
      <w:r w:rsidRPr="00D341ED">
        <w:rPr>
          <w:lang w:val="en-GB"/>
        </w:rPr>
        <w:t xml:space="preserve">Work to realize the potential of decentralization to </w:t>
      </w:r>
      <w:r w:rsidR="006D3AFB" w:rsidRPr="00D341ED">
        <w:rPr>
          <w:lang w:val="en-GB"/>
        </w:rPr>
        <w:t xml:space="preserve">promote good governance, </w:t>
      </w:r>
      <w:r w:rsidRPr="00D341ED">
        <w:rPr>
          <w:lang w:val="en-GB"/>
        </w:rPr>
        <w:t xml:space="preserve">improve public services and </w:t>
      </w:r>
      <w:r w:rsidR="006D3AFB" w:rsidRPr="00D341ED">
        <w:rPr>
          <w:lang w:val="en-GB"/>
        </w:rPr>
        <w:t xml:space="preserve">enhance </w:t>
      </w:r>
      <w:r w:rsidR="00AC5B54" w:rsidRPr="00D341ED">
        <w:rPr>
          <w:lang w:val="en-GB"/>
        </w:rPr>
        <w:t xml:space="preserve">economic prospects </w:t>
      </w:r>
      <w:r w:rsidRPr="00D341ED">
        <w:rPr>
          <w:lang w:val="en-GB"/>
        </w:rPr>
        <w:t xml:space="preserve">at </w:t>
      </w:r>
      <w:r w:rsidR="006D3AFB" w:rsidRPr="00D341ED">
        <w:rPr>
          <w:lang w:val="en-GB"/>
        </w:rPr>
        <w:t xml:space="preserve">the </w:t>
      </w:r>
      <w:r w:rsidRPr="00D341ED">
        <w:rPr>
          <w:lang w:val="en-GB"/>
        </w:rPr>
        <w:t xml:space="preserve">local level, particularly in </w:t>
      </w:r>
      <w:r w:rsidR="006D3AFB" w:rsidRPr="00D341ED">
        <w:rPr>
          <w:lang w:val="en-GB"/>
        </w:rPr>
        <w:t xml:space="preserve">rural, </w:t>
      </w:r>
      <w:r w:rsidRPr="00D341ED">
        <w:rPr>
          <w:lang w:val="en-GB"/>
        </w:rPr>
        <w:t>remote and high-mountain areas;</w:t>
      </w:r>
    </w:p>
    <w:p w14:paraId="688B45BD" w14:textId="77777777" w:rsidR="00D63025" w:rsidRPr="00D341ED" w:rsidRDefault="00D63025" w:rsidP="00D341ED">
      <w:pPr>
        <w:pStyle w:val="ListParagraph"/>
        <w:tabs>
          <w:tab w:val="left" w:pos="1620"/>
        </w:tabs>
        <w:ind w:right="1210"/>
        <w:contextualSpacing/>
        <w:jc w:val="both"/>
        <w:rPr>
          <w:sz w:val="12"/>
          <w:szCs w:val="12"/>
          <w:lang w:val="en-GB"/>
        </w:rPr>
      </w:pPr>
    </w:p>
    <w:p w14:paraId="7931E05C" w14:textId="27276977" w:rsidR="00C35CCF" w:rsidRPr="00D341ED" w:rsidRDefault="00F76CD0" w:rsidP="009A5A8A">
      <w:pPr>
        <w:pStyle w:val="ListParagraph"/>
        <w:numPr>
          <w:ilvl w:val="2"/>
          <w:numId w:val="28"/>
        </w:numPr>
        <w:tabs>
          <w:tab w:val="left" w:pos="1620"/>
        </w:tabs>
        <w:ind w:left="1980" w:right="1210"/>
        <w:contextualSpacing/>
        <w:jc w:val="both"/>
        <w:rPr>
          <w:lang w:val="en-GB"/>
        </w:rPr>
      </w:pPr>
      <w:r w:rsidRPr="00D341ED">
        <w:rPr>
          <w:lang w:val="en-GB"/>
        </w:rPr>
        <w:t>A</w:t>
      </w:r>
      <w:r w:rsidR="00C35CCF" w:rsidRPr="00D341ED">
        <w:rPr>
          <w:lang w:val="en-GB"/>
        </w:rPr>
        <w:t xml:space="preserve">ssist institutions and civil society in monitoring </w:t>
      </w:r>
      <w:r w:rsidRPr="00D341ED">
        <w:rPr>
          <w:lang w:val="en-GB"/>
        </w:rPr>
        <w:t xml:space="preserve">national </w:t>
      </w:r>
      <w:r w:rsidR="00C35CCF" w:rsidRPr="00D341ED">
        <w:rPr>
          <w:lang w:val="en-GB"/>
        </w:rPr>
        <w:t xml:space="preserve">compliance with human rights standards, while directly supporting </w:t>
      </w:r>
      <w:r w:rsidR="00D21661" w:rsidRPr="00D341ED">
        <w:rPr>
          <w:lang w:val="en-GB"/>
        </w:rPr>
        <w:t xml:space="preserve">persons </w:t>
      </w:r>
      <w:r w:rsidRPr="00D341ED">
        <w:rPr>
          <w:lang w:val="en-GB"/>
        </w:rPr>
        <w:t>with disabilities</w:t>
      </w:r>
      <w:r w:rsidR="00C35CCF" w:rsidRPr="00D341ED">
        <w:rPr>
          <w:lang w:val="en-GB"/>
        </w:rPr>
        <w:t>, the LGBTQI community and other at-risk groups</w:t>
      </w:r>
      <w:r w:rsidRPr="00D341ED">
        <w:rPr>
          <w:lang w:val="en-GB"/>
        </w:rPr>
        <w:t>, and promote d</w:t>
      </w:r>
      <w:r w:rsidR="00C35CCF" w:rsidRPr="00D341ED">
        <w:rPr>
          <w:lang w:val="en-GB"/>
        </w:rPr>
        <w:t>iversity and tolerance as positive social values</w:t>
      </w:r>
      <w:r w:rsidRPr="00D341ED">
        <w:rPr>
          <w:lang w:val="en-GB"/>
        </w:rPr>
        <w:t>;</w:t>
      </w:r>
      <w:r w:rsidR="00C35CCF" w:rsidRPr="00D341ED">
        <w:rPr>
          <w:lang w:val="en-GB"/>
        </w:rPr>
        <w:t xml:space="preserve"> </w:t>
      </w:r>
    </w:p>
    <w:p w14:paraId="69DDD5FD" w14:textId="77777777" w:rsidR="00C45931" w:rsidRPr="00D341ED" w:rsidRDefault="00C45931" w:rsidP="009A5A8A">
      <w:pPr>
        <w:pStyle w:val="ListParagraph"/>
        <w:ind w:left="1980"/>
        <w:rPr>
          <w:sz w:val="12"/>
          <w:szCs w:val="12"/>
          <w:lang w:val="en-GB"/>
        </w:rPr>
      </w:pPr>
    </w:p>
    <w:p w14:paraId="7786CF5F" w14:textId="2C1B108B" w:rsidR="009524D2" w:rsidRPr="00D341ED" w:rsidRDefault="00F76CD0" w:rsidP="009A5A8A">
      <w:pPr>
        <w:pStyle w:val="ListParagraph"/>
        <w:numPr>
          <w:ilvl w:val="2"/>
          <w:numId w:val="28"/>
        </w:numPr>
        <w:tabs>
          <w:tab w:val="left" w:pos="1620"/>
        </w:tabs>
        <w:ind w:left="1980" w:right="1210"/>
        <w:contextualSpacing/>
        <w:jc w:val="both"/>
        <w:rPr>
          <w:lang w:val="en-GB"/>
        </w:rPr>
      </w:pPr>
      <w:r w:rsidRPr="00D341ED">
        <w:rPr>
          <w:lang w:val="en-GB"/>
        </w:rPr>
        <w:t>W</w:t>
      </w:r>
      <w:r w:rsidR="00C35CCF" w:rsidRPr="00D341ED">
        <w:rPr>
          <w:lang w:val="en-GB"/>
        </w:rPr>
        <w:t>ork with U</w:t>
      </w:r>
      <w:r w:rsidRPr="00D341ED">
        <w:rPr>
          <w:lang w:val="en-GB"/>
        </w:rPr>
        <w:t xml:space="preserve">nited </w:t>
      </w:r>
      <w:r w:rsidR="00C35CCF" w:rsidRPr="00D341ED">
        <w:rPr>
          <w:lang w:val="en-GB"/>
        </w:rPr>
        <w:t>N</w:t>
      </w:r>
      <w:r w:rsidRPr="00D341ED">
        <w:rPr>
          <w:lang w:val="en-GB"/>
        </w:rPr>
        <w:t>ations</w:t>
      </w:r>
      <w:r w:rsidR="00C35CCF" w:rsidRPr="00D341ED">
        <w:rPr>
          <w:lang w:val="en-GB"/>
        </w:rPr>
        <w:t xml:space="preserve"> partner</w:t>
      </w:r>
      <w:r w:rsidR="003C40D2" w:rsidRPr="00D341ED">
        <w:rPr>
          <w:lang w:val="en-GB"/>
        </w:rPr>
        <w:t>s</w:t>
      </w:r>
      <w:r w:rsidR="00C35CCF" w:rsidRPr="00D341ED">
        <w:rPr>
          <w:lang w:val="en-GB"/>
        </w:rPr>
        <w:t xml:space="preserve"> to advance gender equality</w:t>
      </w:r>
      <w:r w:rsidR="009524D2" w:rsidRPr="00D341ED">
        <w:rPr>
          <w:lang w:val="en-GB"/>
        </w:rPr>
        <w:t xml:space="preserve"> in </w:t>
      </w:r>
      <w:r w:rsidR="00EE02EA" w:rsidRPr="00D341ED">
        <w:rPr>
          <w:lang w:val="en-GB"/>
        </w:rPr>
        <w:t xml:space="preserve">three main </w:t>
      </w:r>
      <w:r w:rsidR="009524D2" w:rsidRPr="00D341ED">
        <w:rPr>
          <w:lang w:val="en-GB"/>
        </w:rPr>
        <w:t>areas:</w:t>
      </w:r>
    </w:p>
    <w:p w14:paraId="41FF601E" w14:textId="77777777" w:rsidR="00D63025" w:rsidRPr="00D341ED" w:rsidRDefault="00D63025" w:rsidP="00D341ED">
      <w:pPr>
        <w:pStyle w:val="ListParagraph"/>
        <w:tabs>
          <w:tab w:val="left" w:pos="1620"/>
        </w:tabs>
        <w:ind w:right="1210"/>
        <w:contextualSpacing/>
        <w:jc w:val="both"/>
        <w:rPr>
          <w:sz w:val="12"/>
          <w:szCs w:val="12"/>
          <w:lang w:val="en-GB"/>
        </w:rPr>
      </w:pPr>
    </w:p>
    <w:p w14:paraId="6D6ADD36" w14:textId="308029E5" w:rsidR="009524D2" w:rsidRPr="00D341ED" w:rsidRDefault="009524D2" w:rsidP="00D341ED">
      <w:pPr>
        <w:pStyle w:val="ListParagraph"/>
        <w:numPr>
          <w:ilvl w:val="3"/>
          <w:numId w:val="31"/>
        </w:numPr>
        <w:tabs>
          <w:tab w:val="left" w:pos="1620"/>
        </w:tabs>
        <w:ind w:right="1210"/>
        <w:contextualSpacing/>
        <w:jc w:val="both"/>
        <w:rPr>
          <w:lang w:val="en-GB"/>
        </w:rPr>
      </w:pPr>
      <w:r w:rsidRPr="00D341ED">
        <w:rPr>
          <w:lang w:val="en-GB"/>
        </w:rPr>
        <w:t>P</w:t>
      </w:r>
      <w:r w:rsidR="00C35CCF" w:rsidRPr="00D341ED">
        <w:rPr>
          <w:lang w:val="en-GB"/>
        </w:rPr>
        <w:t xml:space="preserve">romoting </w:t>
      </w:r>
      <w:r w:rsidR="003C40D2" w:rsidRPr="00D341ED">
        <w:rPr>
          <w:lang w:val="en-GB"/>
        </w:rPr>
        <w:t xml:space="preserve">women’s </w:t>
      </w:r>
      <w:r w:rsidR="00C35CCF" w:rsidRPr="00D341ED">
        <w:rPr>
          <w:lang w:val="en-GB"/>
        </w:rPr>
        <w:t xml:space="preserve">political participation, particularly at local level, where a </w:t>
      </w:r>
      <w:r w:rsidR="00E07FD2" w:rsidRPr="00D341ED">
        <w:rPr>
          <w:lang w:val="en-GB"/>
        </w:rPr>
        <w:t xml:space="preserve">gender </w:t>
      </w:r>
      <w:r w:rsidR="00C35CCF" w:rsidRPr="00D341ED">
        <w:rPr>
          <w:lang w:val="en-GB"/>
        </w:rPr>
        <w:t xml:space="preserve">quota </w:t>
      </w:r>
      <w:r w:rsidR="003C40D2" w:rsidRPr="00D341ED">
        <w:rPr>
          <w:lang w:val="en-GB"/>
        </w:rPr>
        <w:t xml:space="preserve">applies for </w:t>
      </w:r>
      <w:r w:rsidR="00EE02EA" w:rsidRPr="00D341ED">
        <w:rPr>
          <w:lang w:val="en-GB"/>
        </w:rPr>
        <w:t xml:space="preserve">the </w:t>
      </w:r>
      <w:r w:rsidR="00C35CCF" w:rsidRPr="00D341ED">
        <w:rPr>
          <w:lang w:val="en-GB"/>
        </w:rPr>
        <w:t>2021 municipal elections</w:t>
      </w:r>
      <w:r w:rsidR="00F76CD0" w:rsidRPr="00D341ED">
        <w:rPr>
          <w:lang w:val="en-GB"/>
        </w:rPr>
        <w:t xml:space="preserve">; </w:t>
      </w:r>
    </w:p>
    <w:p w14:paraId="7DBED0C4" w14:textId="707EBF98" w:rsidR="00EE02EA" w:rsidRPr="00D341ED" w:rsidRDefault="009524D2" w:rsidP="00D341ED">
      <w:pPr>
        <w:pStyle w:val="ListParagraph"/>
        <w:numPr>
          <w:ilvl w:val="3"/>
          <w:numId w:val="31"/>
        </w:numPr>
        <w:tabs>
          <w:tab w:val="left" w:pos="1620"/>
        </w:tabs>
        <w:ind w:right="1210"/>
        <w:contextualSpacing/>
        <w:jc w:val="both"/>
        <w:rPr>
          <w:lang w:val="en-GB"/>
        </w:rPr>
      </w:pPr>
      <w:r w:rsidRPr="00D341ED">
        <w:rPr>
          <w:lang w:val="en-GB"/>
        </w:rPr>
        <w:t>S</w:t>
      </w:r>
      <w:r w:rsidR="00C35CCF" w:rsidRPr="00D341ED">
        <w:rPr>
          <w:lang w:val="en-GB"/>
        </w:rPr>
        <w:t>eek</w:t>
      </w:r>
      <w:r w:rsidR="00EE02EA" w:rsidRPr="00D341ED">
        <w:rPr>
          <w:lang w:val="en-GB"/>
        </w:rPr>
        <w:t>ing</w:t>
      </w:r>
      <w:r w:rsidR="00C35CCF" w:rsidRPr="00D341ED">
        <w:rPr>
          <w:lang w:val="en-GB"/>
        </w:rPr>
        <w:t xml:space="preserve"> to expand women’s opportunities for skills development and employment and reduce the gender wage gap</w:t>
      </w:r>
      <w:r w:rsidR="00F76CD0" w:rsidRPr="00D341ED">
        <w:rPr>
          <w:lang w:val="en-GB"/>
        </w:rPr>
        <w:t xml:space="preserve">; </w:t>
      </w:r>
      <w:r w:rsidR="00EE02EA" w:rsidRPr="00D341ED">
        <w:rPr>
          <w:lang w:val="en-GB"/>
        </w:rPr>
        <w:t>and</w:t>
      </w:r>
    </w:p>
    <w:p w14:paraId="20EC5EEA" w14:textId="081338C2" w:rsidR="00C35CCF" w:rsidRPr="00D341ED" w:rsidRDefault="00EE02EA" w:rsidP="00D341ED">
      <w:pPr>
        <w:pStyle w:val="ListParagraph"/>
        <w:numPr>
          <w:ilvl w:val="3"/>
          <w:numId w:val="31"/>
        </w:numPr>
        <w:tabs>
          <w:tab w:val="left" w:pos="1620"/>
        </w:tabs>
        <w:ind w:right="1210"/>
        <w:contextualSpacing/>
        <w:jc w:val="both"/>
        <w:rPr>
          <w:lang w:val="en-GB"/>
        </w:rPr>
      </w:pPr>
      <w:r w:rsidRPr="00D341ED">
        <w:rPr>
          <w:lang w:val="en-GB"/>
        </w:rPr>
        <w:lastRenderedPageBreak/>
        <w:t>B</w:t>
      </w:r>
      <w:r w:rsidR="00C35CCF" w:rsidRPr="00D341ED">
        <w:rPr>
          <w:lang w:val="en-GB"/>
        </w:rPr>
        <w:t xml:space="preserve">uilding the foundations of a care economy, </w:t>
      </w:r>
      <w:r w:rsidRPr="00D341ED">
        <w:rPr>
          <w:lang w:val="en-GB"/>
        </w:rPr>
        <w:t xml:space="preserve">demonstrating </w:t>
      </w:r>
      <w:r w:rsidR="00C35CCF" w:rsidRPr="00D341ED">
        <w:rPr>
          <w:lang w:val="en-GB"/>
        </w:rPr>
        <w:t>that public spending on care services is an investment with a triple payoff: new jobs for women</w:t>
      </w:r>
      <w:r w:rsidR="00F76CD0" w:rsidRPr="00D341ED">
        <w:rPr>
          <w:lang w:val="en-GB"/>
        </w:rPr>
        <w:t>,</w:t>
      </w:r>
      <w:r w:rsidR="00C35CCF" w:rsidRPr="00D341ED">
        <w:rPr>
          <w:lang w:val="en-GB"/>
        </w:rPr>
        <w:t xml:space="preserve"> improved care for vulnerable persons</w:t>
      </w:r>
      <w:r w:rsidR="00F76CD0" w:rsidRPr="00D341ED">
        <w:rPr>
          <w:lang w:val="en-GB"/>
        </w:rPr>
        <w:t>,</w:t>
      </w:r>
      <w:r w:rsidR="00C35CCF" w:rsidRPr="00D341ED">
        <w:rPr>
          <w:lang w:val="en-GB"/>
        </w:rPr>
        <w:t xml:space="preserve"> and relief from </w:t>
      </w:r>
      <w:r w:rsidR="00D21661" w:rsidRPr="00D341ED">
        <w:rPr>
          <w:lang w:val="en-GB"/>
        </w:rPr>
        <w:t xml:space="preserve">the </w:t>
      </w:r>
      <w:r w:rsidR="00C35CCF" w:rsidRPr="00D341ED">
        <w:rPr>
          <w:lang w:val="en-GB"/>
        </w:rPr>
        <w:t>unpaid care work that so often hinders women’s employment</w:t>
      </w:r>
      <w:r w:rsidR="00F76CD0" w:rsidRPr="00D341ED">
        <w:rPr>
          <w:lang w:val="en-GB"/>
        </w:rPr>
        <w:t>; and</w:t>
      </w:r>
      <w:r w:rsidR="00C35CCF" w:rsidRPr="00D341ED">
        <w:rPr>
          <w:lang w:val="en-GB"/>
        </w:rPr>
        <w:t xml:space="preserve"> </w:t>
      </w:r>
    </w:p>
    <w:p w14:paraId="3B7B4B86" w14:textId="77777777" w:rsidR="00C35CCF" w:rsidRPr="00D341ED" w:rsidRDefault="00C35CCF" w:rsidP="009A5A8A">
      <w:pPr>
        <w:tabs>
          <w:tab w:val="left" w:pos="1620"/>
        </w:tabs>
        <w:ind w:left="1980"/>
        <w:rPr>
          <w:sz w:val="12"/>
          <w:szCs w:val="12"/>
          <w:lang w:val="en-GB"/>
        </w:rPr>
      </w:pPr>
    </w:p>
    <w:p w14:paraId="1E397FB1" w14:textId="4849D630" w:rsidR="00C35CCF" w:rsidRPr="00D341ED" w:rsidRDefault="00F76CD0" w:rsidP="009A5A8A">
      <w:pPr>
        <w:pStyle w:val="ListParagraph"/>
        <w:numPr>
          <w:ilvl w:val="2"/>
          <w:numId w:val="28"/>
        </w:numPr>
        <w:tabs>
          <w:tab w:val="left" w:pos="1620"/>
        </w:tabs>
        <w:ind w:left="1980" w:right="1210"/>
        <w:contextualSpacing/>
        <w:jc w:val="both"/>
        <w:rPr>
          <w:lang w:val="en-GB"/>
        </w:rPr>
      </w:pPr>
      <w:r w:rsidRPr="00D341ED">
        <w:rPr>
          <w:lang w:val="en-GB"/>
        </w:rPr>
        <w:t>Assist in expanding a</w:t>
      </w:r>
      <w:r w:rsidR="00C35CCF" w:rsidRPr="00D341ED">
        <w:rPr>
          <w:lang w:val="en-GB"/>
        </w:rPr>
        <w:t xml:space="preserve">ccess to justice by making mediation and other forms of alternative dispute resolution more readily available.  </w:t>
      </w:r>
    </w:p>
    <w:p w14:paraId="3A0FF5F2" w14:textId="77777777" w:rsidR="00C35CCF" w:rsidRPr="00D341ED" w:rsidRDefault="00C35CCF" w:rsidP="009A5A8A">
      <w:pPr>
        <w:pStyle w:val="ListParagraph"/>
        <w:tabs>
          <w:tab w:val="left" w:pos="1620"/>
        </w:tabs>
        <w:ind w:left="1980"/>
        <w:rPr>
          <w:sz w:val="12"/>
          <w:szCs w:val="12"/>
          <w:lang w:val="en-GB"/>
        </w:rPr>
      </w:pPr>
    </w:p>
    <w:p w14:paraId="02D2E666" w14:textId="697891CF" w:rsidR="003F142C" w:rsidRPr="00D341ED" w:rsidRDefault="00286EB6" w:rsidP="009A5A8A">
      <w:pPr>
        <w:pStyle w:val="ListParagraph"/>
        <w:numPr>
          <w:ilvl w:val="0"/>
          <w:numId w:val="29"/>
        </w:numPr>
        <w:tabs>
          <w:tab w:val="left" w:pos="1260"/>
          <w:tab w:val="left" w:pos="1620"/>
        </w:tabs>
        <w:ind w:right="1210"/>
        <w:contextualSpacing/>
        <w:jc w:val="both"/>
        <w:rPr>
          <w:lang w:val="en-GB"/>
        </w:rPr>
      </w:pPr>
      <w:r w:rsidRPr="00D341ED">
        <w:rPr>
          <w:b/>
          <w:bCs/>
          <w:lang w:val="en-GB"/>
        </w:rPr>
        <w:t>Safeguarding a green, clean and climate-</w:t>
      </w:r>
      <w:r w:rsidR="00723527" w:rsidRPr="00D341ED">
        <w:rPr>
          <w:b/>
          <w:bCs/>
          <w:lang w:val="en-GB"/>
        </w:rPr>
        <w:t xml:space="preserve">resilient environment. </w:t>
      </w:r>
      <w:r w:rsidR="003F142C" w:rsidRPr="00D341ED">
        <w:rPr>
          <w:lang w:val="en-GB"/>
        </w:rPr>
        <w:t xml:space="preserve">UNDP will continue to assist in providing policy advice, legislative support and </w:t>
      </w:r>
      <w:r w:rsidR="00013601" w:rsidRPr="00D341ED">
        <w:rPr>
          <w:lang w:val="en-GB"/>
        </w:rPr>
        <w:t xml:space="preserve">practical </w:t>
      </w:r>
      <w:r w:rsidR="003F142C" w:rsidRPr="00D341ED">
        <w:rPr>
          <w:lang w:val="en-GB"/>
        </w:rPr>
        <w:t xml:space="preserve">work to </w:t>
      </w:r>
      <w:r w:rsidR="00723527" w:rsidRPr="00D341ED">
        <w:rPr>
          <w:lang w:val="en-GB"/>
        </w:rPr>
        <w:t xml:space="preserve">help Georgia </w:t>
      </w:r>
      <w:r w:rsidR="003F142C" w:rsidRPr="00D341ED">
        <w:rPr>
          <w:lang w:val="en-GB"/>
        </w:rPr>
        <w:t xml:space="preserve">fulfil </w:t>
      </w:r>
      <w:r w:rsidR="00723527" w:rsidRPr="00D341ED">
        <w:rPr>
          <w:lang w:val="en-GB"/>
        </w:rPr>
        <w:t xml:space="preserve">its </w:t>
      </w:r>
      <w:r w:rsidR="003F142C" w:rsidRPr="00D341ED">
        <w:rPr>
          <w:lang w:val="en-GB"/>
        </w:rPr>
        <w:t>commitments on climate change and reduce carbon emissions</w:t>
      </w:r>
      <w:r w:rsidR="00B32455" w:rsidRPr="00D341ED">
        <w:rPr>
          <w:lang w:val="en-GB"/>
        </w:rPr>
        <w:t xml:space="preserve"> across all sectors</w:t>
      </w:r>
      <w:r w:rsidR="003F142C" w:rsidRPr="00D341ED">
        <w:rPr>
          <w:lang w:val="en-GB"/>
        </w:rPr>
        <w:t xml:space="preserve">. It will </w:t>
      </w:r>
      <w:r w:rsidR="00723527" w:rsidRPr="00D341ED">
        <w:rPr>
          <w:lang w:val="en-GB"/>
        </w:rPr>
        <w:t xml:space="preserve">work with central and local partners to </w:t>
      </w:r>
      <w:r w:rsidR="003F142C" w:rsidRPr="00D341ED">
        <w:rPr>
          <w:lang w:val="en-GB"/>
        </w:rPr>
        <w:t>improve the management and financial sustainability of protected areas</w:t>
      </w:r>
      <w:r w:rsidR="00013601" w:rsidRPr="00D341ED">
        <w:rPr>
          <w:lang w:val="en-GB"/>
        </w:rPr>
        <w:t xml:space="preserve"> and </w:t>
      </w:r>
      <w:r w:rsidR="00B32455" w:rsidRPr="00D341ED">
        <w:rPr>
          <w:lang w:val="en-GB"/>
        </w:rPr>
        <w:t xml:space="preserve">promote </w:t>
      </w:r>
      <w:r w:rsidR="003F142C" w:rsidRPr="00D341ED">
        <w:rPr>
          <w:lang w:val="en-GB"/>
        </w:rPr>
        <w:t xml:space="preserve">renewable </w:t>
      </w:r>
      <w:r w:rsidR="00B32455" w:rsidRPr="00D341ED">
        <w:rPr>
          <w:lang w:val="en-GB"/>
        </w:rPr>
        <w:t xml:space="preserve">technologies </w:t>
      </w:r>
      <w:r w:rsidR="003F142C" w:rsidRPr="00D341ED">
        <w:rPr>
          <w:lang w:val="en-GB"/>
        </w:rPr>
        <w:t>and energy-efficient solutions</w:t>
      </w:r>
      <w:r w:rsidRPr="00D341ED">
        <w:rPr>
          <w:lang w:val="en-GB"/>
        </w:rPr>
        <w:t>.</w:t>
      </w:r>
      <w:r w:rsidR="00723527" w:rsidRPr="00D341ED">
        <w:rPr>
          <w:lang w:val="en-GB"/>
        </w:rPr>
        <w:t xml:space="preserve"> </w:t>
      </w:r>
      <w:r w:rsidR="00D21661" w:rsidRPr="00D341ED">
        <w:rPr>
          <w:lang w:val="en-GB"/>
        </w:rPr>
        <w:t xml:space="preserve">UNDP </w:t>
      </w:r>
      <w:r w:rsidR="00414033" w:rsidRPr="00D341ED">
        <w:rPr>
          <w:lang w:val="en-GB"/>
        </w:rPr>
        <w:t>will support s</w:t>
      </w:r>
      <w:r w:rsidR="00723527" w:rsidRPr="00D341ED">
        <w:rPr>
          <w:lang w:val="en-GB"/>
        </w:rPr>
        <w:t>ustainable consumption, building on E</w:t>
      </w:r>
      <w:r w:rsidR="00414033" w:rsidRPr="00D341ED">
        <w:rPr>
          <w:lang w:val="en-GB"/>
        </w:rPr>
        <w:t xml:space="preserve">uropean </w:t>
      </w:r>
      <w:r w:rsidR="00723527" w:rsidRPr="00D341ED">
        <w:rPr>
          <w:lang w:val="en-GB"/>
        </w:rPr>
        <w:t>U</w:t>
      </w:r>
      <w:r w:rsidR="00414033" w:rsidRPr="00D341ED">
        <w:rPr>
          <w:lang w:val="en-GB"/>
        </w:rPr>
        <w:t>nion</w:t>
      </w:r>
      <w:r w:rsidR="00723527" w:rsidRPr="00D341ED">
        <w:rPr>
          <w:lang w:val="en-GB"/>
        </w:rPr>
        <w:t xml:space="preserve">-backed concepts such as the circular economy and extended producer responsibility. </w:t>
      </w:r>
      <w:r w:rsidR="003F142C" w:rsidRPr="00D341ED">
        <w:rPr>
          <w:lang w:val="en-GB"/>
        </w:rPr>
        <w:t xml:space="preserve">The core focus </w:t>
      </w:r>
      <w:r w:rsidR="00723527" w:rsidRPr="00D341ED">
        <w:rPr>
          <w:lang w:val="en-GB"/>
        </w:rPr>
        <w:t xml:space="preserve">of </w:t>
      </w:r>
      <w:r w:rsidR="00082F85" w:rsidRPr="00D341ED">
        <w:rPr>
          <w:lang w:val="en-GB"/>
        </w:rPr>
        <w:t xml:space="preserve">environmental work </w:t>
      </w:r>
      <w:r w:rsidR="003F142C" w:rsidRPr="00D341ED">
        <w:rPr>
          <w:lang w:val="en-GB"/>
        </w:rPr>
        <w:t xml:space="preserve">will be a </w:t>
      </w:r>
      <w:r w:rsidR="00723527" w:rsidRPr="00D341ED">
        <w:rPr>
          <w:lang w:val="en-GB"/>
        </w:rPr>
        <w:t xml:space="preserve">seven-year, </w:t>
      </w:r>
      <w:r w:rsidR="00EF51A9" w:rsidRPr="00D341ED">
        <w:rPr>
          <w:lang w:val="en-GB"/>
        </w:rPr>
        <w:t>$</w:t>
      </w:r>
      <w:r w:rsidR="003F142C" w:rsidRPr="00D341ED">
        <w:rPr>
          <w:lang w:val="en-GB"/>
        </w:rPr>
        <w:t>74</w:t>
      </w:r>
      <w:r w:rsidR="00414033" w:rsidRPr="00D341ED">
        <w:rPr>
          <w:lang w:val="en-GB"/>
        </w:rPr>
        <w:t> </w:t>
      </w:r>
      <w:r w:rsidR="003F142C" w:rsidRPr="00D341ED">
        <w:rPr>
          <w:lang w:val="en-GB"/>
        </w:rPr>
        <w:t>million programme</w:t>
      </w:r>
      <w:r w:rsidR="00013601" w:rsidRPr="00D341ED">
        <w:rPr>
          <w:lang w:val="en-GB"/>
        </w:rPr>
        <w:t xml:space="preserve"> </w:t>
      </w:r>
      <w:r w:rsidR="003F142C" w:rsidRPr="00D341ED">
        <w:rPr>
          <w:lang w:val="en-GB"/>
        </w:rPr>
        <w:t xml:space="preserve">to prevent </w:t>
      </w:r>
      <w:r w:rsidR="00723527" w:rsidRPr="00D341ED">
        <w:rPr>
          <w:lang w:val="en-GB"/>
        </w:rPr>
        <w:t xml:space="preserve">floods and other forms of </w:t>
      </w:r>
      <w:r w:rsidR="003F142C" w:rsidRPr="00D341ED">
        <w:rPr>
          <w:lang w:val="en-GB"/>
        </w:rPr>
        <w:t>climate-driven disasters</w:t>
      </w:r>
      <w:r w:rsidR="00723527" w:rsidRPr="00D341ED">
        <w:rPr>
          <w:lang w:val="en-GB"/>
        </w:rPr>
        <w:t xml:space="preserve"> across all </w:t>
      </w:r>
      <w:r w:rsidR="00424F00" w:rsidRPr="00D341ED">
        <w:rPr>
          <w:lang w:val="en-GB"/>
        </w:rPr>
        <w:t xml:space="preserve">the </w:t>
      </w:r>
      <w:r w:rsidR="00723527" w:rsidRPr="00D341ED">
        <w:rPr>
          <w:lang w:val="en-GB"/>
        </w:rPr>
        <w:t xml:space="preserve">regions of the country. </w:t>
      </w:r>
      <w:r w:rsidR="00D21661" w:rsidRPr="00D341ED">
        <w:rPr>
          <w:lang w:val="en-GB"/>
        </w:rPr>
        <w:t>Measures to c</w:t>
      </w:r>
      <w:r w:rsidR="00723527" w:rsidRPr="00D341ED">
        <w:rPr>
          <w:lang w:val="en-GB"/>
        </w:rPr>
        <w:t xml:space="preserve">limate-proof Georgia will </w:t>
      </w:r>
      <w:r w:rsidR="00D21661" w:rsidRPr="00D341ED">
        <w:rPr>
          <w:lang w:val="en-GB"/>
        </w:rPr>
        <w:t xml:space="preserve">include </w:t>
      </w:r>
      <w:r w:rsidR="00723527" w:rsidRPr="00D341ED">
        <w:rPr>
          <w:lang w:val="en-GB"/>
        </w:rPr>
        <w:t xml:space="preserve">completing </w:t>
      </w:r>
      <w:r w:rsidR="003F142C" w:rsidRPr="00D341ED">
        <w:rPr>
          <w:lang w:val="en-GB"/>
        </w:rPr>
        <w:t xml:space="preserve">risk-and-hazard mapping of </w:t>
      </w:r>
      <w:r w:rsidR="00723527" w:rsidRPr="00D341ED">
        <w:rPr>
          <w:lang w:val="en-GB"/>
        </w:rPr>
        <w:t xml:space="preserve">all </w:t>
      </w:r>
      <w:r w:rsidR="003F142C" w:rsidRPr="00D341ED">
        <w:rPr>
          <w:lang w:val="en-GB"/>
        </w:rPr>
        <w:t xml:space="preserve">11 </w:t>
      </w:r>
      <w:r w:rsidR="00723527" w:rsidRPr="00D341ED">
        <w:rPr>
          <w:lang w:val="en-GB"/>
        </w:rPr>
        <w:t xml:space="preserve">major </w:t>
      </w:r>
      <w:r w:rsidR="003F142C" w:rsidRPr="00D341ED">
        <w:rPr>
          <w:lang w:val="en-GB"/>
        </w:rPr>
        <w:t xml:space="preserve">river basins, establishing a nationwide </w:t>
      </w:r>
      <w:r w:rsidR="00424F00" w:rsidRPr="00D341ED">
        <w:rPr>
          <w:lang w:val="en-GB"/>
        </w:rPr>
        <w:t xml:space="preserve">multi-hazard </w:t>
      </w:r>
      <w:r w:rsidR="003F142C" w:rsidRPr="00D341ED">
        <w:rPr>
          <w:lang w:val="en-GB"/>
        </w:rPr>
        <w:t>early</w:t>
      </w:r>
      <w:r w:rsidR="00414033" w:rsidRPr="00D341ED">
        <w:rPr>
          <w:lang w:val="en-GB"/>
        </w:rPr>
        <w:t xml:space="preserve"> </w:t>
      </w:r>
      <w:r w:rsidR="003F142C" w:rsidRPr="00D341ED">
        <w:rPr>
          <w:lang w:val="en-GB"/>
        </w:rPr>
        <w:t>warning system</w:t>
      </w:r>
      <w:r w:rsidR="00723527" w:rsidRPr="00D341ED">
        <w:rPr>
          <w:lang w:val="en-GB"/>
        </w:rPr>
        <w:t>,</w:t>
      </w:r>
      <w:r w:rsidR="003F142C" w:rsidRPr="00D341ED">
        <w:rPr>
          <w:lang w:val="en-GB"/>
        </w:rPr>
        <w:t xml:space="preserve"> constructing nature-based protective solutions for at least 100 high-risk </w:t>
      </w:r>
      <w:r w:rsidR="00723527" w:rsidRPr="00D341ED">
        <w:rPr>
          <w:lang w:val="en-GB"/>
        </w:rPr>
        <w:t>locations, and building climate resilience at the community level</w:t>
      </w:r>
      <w:r w:rsidR="003F142C" w:rsidRPr="00D341ED">
        <w:rPr>
          <w:lang w:val="en-GB"/>
        </w:rPr>
        <w:t xml:space="preserve">. </w:t>
      </w:r>
    </w:p>
    <w:p w14:paraId="5856CC7A" w14:textId="77777777" w:rsidR="003F142C" w:rsidRPr="00D341ED" w:rsidRDefault="003F142C" w:rsidP="00AD0369">
      <w:pPr>
        <w:pStyle w:val="ListParagraph"/>
        <w:tabs>
          <w:tab w:val="left" w:pos="1260"/>
          <w:tab w:val="left" w:pos="1620"/>
        </w:tabs>
        <w:ind w:left="1260" w:right="1210"/>
        <w:contextualSpacing/>
        <w:jc w:val="both"/>
        <w:rPr>
          <w:sz w:val="12"/>
          <w:szCs w:val="12"/>
          <w:lang w:val="en-GB"/>
        </w:rPr>
      </w:pPr>
    </w:p>
    <w:p w14:paraId="70FB4095" w14:textId="5743CE96" w:rsidR="002E2B78" w:rsidRPr="00D341ED" w:rsidRDefault="00C35CCF" w:rsidP="009A5A8A">
      <w:pPr>
        <w:pStyle w:val="ListParagraph"/>
        <w:numPr>
          <w:ilvl w:val="0"/>
          <w:numId w:val="29"/>
        </w:numPr>
        <w:tabs>
          <w:tab w:val="left" w:pos="1260"/>
          <w:tab w:val="left" w:pos="1620"/>
        </w:tabs>
        <w:ind w:right="1210"/>
        <w:contextualSpacing/>
        <w:jc w:val="both"/>
        <w:rPr>
          <w:lang w:val="en-GB"/>
        </w:rPr>
      </w:pPr>
      <w:r w:rsidRPr="00D341ED">
        <w:rPr>
          <w:b/>
          <w:bCs/>
          <w:lang w:val="en-GB"/>
        </w:rPr>
        <w:t xml:space="preserve">Unlocking the potential of rural areas. </w:t>
      </w:r>
      <w:r w:rsidRPr="00D341ED">
        <w:rPr>
          <w:lang w:val="en-GB"/>
        </w:rPr>
        <w:t>UNDP will take a two-pronged approach to bridging the urban-rural divide: helping rural communities use the legal framework for decentralization to improve soc</w:t>
      </w:r>
      <w:r w:rsidR="00C2305A" w:rsidRPr="00D341ED">
        <w:rPr>
          <w:lang w:val="en-GB"/>
        </w:rPr>
        <w:t>io</w:t>
      </w:r>
      <w:r w:rsidRPr="00D341ED">
        <w:rPr>
          <w:lang w:val="en-GB"/>
        </w:rPr>
        <w:t>economic prospects</w:t>
      </w:r>
      <w:r w:rsidR="00013601" w:rsidRPr="00D341ED">
        <w:rPr>
          <w:lang w:val="en-GB"/>
        </w:rPr>
        <w:t xml:space="preserve"> </w:t>
      </w:r>
      <w:r w:rsidRPr="00D341ED">
        <w:rPr>
          <w:lang w:val="en-GB"/>
        </w:rPr>
        <w:t>while professionalizing farming and improving agricultural productivity. Reform of the vocational training system</w:t>
      </w:r>
      <w:r w:rsidR="00013601" w:rsidRPr="00D341ED">
        <w:rPr>
          <w:lang w:val="en-GB"/>
        </w:rPr>
        <w:t xml:space="preserve"> </w:t>
      </w:r>
      <w:r w:rsidRPr="00D341ED">
        <w:rPr>
          <w:lang w:val="en-GB"/>
        </w:rPr>
        <w:t xml:space="preserve">will aim to provide rural youth with the </w:t>
      </w:r>
      <w:r w:rsidR="00C61947" w:rsidRPr="00D341ED">
        <w:rPr>
          <w:lang w:val="en-GB"/>
        </w:rPr>
        <w:t xml:space="preserve">technical, digital and soft </w:t>
      </w:r>
      <w:r w:rsidRPr="00D341ED">
        <w:rPr>
          <w:lang w:val="en-GB"/>
        </w:rPr>
        <w:t xml:space="preserve">skills needed to thrive in the private sector. </w:t>
      </w:r>
      <w:r w:rsidR="00C2305A" w:rsidRPr="00D341ED">
        <w:rPr>
          <w:lang w:val="en-GB"/>
        </w:rPr>
        <w:t xml:space="preserve">Diversification of </w:t>
      </w:r>
      <w:r w:rsidRPr="00D341ED">
        <w:rPr>
          <w:lang w:val="en-GB"/>
        </w:rPr>
        <w:t xml:space="preserve">the rural economic landscape will continue, both by promoting non-farm livelihoods and building municipal capacity to plan and manage local economic development from the bottom up. </w:t>
      </w:r>
      <w:r w:rsidR="006A014C" w:rsidRPr="00D341ED">
        <w:rPr>
          <w:lang w:val="en-GB"/>
        </w:rPr>
        <w:t>P</w:t>
      </w:r>
      <w:r w:rsidRPr="00D341ED">
        <w:rPr>
          <w:lang w:val="en-GB"/>
        </w:rPr>
        <w:t xml:space="preserve">rivate-sector competitiveness </w:t>
      </w:r>
      <w:r w:rsidR="006A014C" w:rsidRPr="00D341ED">
        <w:rPr>
          <w:lang w:val="en-GB"/>
        </w:rPr>
        <w:t xml:space="preserve">will be improved </w:t>
      </w:r>
      <w:r w:rsidRPr="00D341ED">
        <w:rPr>
          <w:lang w:val="en-GB"/>
        </w:rPr>
        <w:t xml:space="preserve">by applying </w:t>
      </w:r>
      <w:r w:rsidR="00661780" w:rsidRPr="00D341ED">
        <w:rPr>
          <w:lang w:val="en-GB"/>
        </w:rPr>
        <w:t xml:space="preserve">approaches </w:t>
      </w:r>
      <w:r w:rsidRPr="00D341ED">
        <w:rPr>
          <w:lang w:val="en-GB"/>
        </w:rPr>
        <w:t>such as value</w:t>
      </w:r>
      <w:r w:rsidR="000715B9" w:rsidRPr="00D341ED">
        <w:rPr>
          <w:lang w:val="en-GB"/>
        </w:rPr>
        <w:t>-</w:t>
      </w:r>
      <w:r w:rsidRPr="00D341ED">
        <w:rPr>
          <w:lang w:val="en-GB"/>
        </w:rPr>
        <w:t>chain</w:t>
      </w:r>
      <w:r w:rsidR="000715B9" w:rsidRPr="00D341ED">
        <w:rPr>
          <w:lang w:val="en-GB"/>
        </w:rPr>
        <w:t xml:space="preserve"> strengthening</w:t>
      </w:r>
      <w:r w:rsidRPr="00D341ED">
        <w:rPr>
          <w:lang w:val="en-GB"/>
        </w:rPr>
        <w:t xml:space="preserve"> and clustering</w:t>
      </w:r>
      <w:r w:rsidR="006A014C" w:rsidRPr="00D341ED">
        <w:rPr>
          <w:lang w:val="en-GB"/>
        </w:rPr>
        <w:t>. D</w:t>
      </w:r>
      <w:r w:rsidRPr="00D341ED">
        <w:rPr>
          <w:lang w:val="en-GB"/>
        </w:rPr>
        <w:t xml:space="preserve">igitalization </w:t>
      </w:r>
      <w:r w:rsidR="006A014C" w:rsidRPr="00D341ED">
        <w:rPr>
          <w:lang w:val="en-GB"/>
        </w:rPr>
        <w:t xml:space="preserve">will be promoted </w:t>
      </w:r>
      <w:r w:rsidRPr="00D341ED">
        <w:rPr>
          <w:lang w:val="en-GB"/>
        </w:rPr>
        <w:t xml:space="preserve">as a way of saving rural jobs and </w:t>
      </w:r>
      <w:r w:rsidR="002B4BB0" w:rsidRPr="00D341ED">
        <w:rPr>
          <w:lang w:val="en-GB"/>
        </w:rPr>
        <w:t xml:space="preserve">overcoming </w:t>
      </w:r>
      <w:r w:rsidRPr="00D341ED">
        <w:rPr>
          <w:lang w:val="en-GB"/>
        </w:rPr>
        <w:t xml:space="preserve">the isolation of village life. Taken together, these efforts </w:t>
      </w:r>
      <w:r w:rsidR="000135B2" w:rsidRPr="00D341ED">
        <w:rPr>
          <w:lang w:val="en-GB"/>
        </w:rPr>
        <w:t xml:space="preserve">will </w:t>
      </w:r>
      <w:r w:rsidRPr="00D341ED">
        <w:rPr>
          <w:lang w:val="en-GB"/>
        </w:rPr>
        <w:t xml:space="preserve">reduce poverty by creating </w:t>
      </w:r>
      <w:r w:rsidR="00714A19" w:rsidRPr="00D341ED">
        <w:rPr>
          <w:lang w:val="en-GB"/>
        </w:rPr>
        <w:t xml:space="preserve">rural </w:t>
      </w:r>
      <w:r w:rsidR="000715B9" w:rsidRPr="00D341ED">
        <w:rPr>
          <w:lang w:val="en-GB"/>
        </w:rPr>
        <w:t xml:space="preserve">jobs </w:t>
      </w:r>
      <w:r w:rsidRPr="00D341ED">
        <w:rPr>
          <w:lang w:val="en-GB"/>
        </w:rPr>
        <w:t xml:space="preserve">and </w:t>
      </w:r>
      <w:r w:rsidR="00661780" w:rsidRPr="00D341ED">
        <w:rPr>
          <w:lang w:val="en-GB"/>
        </w:rPr>
        <w:t>slow e</w:t>
      </w:r>
      <w:r w:rsidRPr="00D341ED">
        <w:rPr>
          <w:lang w:val="en-GB"/>
        </w:rPr>
        <w:t>migration</w:t>
      </w:r>
      <w:r w:rsidR="00EB4BE1" w:rsidRPr="00D341ED">
        <w:rPr>
          <w:lang w:val="en-GB"/>
        </w:rPr>
        <w:t xml:space="preserve"> </w:t>
      </w:r>
      <w:r w:rsidRPr="00D341ED">
        <w:rPr>
          <w:lang w:val="en-GB"/>
        </w:rPr>
        <w:t>by enhancing the attractiveness of life outside Tbilisi.</w:t>
      </w:r>
      <w:r w:rsidR="002E2B78" w:rsidRPr="00D341ED">
        <w:rPr>
          <w:lang w:val="en-GB"/>
        </w:rPr>
        <w:t xml:space="preserve"> </w:t>
      </w:r>
    </w:p>
    <w:p w14:paraId="61829076" w14:textId="77777777" w:rsidR="002E2B78" w:rsidRPr="00D341ED" w:rsidRDefault="002E2B78" w:rsidP="00AD0369">
      <w:pPr>
        <w:pStyle w:val="ListParagraph"/>
        <w:tabs>
          <w:tab w:val="left" w:pos="1260"/>
          <w:tab w:val="left" w:pos="1620"/>
        </w:tabs>
        <w:ind w:left="1260"/>
        <w:rPr>
          <w:sz w:val="12"/>
          <w:szCs w:val="12"/>
          <w:lang w:val="en-GB"/>
        </w:rPr>
      </w:pPr>
    </w:p>
    <w:p w14:paraId="5078CD19" w14:textId="7C19BC93" w:rsidR="000715B9" w:rsidRPr="00D341ED" w:rsidRDefault="00C35CCF" w:rsidP="009A5A8A">
      <w:pPr>
        <w:pStyle w:val="ListParagraph"/>
        <w:numPr>
          <w:ilvl w:val="0"/>
          <w:numId w:val="29"/>
        </w:numPr>
        <w:tabs>
          <w:tab w:val="left" w:pos="1260"/>
          <w:tab w:val="left" w:pos="1620"/>
        </w:tabs>
        <w:ind w:right="1210"/>
        <w:contextualSpacing/>
        <w:jc w:val="both"/>
        <w:rPr>
          <w:lang w:val="en-GB"/>
        </w:rPr>
      </w:pPr>
      <w:r w:rsidRPr="00D341ED">
        <w:rPr>
          <w:b/>
          <w:bCs/>
          <w:lang w:val="en-GB"/>
        </w:rPr>
        <w:t xml:space="preserve">Improving living conditions for conflict-affected people. </w:t>
      </w:r>
      <w:r w:rsidR="00B72C0D" w:rsidRPr="00D341ED">
        <w:rPr>
          <w:lang w:val="en-GB"/>
        </w:rPr>
        <w:t>T</w:t>
      </w:r>
      <w:r w:rsidRPr="00D341ED">
        <w:rPr>
          <w:lang w:val="en-GB"/>
        </w:rPr>
        <w:t>o</w:t>
      </w:r>
      <w:r w:rsidRPr="00D341ED">
        <w:rPr>
          <w:b/>
          <w:bCs/>
          <w:lang w:val="en-GB"/>
        </w:rPr>
        <w:t xml:space="preserve"> </w:t>
      </w:r>
      <w:r w:rsidRPr="00D341ED">
        <w:rPr>
          <w:lang w:val="en-GB"/>
        </w:rPr>
        <w:t xml:space="preserve">create an enabling environment for </w:t>
      </w:r>
      <w:r w:rsidR="00E07FD2" w:rsidRPr="00D341ED">
        <w:rPr>
          <w:lang w:val="en-GB"/>
        </w:rPr>
        <w:t xml:space="preserve">sustainable peace and </w:t>
      </w:r>
      <w:r w:rsidRPr="00D341ED">
        <w:rPr>
          <w:lang w:val="en-GB"/>
        </w:rPr>
        <w:t xml:space="preserve">reconciliation </w:t>
      </w:r>
      <w:r w:rsidR="00E07FD2" w:rsidRPr="00D341ED">
        <w:rPr>
          <w:lang w:val="en-GB"/>
        </w:rPr>
        <w:t>between divided communities</w:t>
      </w:r>
      <w:r w:rsidRPr="00D341ED">
        <w:rPr>
          <w:lang w:val="en-GB"/>
        </w:rPr>
        <w:t xml:space="preserve">, UNDP will </w:t>
      </w:r>
      <w:r w:rsidR="00714A19" w:rsidRPr="00D341ED">
        <w:rPr>
          <w:lang w:val="en-GB"/>
        </w:rPr>
        <w:t xml:space="preserve">work </w:t>
      </w:r>
      <w:r w:rsidRPr="00D341ED">
        <w:rPr>
          <w:lang w:val="en-GB"/>
        </w:rPr>
        <w:t xml:space="preserve">to </w:t>
      </w:r>
      <w:r w:rsidR="00E07FD2" w:rsidRPr="00D341ED">
        <w:rPr>
          <w:lang w:val="en-GB"/>
        </w:rPr>
        <w:t xml:space="preserve">enhance confidence building, </w:t>
      </w:r>
      <w:r w:rsidRPr="00D341ED">
        <w:rPr>
          <w:lang w:val="en-GB"/>
        </w:rPr>
        <w:t>strengthen civil society in conflict-affected areas, and improve people-to-people contacts across divid</w:t>
      </w:r>
      <w:r w:rsidR="00E07FD2" w:rsidRPr="00D341ED">
        <w:rPr>
          <w:lang w:val="en-GB"/>
        </w:rPr>
        <w:t>ing lines</w:t>
      </w:r>
      <w:r w:rsidRPr="00D341ED">
        <w:rPr>
          <w:lang w:val="en-GB"/>
        </w:rPr>
        <w:t>. Provided that access</w:t>
      </w:r>
      <w:r w:rsidR="004F185F" w:rsidRPr="00D341ED">
        <w:rPr>
          <w:lang w:val="en-GB"/>
        </w:rPr>
        <w:t xml:space="preserve"> remains feasible</w:t>
      </w:r>
      <w:r w:rsidRPr="00D341ED">
        <w:rPr>
          <w:lang w:val="en-GB"/>
        </w:rPr>
        <w:t xml:space="preserve">, UNDP will </w:t>
      </w:r>
      <w:r w:rsidR="00154F13" w:rsidRPr="00D341ED">
        <w:rPr>
          <w:lang w:val="en-GB"/>
        </w:rPr>
        <w:t xml:space="preserve">continue to </w:t>
      </w:r>
      <w:r w:rsidRPr="00D341ED">
        <w:rPr>
          <w:lang w:val="en-GB"/>
        </w:rPr>
        <w:t xml:space="preserve">work </w:t>
      </w:r>
      <w:r w:rsidR="00E07FD2" w:rsidRPr="00D341ED">
        <w:rPr>
          <w:lang w:val="en-GB"/>
        </w:rPr>
        <w:t xml:space="preserve">in Abkhazia, Georgia </w:t>
      </w:r>
      <w:r w:rsidRPr="00D341ED">
        <w:rPr>
          <w:lang w:val="en-GB"/>
        </w:rPr>
        <w:t>to enhance the quality of social services and help local communities improve living conditions</w:t>
      </w:r>
      <w:r w:rsidR="00EB4BE1" w:rsidRPr="00D341ED">
        <w:rPr>
          <w:lang w:val="en-GB"/>
        </w:rPr>
        <w:t xml:space="preserve">, including in mitigating the </w:t>
      </w:r>
      <w:r w:rsidR="00B72C0D" w:rsidRPr="00D341ED">
        <w:rPr>
          <w:lang w:val="en-GB"/>
        </w:rPr>
        <w:t xml:space="preserve">pandemic’s </w:t>
      </w:r>
      <w:r w:rsidR="00EB4BE1" w:rsidRPr="00D341ED">
        <w:rPr>
          <w:lang w:val="en-GB"/>
        </w:rPr>
        <w:t xml:space="preserve">socioeconomic impact </w:t>
      </w:r>
      <w:r w:rsidR="005A78AB" w:rsidRPr="00D341ED">
        <w:rPr>
          <w:lang w:val="en-GB"/>
        </w:rPr>
        <w:t>on vulnerable groups</w:t>
      </w:r>
      <w:r w:rsidR="00EB4BE1" w:rsidRPr="00D341ED">
        <w:rPr>
          <w:lang w:val="en-GB"/>
        </w:rPr>
        <w:t xml:space="preserve">. </w:t>
      </w:r>
      <w:r w:rsidRPr="00D341ED">
        <w:rPr>
          <w:lang w:val="en-GB"/>
        </w:rPr>
        <w:t xml:space="preserve">UNDP will also work to reduce flood risks and </w:t>
      </w:r>
      <w:r w:rsidR="004F185F" w:rsidRPr="00D341ED">
        <w:rPr>
          <w:lang w:val="en-GB"/>
        </w:rPr>
        <w:t xml:space="preserve">seek to </w:t>
      </w:r>
      <w:r w:rsidR="009E2C6B" w:rsidRPr="00D341ED">
        <w:rPr>
          <w:lang w:val="en-GB"/>
        </w:rPr>
        <w:t xml:space="preserve">improve </w:t>
      </w:r>
      <w:r w:rsidRPr="00D341ED">
        <w:rPr>
          <w:lang w:val="en-GB"/>
        </w:rPr>
        <w:t>environmental protection (for example</w:t>
      </w:r>
      <w:r w:rsidR="009E2C6B" w:rsidRPr="00D341ED">
        <w:rPr>
          <w:lang w:val="en-GB"/>
        </w:rPr>
        <w:t>,</w:t>
      </w:r>
      <w:r w:rsidRPr="00D341ED">
        <w:rPr>
          <w:lang w:val="en-GB"/>
        </w:rPr>
        <w:t xml:space="preserve"> in waste management and nature protection). UNDP will </w:t>
      </w:r>
      <w:r w:rsidR="00B72C0D" w:rsidRPr="00D341ED">
        <w:rPr>
          <w:lang w:val="en-GB"/>
        </w:rPr>
        <w:t xml:space="preserve">also </w:t>
      </w:r>
      <w:r w:rsidRPr="00D341ED">
        <w:rPr>
          <w:lang w:val="en-GB"/>
        </w:rPr>
        <w:t xml:space="preserve">support IDP communities </w:t>
      </w:r>
      <w:r w:rsidR="00B72C0D" w:rsidRPr="00D341ED">
        <w:rPr>
          <w:lang w:val="en-GB"/>
        </w:rPr>
        <w:t xml:space="preserve">and </w:t>
      </w:r>
      <w:r w:rsidRPr="00D341ED">
        <w:rPr>
          <w:lang w:val="en-GB"/>
        </w:rPr>
        <w:t xml:space="preserve">vulnerable people living along </w:t>
      </w:r>
      <w:r w:rsidR="00145C20" w:rsidRPr="00D341ED">
        <w:rPr>
          <w:lang w:val="en-GB"/>
        </w:rPr>
        <w:t xml:space="preserve">dividing </w:t>
      </w:r>
      <w:r w:rsidRPr="00D341ED">
        <w:rPr>
          <w:lang w:val="en-GB"/>
        </w:rPr>
        <w:t xml:space="preserve">lines, </w:t>
      </w:r>
      <w:r w:rsidR="00EE02EA" w:rsidRPr="00D341ED">
        <w:rPr>
          <w:lang w:val="en-GB"/>
        </w:rPr>
        <w:t xml:space="preserve">with a particular emphasis </w:t>
      </w:r>
      <w:r w:rsidRPr="00D341ED">
        <w:rPr>
          <w:lang w:val="en-GB"/>
        </w:rPr>
        <w:t xml:space="preserve">on </w:t>
      </w:r>
      <w:r w:rsidR="00EE02EA" w:rsidRPr="00D341ED">
        <w:rPr>
          <w:lang w:val="en-GB"/>
        </w:rPr>
        <w:t xml:space="preserve">promoting </w:t>
      </w:r>
      <w:r w:rsidRPr="00D341ED">
        <w:rPr>
          <w:lang w:val="en-GB"/>
        </w:rPr>
        <w:t>economic self-sufficiency</w:t>
      </w:r>
      <w:r w:rsidR="00145C20" w:rsidRPr="00D341ED">
        <w:rPr>
          <w:lang w:val="en-GB"/>
        </w:rPr>
        <w:t xml:space="preserve"> </w:t>
      </w:r>
      <w:r w:rsidRPr="00D341ED">
        <w:rPr>
          <w:lang w:val="en-GB"/>
        </w:rPr>
        <w:t>for women.</w:t>
      </w:r>
      <w:r w:rsidR="000715B9" w:rsidRPr="00D341ED">
        <w:rPr>
          <w:lang w:val="en-GB"/>
        </w:rPr>
        <w:t xml:space="preserve"> Activities will expand to the Tskhinvali region/South Ossetia, Georgia if conditions allow.</w:t>
      </w:r>
    </w:p>
    <w:p w14:paraId="2BA226A1" w14:textId="77777777" w:rsidR="00C35CCF" w:rsidRPr="00D341ED" w:rsidRDefault="00C35CCF" w:rsidP="00F80C39">
      <w:pPr>
        <w:pStyle w:val="ListParagraph"/>
        <w:tabs>
          <w:tab w:val="left" w:pos="1260"/>
          <w:tab w:val="left" w:pos="1620"/>
        </w:tabs>
        <w:spacing w:line="240" w:lineRule="exact"/>
        <w:ind w:left="1260" w:right="1210"/>
        <w:contextualSpacing/>
        <w:jc w:val="both"/>
        <w:rPr>
          <w:color w:val="000000" w:themeColor="text1"/>
          <w:lang w:val="en-GB"/>
        </w:rPr>
      </w:pPr>
    </w:p>
    <w:p w14:paraId="746AB750" w14:textId="2195F226" w:rsidR="0063402B" w:rsidRPr="00D341ED" w:rsidRDefault="0063402B" w:rsidP="004C0138">
      <w:pPr>
        <w:pStyle w:val="Heading1"/>
        <w:tabs>
          <w:tab w:val="left" w:pos="1260"/>
          <w:tab w:val="left" w:pos="1620"/>
          <w:tab w:val="left" w:pos="1800"/>
        </w:tabs>
        <w:spacing w:after="200" w:line="240" w:lineRule="exact"/>
        <w:ind w:left="1260" w:right="1267" w:hanging="540"/>
        <w:jc w:val="both"/>
        <w:rPr>
          <w:rFonts w:ascii="Times New Roman" w:hAnsi="Times New Roman"/>
          <w:color w:val="000000" w:themeColor="text1"/>
          <w:sz w:val="20"/>
          <w:lang w:val="en-GB"/>
        </w:rPr>
      </w:pPr>
      <w:r w:rsidRPr="00D341ED">
        <w:rPr>
          <w:rFonts w:ascii="Times New Roman" w:hAnsi="Times New Roman"/>
          <w:color w:val="000000" w:themeColor="text1"/>
          <w:sz w:val="24"/>
          <w:szCs w:val="24"/>
          <w:lang w:val="en-GB"/>
        </w:rPr>
        <w:t>III.</w:t>
      </w:r>
      <w:r w:rsidR="009B0997" w:rsidRPr="00D341ED">
        <w:rPr>
          <w:rFonts w:ascii="Times New Roman" w:hAnsi="Times New Roman"/>
          <w:color w:val="000000" w:themeColor="text1"/>
          <w:sz w:val="24"/>
          <w:szCs w:val="24"/>
          <w:lang w:val="en-GB"/>
        </w:rPr>
        <w:tab/>
      </w:r>
      <w:r w:rsidRPr="00D341ED">
        <w:rPr>
          <w:rFonts w:ascii="Times New Roman" w:hAnsi="Times New Roman"/>
          <w:color w:val="000000" w:themeColor="text1"/>
          <w:sz w:val="24"/>
          <w:szCs w:val="24"/>
          <w:lang w:val="en-GB"/>
        </w:rPr>
        <w:t xml:space="preserve">Programme and </w:t>
      </w:r>
      <w:r w:rsidR="009B0997" w:rsidRPr="00D341ED">
        <w:rPr>
          <w:rFonts w:ascii="Times New Roman" w:hAnsi="Times New Roman"/>
          <w:color w:val="000000" w:themeColor="text1"/>
          <w:sz w:val="24"/>
          <w:szCs w:val="24"/>
          <w:lang w:val="en-GB"/>
        </w:rPr>
        <w:t>r</w:t>
      </w:r>
      <w:r w:rsidRPr="00D341ED">
        <w:rPr>
          <w:rFonts w:ascii="Times New Roman" w:hAnsi="Times New Roman"/>
          <w:color w:val="000000" w:themeColor="text1"/>
          <w:sz w:val="24"/>
          <w:szCs w:val="24"/>
          <w:lang w:val="en-GB"/>
        </w:rPr>
        <w:t>isk</w:t>
      </w:r>
      <w:r w:rsidR="00AC1BE7" w:rsidRPr="00D341ED">
        <w:rPr>
          <w:rFonts w:ascii="Times New Roman" w:hAnsi="Times New Roman"/>
          <w:color w:val="000000" w:themeColor="text1"/>
          <w:sz w:val="24"/>
          <w:szCs w:val="24"/>
          <w:lang w:val="en-GB"/>
        </w:rPr>
        <w:t xml:space="preserve"> </w:t>
      </w:r>
      <w:r w:rsidR="009B0997" w:rsidRPr="00D341ED">
        <w:rPr>
          <w:rFonts w:ascii="Times New Roman" w:hAnsi="Times New Roman"/>
          <w:color w:val="000000" w:themeColor="text1"/>
          <w:sz w:val="24"/>
          <w:szCs w:val="24"/>
          <w:lang w:val="en-GB"/>
        </w:rPr>
        <w:t>m</w:t>
      </w:r>
      <w:r w:rsidR="001C6C08" w:rsidRPr="00D341ED">
        <w:rPr>
          <w:rFonts w:ascii="Times New Roman" w:hAnsi="Times New Roman"/>
          <w:color w:val="000000" w:themeColor="text1"/>
          <w:sz w:val="24"/>
          <w:szCs w:val="24"/>
          <w:lang w:val="en-GB"/>
        </w:rPr>
        <w:t>anagement</w:t>
      </w:r>
      <w:r w:rsidRPr="00D341ED">
        <w:rPr>
          <w:rFonts w:ascii="Times New Roman" w:hAnsi="Times New Roman"/>
          <w:color w:val="000000" w:themeColor="text1"/>
          <w:sz w:val="24"/>
          <w:szCs w:val="24"/>
          <w:lang w:val="en-GB"/>
        </w:rPr>
        <w:t xml:space="preserve"> </w:t>
      </w:r>
    </w:p>
    <w:p w14:paraId="39DF589F" w14:textId="31CFBAE1" w:rsidR="00C35CCF" w:rsidRPr="00D341ED" w:rsidRDefault="009357E4" w:rsidP="00C45931">
      <w:pPr>
        <w:pStyle w:val="ListParagraph"/>
        <w:numPr>
          <w:ilvl w:val="0"/>
          <w:numId w:val="14"/>
        </w:numPr>
        <w:tabs>
          <w:tab w:val="left" w:pos="1260"/>
          <w:tab w:val="left" w:pos="1620"/>
        </w:tabs>
        <w:spacing w:after="120" w:line="240" w:lineRule="exact"/>
        <w:ind w:left="1260" w:right="1210" w:firstLine="0"/>
        <w:contextualSpacing/>
        <w:jc w:val="both"/>
        <w:rPr>
          <w:lang w:val="en-GB"/>
        </w:rPr>
      </w:pPr>
      <w:r w:rsidRPr="00D341ED">
        <w:rPr>
          <w:lang w:val="en-GB"/>
        </w:rPr>
        <w:t>M</w:t>
      </w:r>
      <w:r w:rsidR="00862630" w:rsidRPr="00D341ED">
        <w:rPr>
          <w:lang w:val="en-GB"/>
        </w:rPr>
        <w:t>ak</w:t>
      </w:r>
      <w:r w:rsidRPr="00D341ED">
        <w:rPr>
          <w:lang w:val="en-GB"/>
        </w:rPr>
        <w:t>ing</w:t>
      </w:r>
      <w:r w:rsidR="00862630" w:rsidRPr="00D341ED">
        <w:rPr>
          <w:lang w:val="en-GB"/>
        </w:rPr>
        <w:t xml:space="preserve"> this vision a reality requir</w:t>
      </w:r>
      <w:r w:rsidR="001D6EFA" w:rsidRPr="00D341ED">
        <w:rPr>
          <w:lang w:val="en-GB"/>
        </w:rPr>
        <w:t>es</w:t>
      </w:r>
      <w:r w:rsidR="00862630" w:rsidRPr="00D341ED">
        <w:rPr>
          <w:lang w:val="en-GB"/>
        </w:rPr>
        <w:t xml:space="preserve"> mastering pandemic risks. </w:t>
      </w:r>
      <w:r w:rsidRPr="00D341ED">
        <w:rPr>
          <w:lang w:val="en-GB"/>
        </w:rPr>
        <w:t>T</w:t>
      </w:r>
      <w:r w:rsidR="00C35CCF" w:rsidRPr="00D341ED">
        <w:rPr>
          <w:lang w:val="en-GB"/>
        </w:rPr>
        <w:t>hanks to the flexibility of partners</w:t>
      </w:r>
      <w:r w:rsidR="005A78AB" w:rsidRPr="00D341ED">
        <w:rPr>
          <w:lang w:val="en-GB"/>
        </w:rPr>
        <w:t xml:space="preserve"> and donors</w:t>
      </w:r>
      <w:r w:rsidR="00C35CCF" w:rsidRPr="00D341ED">
        <w:rPr>
          <w:lang w:val="en-GB"/>
        </w:rPr>
        <w:t xml:space="preserve">, UNDP </w:t>
      </w:r>
      <w:r w:rsidR="00862630" w:rsidRPr="00D341ED">
        <w:rPr>
          <w:lang w:val="en-GB"/>
        </w:rPr>
        <w:t xml:space="preserve">has been </w:t>
      </w:r>
      <w:r w:rsidR="00C35CCF" w:rsidRPr="00D341ED">
        <w:rPr>
          <w:lang w:val="en-GB"/>
        </w:rPr>
        <w:t xml:space="preserve">able to repurpose funding and reorient programming </w:t>
      </w:r>
      <w:r w:rsidR="00313A81" w:rsidRPr="00D341ED">
        <w:rPr>
          <w:lang w:val="en-GB"/>
        </w:rPr>
        <w:t xml:space="preserve">swiftly </w:t>
      </w:r>
      <w:r w:rsidR="00C35CCF" w:rsidRPr="00D341ED">
        <w:rPr>
          <w:lang w:val="en-GB"/>
        </w:rPr>
        <w:t xml:space="preserve">to face </w:t>
      </w:r>
      <w:r w:rsidR="00862630" w:rsidRPr="00D341ED">
        <w:rPr>
          <w:lang w:val="en-GB"/>
        </w:rPr>
        <w:t xml:space="preserve">COVID-19 </w:t>
      </w:r>
      <w:r w:rsidR="00C35CCF" w:rsidRPr="00D341ED">
        <w:rPr>
          <w:lang w:val="en-GB"/>
        </w:rPr>
        <w:t xml:space="preserve">challenges. Given the pandemic’s </w:t>
      </w:r>
      <w:r w:rsidRPr="00D341ED">
        <w:rPr>
          <w:lang w:val="en-GB"/>
        </w:rPr>
        <w:t xml:space="preserve">unknown </w:t>
      </w:r>
      <w:r w:rsidR="00C35CCF" w:rsidRPr="00D341ED">
        <w:rPr>
          <w:lang w:val="en-GB"/>
        </w:rPr>
        <w:t xml:space="preserve">trajectory and the increasingly volatile impact of climate change, </w:t>
      </w:r>
      <w:r w:rsidR="00312648" w:rsidRPr="00D341ED">
        <w:rPr>
          <w:lang w:val="en-GB"/>
        </w:rPr>
        <w:t xml:space="preserve">UNDP will strive to make </w:t>
      </w:r>
      <w:r w:rsidR="003C5EBC" w:rsidRPr="00D341ED">
        <w:rPr>
          <w:lang w:val="en-GB"/>
        </w:rPr>
        <w:t xml:space="preserve">agility and </w:t>
      </w:r>
      <w:r w:rsidR="00C35CCF" w:rsidRPr="00D341ED">
        <w:rPr>
          <w:lang w:val="en-GB"/>
        </w:rPr>
        <w:t xml:space="preserve">adaptability </w:t>
      </w:r>
      <w:r w:rsidR="00312648" w:rsidRPr="00D341ED">
        <w:rPr>
          <w:lang w:val="en-GB"/>
        </w:rPr>
        <w:t xml:space="preserve">its </w:t>
      </w:r>
      <w:r w:rsidR="00C35CCF" w:rsidRPr="00D341ED">
        <w:rPr>
          <w:lang w:val="en-GB"/>
        </w:rPr>
        <w:t>hallmark</w:t>
      </w:r>
      <w:r w:rsidR="003C5EBC" w:rsidRPr="00D341ED">
        <w:rPr>
          <w:lang w:val="en-GB"/>
        </w:rPr>
        <w:t>s</w:t>
      </w:r>
      <w:r w:rsidR="00312648" w:rsidRPr="00D341ED">
        <w:rPr>
          <w:lang w:val="en-GB"/>
        </w:rPr>
        <w:t xml:space="preserve"> during 2021-2025</w:t>
      </w:r>
      <w:r w:rsidR="00C35CCF" w:rsidRPr="00D341ED">
        <w:rPr>
          <w:lang w:val="en-GB"/>
        </w:rPr>
        <w:t xml:space="preserve">. </w:t>
      </w:r>
    </w:p>
    <w:p w14:paraId="5FD0B2E5" w14:textId="77777777" w:rsidR="00984F84" w:rsidRPr="00D341ED" w:rsidRDefault="00984F84" w:rsidP="00D341ED">
      <w:pPr>
        <w:pStyle w:val="ListParagraph"/>
        <w:tabs>
          <w:tab w:val="left" w:pos="1260"/>
          <w:tab w:val="left" w:pos="1620"/>
        </w:tabs>
        <w:ind w:left="1620"/>
        <w:rPr>
          <w:sz w:val="12"/>
          <w:szCs w:val="12"/>
          <w:lang w:val="en-GB"/>
        </w:rPr>
      </w:pPr>
    </w:p>
    <w:p w14:paraId="03476E3A" w14:textId="22AE3A10" w:rsidR="00C35CCF" w:rsidRPr="00D341ED" w:rsidRDefault="00C35CCF" w:rsidP="00C45931">
      <w:pPr>
        <w:pStyle w:val="ListParagraph"/>
        <w:numPr>
          <w:ilvl w:val="0"/>
          <w:numId w:val="14"/>
        </w:numPr>
        <w:tabs>
          <w:tab w:val="left" w:pos="1260"/>
          <w:tab w:val="left" w:pos="1620"/>
        </w:tabs>
        <w:spacing w:after="120" w:line="240" w:lineRule="exact"/>
        <w:ind w:left="1260" w:right="1210" w:firstLine="0"/>
        <w:contextualSpacing/>
        <w:jc w:val="both"/>
        <w:rPr>
          <w:lang w:val="en-GB"/>
        </w:rPr>
      </w:pPr>
      <w:r w:rsidRPr="00D341ED">
        <w:rPr>
          <w:lang w:val="en-GB"/>
        </w:rPr>
        <w:lastRenderedPageBreak/>
        <w:t xml:space="preserve">The </w:t>
      </w:r>
      <w:r w:rsidR="009357E4" w:rsidRPr="00D341ED">
        <w:rPr>
          <w:lang w:val="en-GB"/>
        </w:rPr>
        <w:t xml:space="preserve">national </w:t>
      </w:r>
      <w:r w:rsidRPr="00D341ED">
        <w:rPr>
          <w:lang w:val="en-GB"/>
        </w:rPr>
        <w:t xml:space="preserve">economy has held up well in the face of pandemic stresses, with GDP </w:t>
      </w:r>
      <w:r w:rsidR="00E6397D" w:rsidRPr="00D341ED">
        <w:rPr>
          <w:lang w:val="en-GB"/>
        </w:rPr>
        <w:t xml:space="preserve">forecast </w:t>
      </w:r>
      <w:r w:rsidR="007739DB" w:rsidRPr="00D341ED">
        <w:rPr>
          <w:lang w:val="en-GB"/>
        </w:rPr>
        <w:t xml:space="preserve">to rebound in 2021 after a </w:t>
      </w:r>
      <w:r w:rsidRPr="00D341ED">
        <w:rPr>
          <w:lang w:val="en-GB"/>
        </w:rPr>
        <w:t xml:space="preserve">decline </w:t>
      </w:r>
      <w:r w:rsidR="007739DB" w:rsidRPr="00D341ED">
        <w:rPr>
          <w:lang w:val="en-GB"/>
        </w:rPr>
        <w:t>of 5</w:t>
      </w:r>
      <w:r w:rsidRPr="00D341ED">
        <w:rPr>
          <w:lang w:val="en-GB"/>
        </w:rPr>
        <w:t xml:space="preserve"> </w:t>
      </w:r>
      <w:r w:rsidR="009357E4" w:rsidRPr="00D341ED">
        <w:rPr>
          <w:lang w:val="en-GB"/>
        </w:rPr>
        <w:t xml:space="preserve">per cent </w:t>
      </w:r>
      <w:r w:rsidRPr="00D341ED">
        <w:rPr>
          <w:lang w:val="en-GB"/>
        </w:rPr>
        <w:t>in 2020</w:t>
      </w:r>
      <w:r w:rsidR="00D74AC1" w:rsidRPr="00D341ED">
        <w:rPr>
          <w:lang w:val="en-GB"/>
        </w:rPr>
        <w:t>.</w:t>
      </w:r>
      <w:r w:rsidRPr="00D341ED">
        <w:rPr>
          <w:lang w:val="en-GB"/>
        </w:rPr>
        <w:t xml:space="preserve"> </w:t>
      </w:r>
      <w:r w:rsidR="00DD7AC4" w:rsidRPr="00D341ED">
        <w:rPr>
          <w:lang w:val="en-GB"/>
        </w:rPr>
        <w:t xml:space="preserve">This resilience owes much to support from multilateral financial institutions, which have </w:t>
      </w:r>
      <w:r w:rsidR="00355D71" w:rsidRPr="00D341ED">
        <w:rPr>
          <w:lang w:val="en-GB"/>
        </w:rPr>
        <w:t xml:space="preserve">already </w:t>
      </w:r>
      <w:r w:rsidR="00DD7AC4" w:rsidRPr="00D341ED">
        <w:rPr>
          <w:lang w:val="en-GB"/>
        </w:rPr>
        <w:t>dedicated $3</w:t>
      </w:r>
      <w:r w:rsidR="009357E4" w:rsidRPr="00D341ED">
        <w:rPr>
          <w:lang w:val="en-GB"/>
        </w:rPr>
        <w:t> </w:t>
      </w:r>
      <w:r w:rsidR="00DD7AC4" w:rsidRPr="00D341ED">
        <w:rPr>
          <w:lang w:val="en-GB"/>
        </w:rPr>
        <w:t xml:space="preserve">billion to help protect businesses and households. </w:t>
      </w:r>
      <w:r w:rsidRPr="00D341ED">
        <w:rPr>
          <w:lang w:val="en-GB"/>
        </w:rPr>
        <w:t xml:space="preserve">But if </w:t>
      </w:r>
      <w:r w:rsidR="0027196F" w:rsidRPr="00D341ED">
        <w:rPr>
          <w:lang w:val="en-GB"/>
        </w:rPr>
        <w:t>COVID</w:t>
      </w:r>
      <w:r w:rsidR="0051452E" w:rsidRPr="00D341ED">
        <w:rPr>
          <w:lang w:val="en-GB"/>
        </w:rPr>
        <w:t>-19</w:t>
      </w:r>
      <w:r w:rsidR="00312648" w:rsidRPr="00D341ED">
        <w:rPr>
          <w:lang w:val="en-GB"/>
        </w:rPr>
        <w:t xml:space="preserve"> consequences disrupt </w:t>
      </w:r>
      <w:r w:rsidR="00D74AC1" w:rsidRPr="00D341ED">
        <w:rPr>
          <w:lang w:val="en-GB"/>
        </w:rPr>
        <w:t xml:space="preserve">economic </w:t>
      </w:r>
      <w:r w:rsidR="00E6397D" w:rsidRPr="00D341ED">
        <w:rPr>
          <w:lang w:val="en-GB"/>
        </w:rPr>
        <w:t>recovery</w:t>
      </w:r>
      <w:r w:rsidRPr="00D341ED">
        <w:rPr>
          <w:lang w:val="en-GB"/>
        </w:rPr>
        <w:t>, UNDP is prepared to reorient its programme.</w:t>
      </w:r>
      <w:r w:rsidR="00312648" w:rsidRPr="00D341ED">
        <w:rPr>
          <w:lang w:val="en-GB"/>
        </w:rPr>
        <w:t xml:space="preserve"> </w:t>
      </w:r>
      <w:r w:rsidR="00C6027A" w:rsidRPr="00D341ED">
        <w:rPr>
          <w:lang w:val="en-GB"/>
        </w:rPr>
        <w:t xml:space="preserve">The same responsiveness will apply in the event of revised priorities after national elections. </w:t>
      </w:r>
      <w:r w:rsidRPr="00D341ED">
        <w:rPr>
          <w:lang w:val="en-GB"/>
        </w:rPr>
        <w:t xml:space="preserve">   </w:t>
      </w:r>
    </w:p>
    <w:p w14:paraId="66204FF1" w14:textId="77777777" w:rsidR="00C35CCF" w:rsidRPr="00D341ED" w:rsidRDefault="00C35CCF" w:rsidP="009A5A8A">
      <w:pPr>
        <w:pStyle w:val="ListParagraph"/>
        <w:tabs>
          <w:tab w:val="left" w:pos="1260"/>
          <w:tab w:val="left" w:pos="1620"/>
        </w:tabs>
        <w:ind w:left="1267"/>
        <w:rPr>
          <w:sz w:val="12"/>
          <w:szCs w:val="12"/>
          <w:lang w:val="en-GB"/>
        </w:rPr>
      </w:pPr>
    </w:p>
    <w:p w14:paraId="2F5BB5F1" w14:textId="10F62B24" w:rsidR="00313A81" w:rsidRPr="00D341ED" w:rsidRDefault="00313A81" w:rsidP="00C45931">
      <w:pPr>
        <w:pStyle w:val="ListParagraph"/>
        <w:numPr>
          <w:ilvl w:val="0"/>
          <w:numId w:val="14"/>
        </w:numPr>
        <w:tabs>
          <w:tab w:val="left" w:pos="1260"/>
          <w:tab w:val="left" w:pos="1620"/>
        </w:tabs>
        <w:spacing w:after="120" w:line="240" w:lineRule="exact"/>
        <w:ind w:left="1260" w:right="1210" w:firstLine="0"/>
        <w:contextualSpacing/>
        <w:jc w:val="both"/>
        <w:rPr>
          <w:lang w:val="en-GB"/>
        </w:rPr>
      </w:pPr>
      <w:r w:rsidRPr="00D341ED">
        <w:rPr>
          <w:lang w:val="en-GB"/>
        </w:rPr>
        <w:t>U</w:t>
      </w:r>
      <w:r w:rsidR="009357E4" w:rsidRPr="00D341ED">
        <w:rPr>
          <w:lang w:val="en-GB"/>
        </w:rPr>
        <w:t xml:space="preserve">nited </w:t>
      </w:r>
      <w:r w:rsidRPr="00D341ED">
        <w:rPr>
          <w:lang w:val="en-GB"/>
        </w:rPr>
        <w:t>N</w:t>
      </w:r>
      <w:r w:rsidR="009357E4" w:rsidRPr="00D341ED">
        <w:rPr>
          <w:lang w:val="en-GB"/>
        </w:rPr>
        <w:t>ations</w:t>
      </w:r>
      <w:r w:rsidRPr="00D341ED">
        <w:rPr>
          <w:lang w:val="en-GB"/>
        </w:rPr>
        <w:t xml:space="preserve"> </w:t>
      </w:r>
      <w:r w:rsidR="009357E4" w:rsidRPr="00D341ED">
        <w:rPr>
          <w:lang w:val="en-GB"/>
        </w:rPr>
        <w:t xml:space="preserve">organizations </w:t>
      </w:r>
      <w:r w:rsidRPr="00D341ED">
        <w:rPr>
          <w:lang w:val="en-GB"/>
        </w:rPr>
        <w:t xml:space="preserve">are likely to face </w:t>
      </w:r>
      <w:r w:rsidR="00912557" w:rsidRPr="00D341ED">
        <w:rPr>
          <w:lang w:val="en-GB"/>
        </w:rPr>
        <w:t xml:space="preserve">continued </w:t>
      </w:r>
      <w:r w:rsidRPr="00D341ED">
        <w:rPr>
          <w:lang w:val="en-GB"/>
        </w:rPr>
        <w:t xml:space="preserve">constraints in operating in conflict-affected areas. Transparency and strict adherence to humanitarian principles will help mitigate this risk. Contingency plans will be prepared to address potential </w:t>
      </w:r>
      <w:r w:rsidR="00912557" w:rsidRPr="00D341ED">
        <w:rPr>
          <w:lang w:val="en-GB"/>
        </w:rPr>
        <w:t xml:space="preserve">scenarios </w:t>
      </w:r>
      <w:r w:rsidRPr="00D341ED">
        <w:rPr>
          <w:lang w:val="en-GB"/>
        </w:rPr>
        <w:t>in the subregion</w:t>
      </w:r>
      <w:r w:rsidR="00C6027A" w:rsidRPr="00D341ED">
        <w:rPr>
          <w:lang w:val="en-GB"/>
        </w:rPr>
        <w:t xml:space="preserve">, while </w:t>
      </w:r>
      <w:r w:rsidR="003B1500" w:rsidRPr="00D341ED">
        <w:rPr>
          <w:lang w:val="en-GB"/>
        </w:rPr>
        <w:t xml:space="preserve">continuing to </w:t>
      </w:r>
      <w:r w:rsidR="00C6027A" w:rsidRPr="00D341ED">
        <w:rPr>
          <w:lang w:val="en-GB"/>
        </w:rPr>
        <w:t xml:space="preserve">seek chances to </w:t>
      </w:r>
      <w:r w:rsidR="003B1500" w:rsidRPr="00D341ED">
        <w:rPr>
          <w:lang w:val="en-GB"/>
        </w:rPr>
        <w:t xml:space="preserve">reap </w:t>
      </w:r>
      <w:r w:rsidR="00C6027A" w:rsidRPr="00D341ED">
        <w:rPr>
          <w:lang w:val="en-GB"/>
        </w:rPr>
        <w:t>benefit</w:t>
      </w:r>
      <w:r w:rsidR="003B1500" w:rsidRPr="00D341ED">
        <w:rPr>
          <w:lang w:val="en-GB"/>
        </w:rPr>
        <w:t>s</w:t>
      </w:r>
      <w:r w:rsidR="00C6027A" w:rsidRPr="00D341ED">
        <w:rPr>
          <w:lang w:val="en-GB"/>
        </w:rPr>
        <w:t xml:space="preserve"> from subregional trade.</w:t>
      </w:r>
      <w:r w:rsidRPr="00D341ED">
        <w:rPr>
          <w:lang w:val="en-GB"/>
        </w:rPr>
        <w:t xml:space="preserve"> </w:t>
      </w:r>
    </w:p>
    <w:p w14:paraId="0B12AB58" w14:textId="77777777" w:rsidR="00201208" w:rsidRPr="00D341ED" w:rsidRDefault="00201208" w:rsidP="009A5A8A">
      <w:pPr>
        <w:pStyle w:val="ListParagraph"/>
        <w:tabs>
          <w:tab w:val="left" w:pos="1260"/>
          <w:tab w:val="left" w:pos="1620"/>
        </w:tabs>
        <w:ind w:left="1267"/>
        <w:rPr>
          <w:sz w:val="12"/>
          <w:szCs w:val="12"/>
          <w:lang w:val="en-GB"/>
        </w:rPr>
      </w:pPr>
    </w:p>
    <w:p w14:paraId="7CDA6A3B" w14:textId="3E539752" w:rsidR="00C35CCF" w:rsidRPr="00D341ED" w:rsidRDefault="0012275E" w:rsidP="00C45931">
      <w:pPr>
        <w:pStyle w:val="ListParagraph"/>
        <w:numPr>
          <w:ilvl w:val="0"/>
          <w:numId w:val="14"/>
        </w:numPr>
        <w:tabs>
          <w:tab w:val="left" w:pos="1260"/>
          <w:tab w:val="left" w:pos="1620"/>
          <w:tab w:val="left" w:pos="8640"/>
        </w:tabs>
        <w:spacing w:after="120" w:line="240" w:lineRule="exact"/>
        <w:ind w:left="1260" w:right="1210" w:firstLine="0"/>
        <w:contextualSpacing/>
        <w:jc w:val="both"/>
        <w:rPr>
          <w:lang w:val="en-GB"/>
        </w:rPr>
      </w:pPr>
      <w:r w:rsidRPr="00D341ED">
        <w:rPr>
          <w:color w:val="000000"/>
          <w:lang w:val="en-GB"/>
        </w:rPr>
        <w:t>T</w:t>
      </w:r>
      <w:r w:rsidR="00C35CCF" w:rsidRPr="00D341ED">
        <w:rPr>
          <w:color w:val="000000"/>
          <w:lang w:val="en-GB"/>
        </w:rPr>
        <w:t>h</w:t>
      </w:r>
      <w:r w:rsidR="00F550A4" w:rsidRPr="00D341ED">
        <w:rPr>
          <w:color w:val="000000"/>
          <w:lang w:val="en-GB"/>
        </w:rPr>
        <w:t>e</w:t>
      </w:r>
      <w:r w:rsidR="00C35CCF" w:rsidRPr="00D341ED">
        <w:rPr>
          <w:color w:val="000000"/>
          <w:lang w:val="en-GB"/>
        </w:rPr>
        <w:t xml:space="preserve"> country programme document outlines UNDP contributions to national results and serves as the primary unit of accountability to the Executive Board for results alignment and resources assigned to the programme at country level. Accountabilities of managers at the country, regional </w:t>
      </w:r>
      <w:r w:rsidR="00C35CCF" w:rsidRPr="00D341ED">
        <w:rPr>
          <w:color w:val="000000" w:themeColor="text1"/>
          <w:lang w:val="en-GB"/>
        </w:rPr>
        <w:t xml:space="preserve">and headquarter levels with respect to country programmes are prescribed in the organization’s </w:t>
      </w:r>
      <w:hyperlink r:id="rId17" w:history="1">
        <w:r w:rsidR="00F550A4" w:rsidRPr="00D341ED">
          <w:rPr>
            <w:rStyle w:val="Hyperlink"/>
            <w:color w:val="000000" w:themeColor="text1"/>
            <w:lang w:val="en-GB"/>
          </w:rPr>
          <w:t>p</w:t>
        </w:r>
        <w:r w:rsidR="00C35CCF" w:rsidRPr="00D341ED">
          <w:rPr>
            <w:rStyle w:val="Hyperlink"/>
            <w:color w:val="000000" w:themeColor="text1"/>
            <w:lang w:val="en-GB"/>
          </w:rPr>
          <w:t xml:space="preserve">rogramme and </w:t>
        </w:r>
        <w:r w:rsidR="00F550A4" w:rsidRPr="00D341ED">
          <w:rPr>
            <w:rStyle w:val="Hyperlink"/>
            <w:color w:val="000000" w:themeColor="text1"/>
            <w:lang w:val="en-GB"/>
          </w:rPr>
          <w:t>o</w:t>
        </w:r>
        <w:r w:rsidR="00C35CCF" w:rsidRPr="00D341ED">
          <w:rPr>
            <w:rStyle w:val="Hyperlink"/>
            <w:color w:val="000000" w:themeColor="text1"/>
            <w:lang w:val="en-GB"/>
          </w:rPr>
          <w:t xml:space="preserve">perations </w:t>
        </w:r>
        <w:r w:rsidR="00F550A4" w:rsidRPr="00D341ED">
          <w:rPr>
            <w:rStyle w:val="Hyperlink"/>
            <w:color w:val="000000" w:themeColor="text1"/>
            <w:lang w:val="en-GB"/>
          </w:rPr>
          <w:t>p</w:t>
        </w:r>
        <w:r w:rsidR="00C35CCF" w:rsidRPr="00D341ED">
          <w:rPr>
            <w:rStyle w:val="Hyperlink"/>
            <w:color w:val="000000" w:themeColor="text1"/>
            <w:lang w:val="en-GB"/>
          </w:rPr>
          <w:t xml:space="preserve">olicies and </w:t>
        </w:r>
        <w:r w:rsidR="00F550A4" w:rsidRPr="00D341ED">
          <w:rPr>
            <w:rStyle w:val="Hyperlink"/>
            <w:color w:val="000000" w:themeColor="text1"/>
            <w:lang w:val="en-GB"/>
          </w:rPr>
          <w:t>p</w:t>
        </w:r>
        <w:r w:rsidR="00C35CCF" w:rsidRPr="00D341ED">
          <w:rPr>
            <w:rStyle w:val="Hyperlink"/>
            <w:color w:val="000000" w:themeColor="text1"/>
            <w:lang w:val="en-GB"/>
          </w:rPr>
          <w:t>rocedures</w:t>
        </w:r>
      </w:hyperlink>
      <w:r w:rsidR="00C35CCF" w:rsidRPr="00D341ED">
        <w:rPr>
          <w:color w:val="000000" w:themeColor="text1"/>
          <w:lang w:val="en-GB"/>
        </w:rPr>
        <w:t xml:space="preserve"> and </w:t>
      </w:r>
      <w:hyperlink r:id="rId18" w:history="1">
        <w:r w:rsidR="00F550A4" w:rsidRPr="00D341ED">
          <w:rPr>
            <w:rStyle w:val="Hyperlink"/>
            <w:color w:val="000000" w:themeColor="text1"/>
            <w:lang w:val="en-GB"/>
          </w:rPr>
          <w:t>i</w:t>
        </w:r>
        <w:r w:rsidR="00C35CCF" w:rsidRPr="00D341ED">
          <w:rPr>
            <w:rStyle w:val="Hyperlink"/>
            <w:color w:val="000000" w:themeColor="text1"/>
            <w:lang w:val="en-GB"/>
          </w:rPr>
          <w:t xml:space="preserve">nternal </w:t>
        </w:r>
        <w:r w:rsidR="00F550A4" w:rsidRPr="00D341ED">
          <w:rPr>
            <w:rStyle w:val="Hyperlink"/>
            <w:color w:val="000000" w:themeColor="text1"/>
            <w:lang w:val="en-GB"/>
          </w:rPr>
          <w:t>c</w:t>
        </w:r>
        <w:r w:rsidR="00C35CCF" w:rsidRPr="00D341ED">
          <w:rPr>
            <w:rStyle w:val="Hyperlink"/>
            <w:color w:val="000000" w:themeColor="text1"/>
            <w:lang w:val="en-GB"/>
          </w:rPr>
          <w:t xml:space="preserve">ontrol </w:t>
        </w:r>
        <w:r w:rsidR="00F550A4" w:rsidRPr="00D341ED">
          <w:rPr>
            <w:rStyle w:val="Hyperlink"/>
            <w:color w:val="000000" w:themeColor="text1"/>
            <w:lang w:val="en-GB"/>
          </w:rPr>
          <w:t>f</w:t>
        </w:r>
        <w:r w:rsidR="00C35CCF" w:rsidRPr="00D341ED">
          <w:rPr>
            <w:rStyle w:val="Hyperlink"/>
            <w:color w:val="000000" w:themeColor="text1"/>
            <w:lang w:val="en-GB"/>
          </w:rPr>
          <w:t>ramework</w:t>
        </w:r>
      </w:hyperlink>
      <w:r w:rsidR="00C35CCF" w:rsidRPr="00D341ED">
        <w:rPr>
          <w:color w:val="000000" w:themeColor="text1"/>
          <w:lang w:val="en-GB"/>
        </w:rPr>
        <w:t>.</w:t>
      </w:r>
    </w:p>
    <w:p w14:paraId="6B62F1B3" w14:textId="77777777" w:rsidR="00C35CCF" w:rsidRPr="00D341ED" w:rsidRDefault="00C35CCF" w:rsidP="009A5A8A">
      <w:pPr>
        <w:pStyle w:val="ListParagraph"/>
        <w:tabs>
          <w:tab w:val="left" w:pos="1260"/>
          <w:tab w:val="left" w:pos="1620"/>
        </w:tabs>
        <w:ind w:left="1267" w:right="1210"/>
        <w:contextualSpacing/>
        <w:jc w:val="both"/>
        <w:rPr>
          <w:sz w:val="12"/>
          <w:szCs w:val="12"/>
          <w:lang w:val="en-GB"/>
        </w:rPr>
      </w:pPr>
    </w:p>
    <w:p w14:paraId="1F7EA43C" w14:textId="4EE1C7D0" w:rsidR="00893C96" w:rsidRPr="00D341ED" w:rsidRDefault="00C35CCF" w:rsidP="00C45931">
      <w:pPr>
        <w:pStyle w:val="ListParagraph"/>
        <w:numPr>
          <w:ilvl w:val="0"/>
          <w:numId w:val="14"/>
        </w:numPr>
        <w:tabs>
          <w:tab w:val="left" w:pos="1260"/>
          <w:tab w:val="left" w:pos="1620"/>
        </w:tabs>
        <w:spacing w:after="120" w:line="240" w:lineRule="exact"/>
        <w:ind w:left="1260" w:right="1210" w:firstLine="0"/>
        <w:contextualSpacing/>
        <w:jc w:val="both"/>
        <w:rPr>
          <w:lang w:val="en-GB"/>
        </w:rPr>
      </w:pPr>
      <w:r w:rsidRPr="00D341ED">
        <w:rPr>
          <w:lang w:val="en-GB"/>
        </w:rPr>
        <w:t xml:space="preserve">The programme will be nationally executed. If necessary, national execution may be replaced by direct execution for part or all of the programme to enable response to force majeure. </w:t>
      </w:r>
      <w:r w:rsidR="00F550A4" w:rsidRPr="00D341ED">
        <w:rPr>
          <w:lang w:val="en-GB"/>
        </w:rPr>
        <w:t>The h</w:t>
      </w:r>
      <w:r w:rsidRPr="00D341ED">
        <w:rPr>
          <w:lang w:val="en-GB"/>
        </w:rPr>
        <w:t>armoni</w:t>
      </w:r>
      <w:r w:rsidR="00F550A4" w:rsidRPr="00D341ED">
        <w:rPr>
          <w:lang w:val="en-GB"/>
        </w:rPr>
        <w:t>z</w:t>
      </w:r>
      <w:r w:rsidRPr="00D341ED">
        <w:rPr>
          <w:lang w:val="en-GB"/>
        </w:rPr>
        <w:t xml:space="preserve">ed </w:t>
      </w:r>
      <w:r w:rsidR="00F550A4" w:rsidRPr="00D341ED">
        <w:rPr>
          <w:lang w:val="en-GB"/>
        </w:rPr>
        <w:t>a</w:t>
      </w:r>
      <w:r w:rsidRPr="00D341ED">
        <w:rPr>
          <w:lang w:val="en-GB"/>
        </w:rPr>
        <w:t xml:space="preserve">pproach to </w:t>
      </w:r>
      <w:r w:rsidR="00F550A4" w:rsidRPr="00D341ED">
        <w:rPr>
          <w:lang w:val="en-GB"/>
        </w:rPr>
        <w:t>c</w:t>
      </w:r>
      <w:r w:rsidRPr="00D341ED">
        <w:rPr>
          <w:lang w:val="en-GB"/>
        </w:rPr>
        <w:t xml:space="preserve">ash </w:t>
      </w:r>
      <w:r w:rsidR="00F550A4" w:rsidRPr="00D341ED">
        <w:rPr>
          <w:lang w:val="en-GB"/>
        </w:rPr>
        <w:t>t</w:t>
      </w:r>
      <w:r w:rsidRPr="00D341ED">
        <w:rPr>
          <w:lang w:val="en-GB"/>
        </w:rPr>
        <w:t>ransfers will be used in a coordinated fashion with other U</w:t>
      </w:r>
      <w:r w:rsidR="00F550A4" w:rsidRPr="00D341ED">
        <w:rPr>
          <w:lang w:val="en-GB"/>
        </w:rPr>
        <w:t xml:space="preserve">nited </w:t>
      </w:r>
      <w:r w:rsidRPr="00D341ED">
        <w:rPr>
          <w:lang w:val="en-GB"/>
        </w:rPr>
        <w:t>N</w:t>
      </w:r>
      <w:r w:rsidR="00F550A4" w:rsidRPr="00D341ED">
        <w:rPr>
          <w:lang w:val="en-GB"/>
        </w:rPr>
        <w:t>ations</w:t>
      </w:r>
      <w:r w:rsidRPr="00D341ED">
        <w:rPr>
          <w:lang w:val="en-GB"/>
        </w:rPr>
        <w:t xml:space="preserve"> </w:t>
      </w:r>
      <w:r w:rsidR="00F550A4" w:rsidRPr="00D341ED">
        <w:rPr>
          <w:lang w:val="en-GB"/>
        </w:rPr>
        <w:t xml:space="preserve">entities </w:t>
      </w:r>
      <w:r w:rsidRPr="00D341ED">
        <w:rPr>
          <w:lang w:val="en-GB"/>
        </w:rPr>
        <w:t xml:space="preserve">to manage financial risks. </w:t>
      </w:r>
      <w:r w:rsidRPr="00D341ED">
        <w:rPr>
          <w:iCs/>
          <w:lang w:val="en-GB"/>
        </w:rPr>
        <w:t>Cost definitions and classifications for programme and development effectiveness will be charged to the concerned projects.</w:t>
      </w:r>
    </w:p>
    <w:p w14:paraId="02F2C34E" w14:textId="77777777" w:rsidR="00512A71" w:rsidRPr="00D341ED" w:rsidRDefault="00512A71" w:rsidP="005A353B">
      <w:pPr>
        <w:pStyle w:val="ListParagraph"/>
        <w:tabs>
          <w:tab w:val="left" w:pos="1260"/>
          <w:tab w:val="left" w:pos="1620"/>
        </w:tabs>
        <w:spacing w:line="240" w:lineRule="exact"/>
        <w:ind w:left="1260" w:right="1210"/>
        <w:contextualSpacing/>
        <w:jc w:val="both"/>
        <w:rPr>
          <w:color w:val="000000" w:themeColor="text1"/>
          <w:lang w:val="en-GB"/>
        </w:rPr>
      </w:pPr>
    </w:p>
    <w:p w14:paraId="108814AC" w14:textId="4CF616D0" w:rsidR="00701B6B" w:rsidRPr="00D341ED" w:rsidRDefault="001D42D1" w:rsidP="007561B6">
      <w:pPr>
        <w:pStyle w:val="Heading1"/>
        <w:numPr>
          <w:ilvl w:val="0"/>
          <w:numId w:val="17"/>
        </w:numPr>
        <w:tabs>
          <w:tab w:val="left" w:pos="1260"/>
          <w:tab w:val="left" w:pos="1620"/>
          <w:tab w:val="left" w:pos="1800"/>
        </w:tabs>
        <w:spacing w:after="200" w:line="240" w:lineRule="exact"/>
        <w:ind w:left="1260" w:right="1267" w:hanging="180"/>
        <w:jc w:val="both"/>
        <w:rPr>
          <w:rFonts w:ascii="Times New Roman" w:hAnsi="Times New Roman"/>
          <w:color w:val="000000" w:themeColor="text1"/>
          <w:sz w:val="24"/>
          <w:szCs w:val="24"/>
          <w:lang w:val="en-GB"/>
        </w:rPr>
      </w:pPr>
      <w:r w:rsidRPr="00D341ED">
        <w:rPr>
          <w:rFonts w:ascii="Times New Roman" w:hAnsi="Times New Roman"/>
          <w:color w:val="000000" w:themeColor="text1"/>
          <w:sz w:val="24"/>
          <w:szCs w:val="24"/>
          <w:lang w:val="en-GB"/>
        </w:rPr>
        <w:t xml:space="preserve">Monitoring and </w:t>
      </w:r>
      <w:r w:rsidR="007561B6" w:rsidRPr="00D341ED">
        <w:rPr>
          <w:rFonts w:ascii="Times New Roman" w:hAnsi="Times New Roman"/>
          <w:color w:val="000000" w:themeColor="text1"/>
          <w:sz w:val="24"/>
          <w:szCs w:val="24"/>
          <w:lang w:val="en-GB"/>
        </w:rPr>
        <w:t>e</w:t>
      </w:r>
      <w:r w:rsidR="001B3F87" w:rsidRPr="00D341ED">
        <w:rPr>
          <w:rFonts w:ascii="Times New Roman" w:hAnsi="Times New Roman"/>
          <w:color w:val="000000" w:themeColor="text1"/>
          <w:sz w:val="24"/>
          <w:szCs w:val="24"/>
          <w:lang w:val="en-GB"/>
        </w:rPr>
        <w:t>valuation</w:t>
      </w:r>
    </w:p>
    <w:p w14:paraId="04D7ABD0" w14:textId="5651E22A" w:rsidR="00C35CCF" w:rsidRPr="00D341ED" w:rsidRDefault="00C35CCF" w:rsidP="00C45931">
      <w:pPr>
        <w:pStyle w:val="ListParagraph"/>
        <w:numPr>
          <w:ilvl w:val="0"/>
          <w:numId w:val="14"/>
        </w:numPr>
        <w:tabs>
          <w:tab w:val="left" w:pos="1260"/>
          <w:tab w:val="left" w:pos="1620"/>
        </w:tabs>
        <w:spacing w:after="120" w:line="240" w:lineRule="exact"/>
        <w:ind w:left="1260" w:right="1203" w:firstLine="0"/>
        <w:jc w:val="both"/>
        <w:rPr>
          <w:color w:val="000000" w:themeColor="text1"/>
          <w:lang w:val="en-GB"/>
        </w:rPr>
      </w:pPr>
      <w:r w:rsidRPr="00D341ED">
        <w:rPr>
          <w:color w:val="000000" w:themeColor="text1"/>
          <w:lang w:val="en-GB"/>
        </w:rPr>
        <w:t xml:space="preserve">Development progress will be monitored against the indicators in the results and resources framework, which incorporates nationalized SDG indicators and is aligned with the UNSCDF. To measure its contribution to national results, UNDP will employ </w:t>
      </w:r>
      <w:r w:rsidR="00471F6F" w:rsidRPr="00D341ED">
        <w:rPr>
          <w:color w:val="000000" w:themeColor="text1"/>
          <w:lang w:val="en-GB"/>
        </w:rPr>
        <w:t xml:space="preserve">the national </w:t>
      </w:r>
      <w:r w:rsidRPr="00D341ED">
        <w:rPr>
          <w:color w:val="000000" w:themeColor="text1"/>
          <w:lang w:val="en-GB"/>
        </w:rPr>
        <w:t xml:space="preserve">SDG </w:t>
      </w:r>
      <w:r w:rsidR="00471F6F" w:rsidRPr="00D341ED">
        <w:rPr>
          <w:color w:val="000000" w:themeColor="text1"/>
          <w:lang w:val="en-GB"/>
        </w:rPr>
        <w:t>t</w:t>
      </w:r>
      <w:r w:rsidRPr="00D341ED">
        <w:rPr>
          <w:color w:val="000000" w:themeColor="text1"/>
          <w:lang w:val="en-GB"/>
        </w:rPr>
        <w:t xml:space="preserve">racker and other national monitoring systems, official statistical data and reports from line ministries, development partners and research institutions. Perception surveys and </w:t>
      </w:r>
      <w:r w:rsidR="009A5A8A" w:rsidRPr="00D341ED">
        <w:rPr>
          <w:color w:val="000000" w:themeColor="text1"/>
          <w:lang w:val="en-GB"/>
        </w:rPr>
        <w:t xml:space="preserve">other </w:t>
      </w:r>
      <w:r w:rsidRPr="00D341ED">
        <w:rPr>
          <w:color w:val="000000" w:themeColor="text1"/>
          <w:lang w:val="en-GB"/>
        </w:rPr>
        <w:t>innovative tools will be used to assess results and behavio</w:t>
      </w:r>
      <w:r w:rsidR="00471F6F" w:rsidRPr="00D341ED">
        <w:rPr>
          <w:color w:val="000000" w:themeColor="text1"/>
          <w:lang w:val="en-GB"/>
        </w:rPr>
        <w:t>u</w:t>
      </w:r>
      <w:r w:rsidRPr="00D341ED">
        <w:rPr>
          <w:color w:val="000000" w:themeColor="text1"/>
          <w:lang w:val="en-GB"/>
        </w:rPr>
        <w:t xml:space="preserve">ral change. The </w:t>
      </w:r>
      <w:r w:rsidR="00471F6F" w:rsidRPr="00D341ED">
        <w:rPr>
          <w:color w:val="000000" w:themeColor="text1"/>
          <w:lang w:val="en-GB"/>
        </w:rPr>
        <w:t>N</w:t>
      </w:r>
      <w:r w:rsidRPr="00D341ED">
        <w:rPr>
          <w:color w:val="000000" w:themeColor="text1"/>
          <w:lang w:val="en-GB"/>
        </w:rPr>
        <w:t xml:space="preserve">ational </w:t>
      </w:r>
      <w:r w:rsidR="00471F6F" w:rsidRPr="00D341ED">
        <w:rPr>
          <w:color w:val="000000" w:themeColor="text1"/>
          <w:lang w:val="en-GB"/>
        </w:rPr>
        <w:t>S</w:t>
      </w:r>
      <w:r w:rsidRPr="00D341ED">
        <w:rPr>
          <w:color w:val="000000" w:themeColor="text1"/>
          <w:lang w:val="en-GB"/>
        </w:rPr>
        <w:t xml:space="preserve">tatistical </w:t>
      </w:r>
      <w:r w:rsidR="00471F6F" w:rsidRPr="00D341ED">
        <w:rPr>
          <w:color w:val="000000" w:themeColor="text1"/>
          <w:lang w:val="en-GB"/>
        </w:rPr>
        <w:t>O</w:t>
      </w:r>
      <w:r w:rsidRPr="00D341ED">
        <w:rPr>
          <w:color w:val="000000" w:themeColor="text1"/>
          <w:lang w:val="en-GB"/>
        </w:rPr>
        <w:t xml:space="preserve">ffice and other partners will receive support to </w:t>
      </w:r>
      <w:r w:rsidR="00912557" w:rsidRPr="00D341ED">
        <w:rPr>
          <w:color w:val="000000" w:themeColor="text1"/>
          <w:lang w:val="en-GB"/>
        </w:rPr>
        <w:t xml:space="preserve">improve </w:t>
      </w:r>
      <w:r w:rsidR="00471F6F" w:rsidRPr="00D341ED">
        <w:rPr>
          <w:color w:val="000000" w:themeColor="text1"/>
          <w:lang w:val="en-GB"/>
        </w:rPr>
        <w:t xml:space="preserve">data </w:t>
      </w:r>
      <w:r w:rsidR="00912557" w:rsidRPr="00D341ED">
        <w:rPr>
          <w:color w:val="000000" w:themeColor="text1"/>
          <w:lang w:val="en-GB"/>
        </w:rPr>
        <w:t>quality</w:t>
      </w:r>
      <w:r w:rsidRPr="00D341ED">
        <w:rPr>
          <w:color w:val="000000" w:themeColor="text1"/>
          <w:lang w:val="en-GB"/>
        </w:rPr>
        <w:t>.</w:t>
      </w:r>
    </w:p>
    <w:p w14:paraId="3FFCC000" w14:textId="5A9A01CA" w:rsidR="007561B6" w:rsidRPr="00D341ED" w:rsidRDefault="00C35CCF" w:rsidP="00C45931">
      <w:pPr>
        <w:pStyle w:val="ListParagraph"/>
        <w:numPr>
          <w:ilvl w:val="0"/>
          <w:numId w:val="14"/>
        </w:numPr>
        <w:tabs>
          <w:tab w:val="left" w:pos="1260"/>
          <w:tab w:val="left" w:pos="1620"/>
        </w:tabs>
        <w:spacing w:after="120" w:line="240" w:lineRule="exact"/>
        <w:ind w:left="1260" w:right="1210" w:firstLine="0"/>
        <w:jc w:val="both"/>
        <w:rPr>
          <w:color w:val="000000" w:themeColor="text1"/>
          <w:lang w:val="en-GB"/>
        </w:rPr>
      </w:pPr>
      <w:r w:rsidRPr="00D341ED">
        <w:rPr>
          <w:color w:val="000000" w:themeColor="text1"/>
          <w:lang w:val="en-GB"/>
        </w:rPr>
        <w:t xml:space="preserve">UNDP will </w:t>
      </w:r>
      <w:r w:rsidRPr="00D341ED">
        <w:rPr>
          <w:lang w:val="en-GB"/>
        </w:rPr>
        <w:t xml:space="preserve">strengthen </w:t>
      </w:r>
      <w:r w:rsidR="007231ED" w:rsidRPr="00D341ED">
        <w:rPr>
          <w:lang w:val="en-GB"/>
        </w:rPr>
        <w:t xml:space="preserve">its </w:t>
      </w:r>
      <w:r w:rsidRPr="00D341ED">
        <w:rPr>
          <w:lang w:val="en-GB"/>
        </w:rPr>
        <w:t>internal capacity while helping external partners develop monitoring and evaluation</w:t>
      </w:r>
      <w:r w:rsidR="009072EE" w:rsidRPr="00D341ED">
        <w:rPr>
          <w:lang w:val="en-GB"/>
        </w:rPr>
        <w:t xml:space="preserve"> skills</w:t>
      </w:r>
      <w:r w:rsidRPr="00D341ED">
        <w:rPr>
          <w:lang w:val="en-GB"/>
        </w:rPr>
        <w:t xml:space="preserve">. </w:t>
      </w:r>
      <w:r w:rsidR="00913AF6" w:rsidRPr="00D341ED">
        <w:rPr>
          <w:lang w:val="en-GB"/>
        </w:rPr>
        <w:t xml:space="preserve">It </w:t>
      </w:r>
      <w:r w:rsidRPr="00D341ED">
        <w:rPr>
          <w:lang w:val="en-GB"/>
        </w:rPr>
        <w:t xml:space="preserve">will </w:t>
      </w:r>
      <w:r w:rsidR="007231ED" w:rsidRPr="00D341ED">
        <w:rPr>
          <w:lang w:val="en-GB"/>
        </w:rPr>
        <w:t xml:space="preserve">collaborate </w:t>
      </w:r>
      <w:r w:rsidRPr="00D341ED">
        <w:rPr>
          <w:lang w:val="en-GB"/>
        </w:rPr>
        <w:t xml:space="preserve">with </w:t>
      </w:r>
      <w:r w:rsidR="009A5A8A" w:rsidRPr="00D341ED">
        <w:rPr>
          <w:lang w:val="en-GB"/>
        </w:rPr>
        <w:t xml:space="preserve">other </w:t>
      </w:r>
      <w:r w:rsidRPr="00D341ED">
        <w:rPr>
          <w:lang w:val="en-GB"/>
        </w:rPr>
        <w:t>U</w:t>
      </w:r>
      <w:r w:rsidR="009072EE" w:rsidRPr="00D341ED">
        <w:rPr>
          <w:lang w:val="en-GB"/>
        </w:rPr>
        <w:t xml:space="preserve">nited </w:t>
      </w:r>
      <w:r w:rsidRPr="00D341ED">
        <w:rPr>
          <w:lang w:val="en-GB"/>
        </w:rPr>
        <w:t>N</w:t>
      </w:r>
      <w:r w:rsidR="009072EE" w:rsidRPr="00D341ED">
        <w:rPr>
          <w:lang w:val="en-GB"/>
        </w:rPr>
        <w:t>ations</w:t>
      </w:r>
      <w:r w:rsidRPr="00D341ED">
        <w:rPr>
          <w:lang w:val="en-GB"/>
        </w:rPr>
        <w:t xml:space="preserve"> entities </w:t>
      </w:r>
      <w:r w:rsidR="007231ED" w:rsidRPr="00D341ED">
        <w:rPr>
          <w:lang w:val="en-GB"/>
        </w:rPr>
        <w:t xml:space="preserve">to </w:t>
      </w:r>
      <w:r w:rsidRPr="00D341ED">
        <w:rPr>
          <w:lang w:val="en-GB"/>
        </w:rPr>
        <w:t>monitor progress towards UNSDCF results</w:t>
      </w:r>
      <w:r w:rsidR="009A5A8A" w:rsidRPr="00D341ED">
        <w:rPr>
          <w:lang w:val="en-GB"/>
        </w:rPr>
        <w:t>.</w:t>
      </w:r>
      <w:r w:rsidR="009072EE" w:rsidRPr="00D341ED">
        <w:rPr>
          <w:lang w:val="en-GB"/>
        </w:rPr>
        <w:t xml:space="preserve"> </w:t>
      </w:r>
      <w:r w:rsidR="009A5A8A" w:rsidRPr="00D341ED">
        <w:rPr>
          <w:lang w:val="en-GB"/>
        </w:rPr>
        <w:t>I</w:t>
      </w:r>
      <w:r w:rsidRPr="00D341ED">
        <w:rPr>
          <w:lang w:val="en-GB"/>
        </w:rPr>
        <w:t xml:space="preserve">ndependent evaluations </w:t>
      </w:r>
      <w:r w:rsidR="009A5A8A" w:rsidRPr="00D341ED">
        <w:rPr>
          <w:lang w:val="en-GB"/>
        </w:rPr>
        <w:t xml:space="preserve">will be commissioned </w:t>
      </w:r>
      <w:r w:rsidRPr="00D341ED">
        <w:rPr>
          <w:lang w:val="en-GB"/>
        </w:rPr>
        <w:t>to assess UNDP contributions to transformative change</w:t>
      </w:r>
      <w:r w:rsidR="009A5A8A" w:rsidRPr="00D341ED">
        <w:rPr>
          <w:lang w:val="en-GB"/>
        </w:rPr>
        <w:t>. S</w:t>
      </w:r>
      <w:r w:rsidRPr="00D341ED">
        <w:rPr>
          <w:lang w:val="en-GB"/>
        </w:rPr>
        <w:t xml:space="preserve">pending </w:t>
      </w:r>
      <w:r w:rsidR="008F2ADC" w:rsidRPr="00D341ED">
        <w:rPr>
          <w:lang w:val="en-GB"/>
        </w:rPr>
        <w:t xml:space="preserve">devoted to </w:t>
      </w:r>
      <w:r w:rsidRPr="00D341ED">
        <w:rPr>
          <w:lang w:val="en-GB"/>
        </w:rPr>
        <w:t>gender equality</w:t>
      </w:r>
      <w:r w:rsidR="00714A19" w:rsidRPr="00D341ED">
        <w:rPr>
          <w:lang w:val="en-GB"/>
        </w:rPr>
        <w:t xml:space="preserve"> </w:t>
      </w:r>
      <w:r w:rsidR="009A5A8A" w:rsidRPr="00D341ED">
        <w:rPr>
          <w:lang w:val="en-GB"/>
        </w:rPr>
        <w:t xml:space="preserve">will be tracked and </w:t>
      </w:r>
      <w:r w:rsidR="00714A19" w:rsidRPr="00D341ED">
        <w:rPr>
          <w:lang w:val="en-GB"/>
        </w:rPr>
        <w:t xml:space="preserve">exceed 15 </w:t>
      </w:r>
      <w:r w:rsidR="009072EE" w:rsidRPr="00D341ED">
        <w:rPr>
          <w:lang w:val="en-GB"/>
        </w:rPr>
        <w:t xml:space="preserve">per cent </w:t>
      </w:r>
      <w:r w:rsidR="00714A19" w:rsidRPr="00D341ED">
        <w:rPr>
          <w:lang w:val="en-GB"/>
        </w:rPr>
        <w:t xml:space="preserve">of </w:t>
      </w:r>
      <w:r w:rsidR="00913AF6" w:rsidRPr="00D341ED">
        <w:rPr>
          <w:lang w:val="en-GB"/>
        </w:rPr>
        <w:t xml:space="preserve">total </w:t>
      </w:r>
      <w:r w:rsidR="00714A19" w:rsidRPr="00D341ED">
        <w:rPr>
          <w:lang w:val="en-GB"/>
        </w:rPr>
        <w:t>expenditure</w:t>
      </w:r>
      <w:r w:rsidR="009A5A8A" w:rsidRPr="00D341ED">
        <w:rPr>
          <w:lang w:val="en-GB"/>
        </w:rPr>
        <w:t>. Evaluation f</w:t>
      </w:r>
      <w:r w:rsidRPr="00D341ED">
        <w:rPr>
          <w:lang w:val="en-GB"/>
        </w:rPr>
        <w:t xml:space="preserve">indings </w:t>
      </w:r>
      <w:r w:rsidR="009A5A8A" w:rsidRPr="00D341ED">
        <w:rPr>
          <w:lang w:val="en-GB"/>
        </w:rPr>
        <w:t xml:space="preserve">will be shared </w:t>
      </w:r>
      <w:r w:rsidRPr="00D341ED">
        <w:rPr>
          <w:lang w:val="en-GB"/>
        </w:rPr>
        <w:t>with Government and civil society counterparts, development partners and the public.</w:t>
      </w:r>
    </w:p>
    <w:p w14:paraId="19219836" w14:textId="2D98E820" w:rsidR="007561B6" w:rsidRPr="00D341ED" w:rsidRDefault="007561B6" w:rsidP="009A5A8A">
      <w:pPr>
        <w:pStyle w:val="ListParagraph"/>
        <w:tabs>
          <w:tab w:val="left" w:pos="1260"/>
          <w:tab w:val="left" w:pos="1620"/>
        </w:tabs>
        <w:spacing w:after="120" w:line="240" w:lineRule="exact"/>
        <w:ind w:left="1260" w:right="1210"/>
        <w:jc w:val="both"/>
        <w:rPr>
          <w:lang w:val="en-GB"/>
        </w:rPr>
        <w:sectPr w:rsidR="007561B6" w:rsidRPr="00D341ED" w:rsidSect="00677A8F">
          <w:headerReference w:type="even" r:id="rId19"/>
          <w:footerReference w:type="even" r:id="rId20"/>
          <w:footerReference w:type="default" r:id="rId21"/>
          <w:footerReference w:type="first" r:id="rId22"/>
          <w:footnotePr>
            <w:numRestart w:val="eachSect"/>
          </w:footnotePr>
          <w:endnotePr>
            <w:numFmt w:val="decimal"/>
            <w:numStart w:val="7"/>
          </w:endnotePr>
          <w:type w:val="continuous"/>
          <w:pgSz w:w="12240" w:h="15840" w:code="1"/>
          <w:pgMar w:top="1166" w:right="1195" w:bottom="1440" w:left="1195" w:header="576" w:footer="1037" w:gutter="0"/>
          <w:cols w:space="720"/>
          <w:noEndnote/>
          <w:titlePg/>
          <w:docGrid w:linePitch="272"/>
        </w:sectPr>
      </w:pPr>
    </w:p>
    <w:p w14:paraId="0CD382F9" w14:textId="5FB92A97" w:rsidR="006B6E78" w:rsidRPr="00D341ED" w:rsidRDefault="000831C4" w:rsidP="00475B8F">
      <w:pPr>
        <w:pStyle w:val="Heading4"/>
        <w:spacing w:after="120"/>
        <w:rPr>
          <w:rFonts w:ascii="Times New Roman" w:hAnsi="Times New Roman"/>
          <w:i/>
          <w:color w:val="000000" w:themeColor="text1"/>
          <w:sz w:val="20"/>
          <w:lang w:val="en-GB"/>
        </w:rPr>
      </w:pPr>
      <w:r w:rsidRPr="00D341ED">
        <w:rPr>
          <w:rFonts w:ascii="Times New Roman" w:hAnsi="Times New Roman"/>
          <w:bCs/>
          <w:color w:val="000000"/>
          <w:sz w:val="24"/>
          <w:szCs w:val="24"/>
          <w:lang w:val="en-GB"/>
        </w:rPr>
        <w:lastRenderedPageBreak/>
        <w:t xml:space="preserve">Annex. Results and resources framework for </w:t>
      </w:r>
      <w:r w:rsidR="00BF2C3E" w:rsidRPr="00D341ED">
        <w:rPr>
          <w:rFonts w:ascii="Times New Roman" w:hAnsi="Times New Roman"/>
          <w:bCs/>
          <w:color w:val="000000"/>
          <w:sz w:val="24"/>
          <w:szCs w:val="24"/>
          <w:lang w:val="en-GB"/>
        </w:rPr>
        <w:t>Georgia</w:t>
      </w:r>
      <w:r w:rsidRPr="00D341ED">
        <w:rPr>
          <w:rFonts w:ascii="Times New Roman" w:hAnsi="Times New Roman"/>
          <w:bCs/>
          <w:color w:val="000000"/>
          <w:sz w:val="24"/>
          <w:szCs w:val="24"/>
          <w:lang w:val="en-GB"/>
        </w:rPr>
        <w:t xml:space="preserve"> (2021-2025</w:t>
      </w:r>
      <w:r w:rsidRPr="00D341ED">
        <w:rPr>
          <w:rFonts w:ascii="Times New Roman" w:hAnsi="Times New Roman"/>
          <w:bCs/>
          <w:sz w:val="24"/>
          <w:szCs w:val="24"/>
          <w:lang w:val="en-GB"/>
        </w:rPr>
        <w:t>)</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871"/>
        <w:gridCol w:w="3083"/>
        <w:gridCol w:w="2858"/>
        <w:gridCol w:w="1766"/>
        <w:gridCol w:w="2507"/>
      </w:tblGrid>
      <w:tr w:rsidR="0002497E" w:rsidRPr="00D341ED" w14:paraId="621FC89D" w14:textId="77777777" w:rsidTr="000831C4">
        <w:tc>
          <w:tcPr>
            <w:tcW w:w="5000" w:type="pct"/>
            <w:gridSpan w:val="5"/>
            <w:shd w:val="clear" w:color="auto" w:fill="auto"/>
            <w:tcMar>
              <w:top w:w="72" w:type="dxa"/>
              <w:left w:w="144" w:type="dxa"/>
              <w:bottom w:w="72" w:type="dxa"/>
              <w:right w:w="144" w:type="dxa"/>
            </w:tcMar>
          </w:tcPr>
          <w:p w14:paraId="139957CF" w14:textId="22F3A635" w:rsidR="0002497E" w:rsidRPr="00D341ED" w:rsidRDefault="0002497E" w:rsidP="00475B8F">
            <w:pPr>
              <w:rPr>
                <w:color w:val="000000" w:themeColor="text1"/>
                <w:sz w:val="16"/>
                <w:szCs w:val="16"/>
                <w:lang w:val="en-GB"/>
              </w:rPr>
            </w:pPr>
            <w:r w:rsidRPr="00D341ED">
              <w:rPr>
                <w:b/>
                <w:bCs/>
                <w:color w:val="000000" w:themeColor="text1"/>
                <w:sz w:val="16"/>
                <w:szCs w:val="16"/>
                <w:lang w:val="en-GB"/>
              </w:rPr>
              <w:t xml:space="preserve">NATIONAL PRIORITY OR GOAL: </w:t>
            </w:r>
            <w:r w:rsidRPr="00D341ED">
              <w:rPr>
                <w:color w:val="000000" w:themeColor="text1"/>
                <w:sz w:val="16"/>
                <w:szCs w:val="16"/>
                <w:lang w:val="en-GB"/>
              </w:rPr>
              <w:t xml:space="preserve">Government programme “Georgia 2020” recognizes </w:t>
            </w:r>
            <w:r w:rsidR="00F9633A" w:rsidRPr="00D341ED">
              <w:rPr>
                <w:color w:val="000000" w:themeColor="text1"/>
                <w:sz w:val="16"/>
                <w:szCs w:val="16"/>
                <w:lang w:val="en-GB"/>
              </w:rPr>
              <w:t xml:space="preserve">the </w:t>
            </w:r>
            <w:r w:rsidRPr="00D341ED">
              <w:rPr>
                <w:color w:val="000000" w:themeColor="text1"/>
                <w:sz w:val="16"/>
                <w:szCs w:val="16"/>
                <w:lang w:val="en-GB"/>
              </w:rPr>
              <w:t>principles of democratic development, rule of law, efficient administration, respect for human rights and basic freedoms as a basis for its policy and strives its attainment</w:t>
            </w:r>
            <w:r w:rsidR="00F9633A" w:rsidRPr="00D341ED">
              <w:rPr>
                <w:color w:val="000000" w:themeColor="text1"/>
                <w:sz w:val="16"/>
                <w:szCs w:val="16"/>
                <w:lang w:val="en-GB"/>
              </w:rPr>
              <w:t>.</w:t>
            </w:r>
          </w:p>
        </w:tc>
      </w:tr>
      <w:tr w:rsidR="0002497E" w:rsidRPr="00D341ED" w14:paraId="5A9E318E" w14:textId="77777777" w:rsidTr="000831C4">
        <w:tc>
          <w:tcPr>
            <w:tcW w:w="5000" w:type="pct"/>
            <w:gridSpan w:val="5"/>
            <w:shd w:val="clear" w:color="auto" w:fill="auto"/>
            <w:tcMar>
              <w:top w:w="72" w:type="dxa"/>
              <w:left w:w="144" w:type="dxa"/>
              <w:bottom w:w="72" w:type="dxa"/>
              <w:right w:w="144" w:type="dxa"/>
            </w:tcMar>
          </w:tcPr>
          <w:p w14:paraId="243BAD2B" w14:textId="716BC3E0" w:rsidR="0002497E" w:rsidRPr="00D341ED" w:rsidRDefault="00CF396A" w:rsidP="00475B8F">
            <w:pPr>
              <w:rPr>
                <w:color w:val="000000" w:themeColor="text1"/>
                <w:sz w:val="16"/>
                <w:szCs w:val="16"/>
                <w:lang w:val="en-GB"/>
              </w:rPr>
            </w:pPr>
            <w:r w:rsidRPr="00D341ED">
              <w:rPr>
                <w:b/>
                <w:bCs/>
                <w:color w:val="000000" w:themeColor="text1"/>
                <w:sz w:val="16"/>
                <w:szCs w:val="16"/>
                <w:lang w:val="en-GB"/>
              </w:rPr>
              <w:t>UNSDCF</w:t>
            </w:r>
            <w:r w:rsidR="00280C36" w:rsidRPr="00D341ED">
              <w:rPr>
                <w:b/>
                <w:bCs/>
                <w:color w:val="000000" w:themeColor="text1"/>
                <w:sz w:val="16"/>
                <w:szCs w:val="16"/>
                <w:lang w:val="en-GB"/>
              </w:rPr>
              <w:t xml:space="preserve">, 2021-2025, </w:t>
            </w:r>
            <w:r w:rsidR="0002497E" w:rsidRPr="00D341ED">
              <w:rPr>
                <w:b/>
                <w:bCs/>
                <w:color w:val="000000" w:themeColor="text1"/>
                <w:sz w:val="16"/>
                <w:szCs w:val="16"/>
                <w:lang w:val="en-GB"/>
              </w:rPr>
              <w:t>OUTCOME INVOLVING UNDP 1</w:t>
            </w:r>
            <w:r w:rsidR="0002497E" w:rsidRPr="00D341ED">
              <w:rPr>
                <w:color w:val="000000" w:themeColor="text1"/>
                <w:sz w:val="16"/>
                <w:szCs w:val="16"/>
                <w:lang w:val="en-GB"/>
              </w:rPr>
              <w:t>: By 2025, all people in Georgia enjoy improved good governance, more open, resilient and accountable institutions, rule of law, equal access to justice, human rights, and increased representation and participation of women in decision making</w:t>
            </w:r>
            <w:r w:rsidR="00F9633A" w:rsidRPr="00D341ED">
              <w:rPr>
                <w:color w:val="000000" w:themeColor="text1"/>
                <w:sz w:val="16"/>
                <w:szCs w:val="16"/>
                <w:lang w:val="en-GB"/>
              </w:rPr>
              <w:t>.</w:t>
            </w:r>
          </w:p>
        </w:tc>
      </w:tr>
      <w:tr w:rsidR="0002497E" w:rsidRPr="00D341ED" w14:paraId="30065D17" w14:textId="77777777" w:rsidTr="000831C4">
        <w:tc>
          <w:tcPr>
            <w:tcW w:w="5000" w:type="pct"/>
            <w:gridSpan w:val="5"/>
            <w:shd w:val="clear" w:color="auto" w:fill="auto"/>
            <w:tcMar>
              <w:top w:w="72" w:type="dxa"/>
              <w:left w:w="144" w:type="dxa"/>
              <w:bottom w:w="72" w:type="dxa"/>
              <w:right w:w="144" w:type="dxa"/>
            </w:tcMar>
          </w:tcPr>
          <w:p w14:paraId="2FDD4ED3" w14:textId="7DD36B56" w:rsidR="0002497E" w:rsidRPr="00D341ED" w:rsidRDefault="0002497E" w:rsidP="00475B8F">
            <w:pPr>
              <w:rPr>
                <w:b/>
                <w:bCs/>
                <w:color w:val="000000" w:themeColor="text1"/>
                <w:sz w:val="16"/>
                <w:szCs w:val="16"/>
                <w:lang w:val="en-GB"/>
              </w:rPr>
            </w:pPr>
            <w:r w:rsidRPr="00D341ED">
              <w:rPr>
                <w:b/>
                <w:bCs/>
                <w:color w:val="000000" w:themeColor="text1"/>
                <w:sz w:val="16"/>
                <w:szCs w:val="16"/>
                <w:lang w:val="en-GB"/>
              </w:rPr>
              <w:t xml:space="preserve">RELATED </w:t>
            </w:r>
            <w:r w:rsidR="00CF396A" w:rsidRPr="00D341ED">
              <w:rPr>
                <w:b/>
                <w:bCs/>
                <w:color w:val="000000" w:themeColor="text1"/>
                <w:sz w:val="16"/>
                <w:szCs w:val="16"/>
                <w:lang w:val="en-GB"/>
              </w:rPr>
              <w:t xml:space="preserve">UNDP </w:t>
            </w:r>
            <w:r w:rsidRPr="00D341ED">
              <w:rPr>
                <w:b/>
                <w:bCs/>
                <w:color w:val="000000" w:themeColor="text1"/>
                <w:sz w:val="16"/>
                <w:szCs w:val="16"/>
                <w:lang w:val="en-GB"/>
              </w:rPr>
              <w:t>STRATEGIC PLAN</w:t>
            </w:r>
            <w:r w:rsidR="00CF396A" w:rsidRPr="00D341ED">
              <w:rPr>
                <w:b/>
                <w:bCs/>
                <w:color w:val="000000" w:themeColor="text1"/>
                <w:sz w:val="16"/>
                <w:szCs w:val="16"/>
                <w:lang w:val="en-GB"/>
              </w:rPr>
              <w:t xml:space="preserve">, 2018-2021, </w:t>
            </w:r>
            <w:r w:rsidRPr="00D341ED">
              <w:rPr>
                <w:b/>
                <w:bCs/>
                <w:color w:val="000000" w:themeColor="text1"/>
                <w:sz w:val="16"/>
                <w:szCs w:val="16"/>
                <w:lang w:val="en-GB"/>
              </w:rPr>
              <w:t xml:space="preserve">OUTCOME: </w:t>
            </w:r>
            <w:r w:rsidRPr="00D341ED">
              <w:rPr>
                <w:color w:val="000000" w:themeColor="text1"/>
                <w:sz w:val="16"/>
                <w:szCs w:val="16"/>
                <w:lang w:val="en-GB"/>
              </w:rPr>
              <w:t>Outcome 2</w:t>
            </w:r>
            <w:r w:rsidR="00F9633A" w:rsidRPr="00D341ED">
              <w:rPr>
                <w:color w:val="000000" w:themeColor="text1"/>
                <w:sz w:val="16"/>
                <w:szCs w:val="16"/>
                <w:lang w:val="en-GB"/>
              </w:rPr>
              <w:t xml:space="preserve">. </w:t>
            </w:r>
            <w:r w:rsidRPr="00D341ED">
              <w:rPr>
                <w:color w:val="000000" w:themeColor="text1"/>
                <w:sz w:val="16"/>
                <w:szCs w:val="16"/>
                <w:lang w:val="en-GB"/>
              </w:rPr>
              <w:t>Accelerate structural transformations for sustainable development</w:t>
            </w:r>
            <w:r w:rsidR="00F9633A" w:rsidRPr="00D341ED">
              <w:rPr>
                <w:color w:val="000000" w:themeColor="text1"/>
                <w:sz w:val="16"/>
                <w:szCs w:val="16"/>
                <w:lang w:val="en-GB"/>
              </w:rPr>
              <w:t>.</w:t>
            </w:r>
          </w:p>
        </w:tc>
      </w:tr>
      <w:tr w:rsidR="009F2509" w:rsidRPr="00D341ED" w14:paraId="7334FF96" w14:textId="77777777" w:rsidTr="000831C4">
        <w:trPr>
          <w:tblHeader/>
        </w:trPr>
        <w:tc>
          <w:tcPr>
            <w:tcW w:w="1097" w:type="pct"/>
            <w:shd w:val="clear" w:color="auto" w:fill="auto"/>
            <w:tcMar>
              <w:top w:w="72" w:type="dxa"/>
              <w:left w:w="144" w:type="dxa"/>
              <w:bottom w:w="72" w:type="dxa"/>
              <w:right w:w="144" w:type="dxa"/>
            </w:tcMar>
            <w:vAlign w:val="center"/>
          </w:tcPr>
          <w:p w14:paraId="1B4EF290" w14:textId="77777777" w:rsidR="007A05B6" w:rsidRPr="00D341ED" w:rsidRDefault="007E5629" w:rsidP="00475B8F">
            <w:pPr>
              <w:jc w:val="center"/>
              <w:rPr>
                <w:color w:val="000000" w:themeColor="text1"/>
                <w:sz w:val="16"/>
                <w:szCs w:val="16"/>
                <w:lang w:val="en-GB"/>
              </w:rPr>
            </w:pPr>
            <w:r w:rsidRPr="00D341ED">
              <w:rPr>
                <w:b/>
                <w:bCs/>
                <w:color w:val="000000" w:themeColor="text1"/>
                <w:sz w:val="16"/>
                <w:szCs w:val="16"/>
                <w:lang w:val="en-GB"/>
              </w:rPr>
              <w:t xml:space="preserve">COOPERATION FRAMEWORK </w:t>
            </w:r>
            <w:r w:rsidR="007A05B6" w:rsidRPr="00D341ED">
              <w:rPr>
                <w:b/>
                <w:bCs/>
                <w:color w:val="000000" w:themeColor="text1"/>
                <w:sz w:val="16"/>
                <w:szCs w:val="16"/>
                <w:lang w:val="en-GB"/>
              </w:rPr>
              <w:t>OUTCOME INDICATOR(S), BASELINES, TARGET(S)</w:t>
            </w:r>
          </w:p>
        </w:tc>
        <w:tc>
          <w:tcPr>
            <w:tcW w:w="1178" w:type="pct"/>
            <w:shd w:val="clear" w:color="auto" w:fill="auto"/>
            <w:vAlign w:val="center"/>
          </w:tcPr>
          <w:p w14:paraId="28228DD7" w14:textId="77777777" w:rsidR="007A05B6" w:rsidRPr="00D341ED" w:rsidRDefault="007A05B6" w:rsidP="00475B8F">
            <w:pPr>
              <w:jc w:val="center"/>
              <w:rPr>
                <w:b/>
                <w:color w:val="000000" w:themeColor="text1"/>
                <w:sz w:val="16"/>
                <w:szCs w:val="16"/>
                <w:lang w:val="en-GB"/>
              </w:rPr>
            </w:pPr>
            <w:r w:rsidRPr="00D341ED">
              <w:rPr>
                <w:b/>
                <w:color w:val="000000" w:themeColor="text1"/>
                <w:sz w:val="16"/>
                <w:szCs w:val="16"/>
                <w:lang w:val="en-GB"/>
              </w:rPr>
              <w:t>DATA SOURCE AND FREQUENCY OF DATA COLLECTION, AND RESPONSIBILITIES</w:t>
            </w:r>
          </w:p>
        </w:tc>
        <w:tc>
          <w:tcPr>
            <w:tcW w:w="1092" w:type="pct"/>
            <w:shd w:val="clear" w:color="auto" w:fill="auto"/>
            <w:tcMar>
              <w:top w:w="72" w:type="dxa"/>
              <w:left w:w="144" w:type="dxa"/>
              <w:bottom w:w="72" w:type="dxa"/>
              <w:right w:w="144" w:type="dxa"/>
            </w:tcMar>
            <w:vAlign w:val="center"/>
          </w:tcPr>
          <w:p w14:paraId="7D63BE93" w14:textId="77777777" w:rsidR="007A05B6" w:rsidRPr="00D341ED" w:rsidRDefault="007A05B6" w:rsidP="00475B8F">
            <w:pPr>
              <w:jc w:val="center"/>
              <w:rPr>
                <w:color w:val="000000" w:themeColor="text1"/>
                <w:sz w:val="16"/>
                <w:szCs w:val="16"/>
                <w:lang w:val="en-GB"/>
              </w:rPr>
            </w:pPr>
            <w:r w:rsidRPr="00D341ED">
              <w:rPr>
                <w:b/>
                <w:bCs/>
                <w:color w:val="000000" w:themeColor="text1"/>
                <w:sz w:val="16"/>
                <w:szCs w:val="16"/>
                <w:lang w:val="en-GB"/>
              </w:rPr>
              <w:t>INDICATIVE COUNTRY PROGRAMME OUTPUTS (including indicators, baselines targets)</w:t>
            </w:r>
          </w:p>
        </w:tc>
        <w:tc>
          <w:tcPr>
            <w:tcW w:w="675" w:type="pct"/>
            <w:shd w:val="clear" w:color="auto" w:fill="auto"/>
            <w:vAlign w:val="center"/>
          </w:tcPr>
          <w:p w14:paraId="6152AC89" w14:textId="77777777" w:rsidR="007A05B6" w:rsidRPr="00D341ED" w:rsidRDefault="007A05B6" w:rsidP="00475B8F">
            <w:pPr>
              <w:jc w:val="center"/>
              <w:rPr>
                <w:b/>
                <w:bCs/>
                <w:color w:val="000000" w:themeColor="text1"/>
                <w:sz w:val="16"/>
                <w:szCs w:val="16"/>
                <w:lang w:val="en-GB"/>
              </w:rPr>
            </w:pPr>
            <w:r w:rsidRPr="00D341ED">
              <w:rPr>
                <w:b/>
                <w:bCs/>
                <w:color w:val="000000" w:themeColor="text1"/>
                <w:sz w:val="16"/>
                <w:szCs w:val="16"/>
                <w:lang w:val="en-GB"/>
              </w:rPr>
              <w:t>MAJOR PARTNERS</w:t>
            </w:r>
            <w:r w:rsidR="009B4DA7" w:rsidRPr="00D341ED">
              <w:rPr>
                <w:b/>
                <w:bCs/>
                <w:color w:val="000000" w:themeColor="text1"/>
                <w:sz w:val="16"/>
                <w:szCs w:val="16"/>
                <w:lang w:val="en-GB"/>
              </w:rPr>
              <w:t xml:space="preserve"> </w:t>
            </w:r>
            <w:r w:rsidRPr="00D341ED">
              <w:rPr>
                <w:b/>
                <w:bCs/>
                <w:color w:val="000000" w:themeColor="text1"/>
                <w:sz w:val="16"/>
                <w:szCs w:val="16"/>
                <w:lang w:val="en-GB"/>
              </w:rPr>
              <w:t>/</w:t>
            </w:r>
            <w:r w:rsidR="009B4DA7" w:rsidRPr="00D341ED">
              <w:rPr>
                <w:b/>
                <w:bCs/>
                <w:color w:val="000000" w:themeColor="text1"/>
                <w:sz w:val="16"/>
                <w:szCs w:val="16"/>
                <w:lang w:val="en-GB"/>
              </w:rPr>
              <w:t xml:space="preserve"> </w:t>
            </w:r>
            <w:r w:rsidRPr="00D341ED">
              <w:rPr>
                <w:b/>
                <w:bCs/>
                <w:color w:val="000000" w:themeColor="text1"/>
                <w:sz w:val="16"/>
                <w:szCs w:val="16"/>
                <w:lang w:val="en-GB"/>
              </w:rPr>
              <w:t>PARTNERSHIPS</w:t>
            </w:r>
          </w:p>
          <w:p w14:paraId="72DFE876" w14:textId="77777777" w:rsidR="007A05B6" w:rsidRPr="00D341ED" w:rsidRDefault="007A05B6" w:rsidP="00475B8F">
            <w:pPr>
              <w:jc w:val="center"/>
              <w:rPr>
                <w:b/>
                <w:bCs/>
                <w:color w:val="000000" w:themeColor="text1"/>
                <w:sz w:val="16"/>
                <w:szCs w:val="16"/>
                <w:lang w:val="en-GB"/>
              </w:rPr>
            </w:pPr>
            <w:r w:rsidRPr="00D341ED">
              <w:rPr>
                <w:b/>
                <w:bCs/>
                <w:color w:val="000000" w:themeColor="text1"/>
                <w:sz w:val="16"/>
                <w:szCs w:val="16"/>
                <w:lang w:val="en-GB"/>
              </w:rPr>
              <w:t>FRAMEWORKS</w:t>
            </w:r>
          </w:p>
        </w:tc>
        <w:tc>
          <w:tcPr>
            <w:tcW w:w="958" w:type="pct"/>
            <w:shd w:val="clear" w:color="auto" w:fill="auto"/>
            <w:tcMar>
              <w:top w:w="15" w:type="dxa"/>
              <w:left w:w="108" w:type="dxa"/>
              <w:bottom w:w="0" w:type="dxa"/>
              <w:right w:w="108" w:type="dxa"/>
            </w:tcMar>
            <w:vAlign w:val="center"/>
          </w:tcPr>
          <w:p w14:paraId="4EAB9E09" w14:textId="77777777" w:rsidR="00F9633A" w:rsidRPr="00D341ED" w:rsidRDefault="00B81568" w:rsidP="00475B8F">
            <w:pPr>
              <w:jc w:val="center"/>
              <w:rPr>
                <w:b/>
                <w:bCs/>
                <w:color w:val="000000" w:themeColor="text1"/>
                <w:sz w:val="16"/>
                <w:szCs w:val="16"/>
                <w:lang w:val="en-GB"/>
              </w:rPr>
            </w:pPr>
            <w:r w:rsidRPr="00D341ED">
              <w:rPr>
                <w:b/>
                <w:bCs/>
                <w:color w:val="000000" w:themeColor="text1"/>
                <w:sz w:val="16"/>
                <w:szCs w:val="16"/>
                <w:lang w:val="en-GB"/>
              </w:rPr>
              <w:t>ESTIMATED COST</w:t>
            </w:r>
            <w:r w:rsidR="007A05B6" w:rsidRPr="00D341ED">
              <w:rPr>
                <w:b/>
                <w:bCs/>
                <w:color w:val="000000" w:themeColor="text1"/>
                <w:sz w:val="16"/>
                <w:szCs w:val="16"/>
                <w:lang w:val="en-GB"/>
              </w:rPr>
              <w:t xml:space="preserve"> BY OUTCOME</w:t>
            </w:r>
          </w:p>
          <w:p w14:paraId="3D0ABB1E" w14:textId="7E24A48A" w:rsidR="007A05B6" w:rsidRPr="00D341ED" w:rsidRDefault="007A05B6" w:rsidP="00475B8F">
            <w:pPr>
              <w:jc w:val="center"/>
              <w:rPr>
                <w:i/>
                <w:iCs/>
                <w:color w:val="000000" w:themeColor="text1"/>
                <w:sz w:val="16"/>
                <w:szCs w:val="16"/>
                <w:lang w:val="en-GB"/>
              </w:rPr>
            </w:pPr>
            <w:r w:rsidRPr="00D341ED">
              <w:rPr>
                <w:i/>
                <w:iCs/>
                <w:color w:val="000000" w:themeColor="text1"/>
                <w:sz w:val="16"/>
                <w:szCs w:val="16"/>
                <w:lang w:val="en-GB"/>
              </w:rPr>
              <w:t>(</w:t>
            </w:r>
            <w:r w:rsidR="00F9633A" w:rsidRPr="00D341ED">
              <w:rPr>
                <w:i/>
                <w:iCs/>
                <w:color w:val="000000" w:themeColor="text1"/>
                <w:sz w:val="16"/>
                <w:szCs w:val="16"/>
                <w:lang w:val="en-GB"/>
              </w:rPr>
              <w:t>United States dollars</w:t>
            </w:r>
            <w:r w:rsidRPr="00D341ED">
              <w:rPr>
                <w:i/>
                <w:iCs/>
                <w:color w:val="000000" w:themeColor="text1"/>
                <w:sz w:val="16"/>
                <w:szCs w:val="16"/>
                <w:lang w:val="en-GB"/>
              </w:rPr>
              <w:t>)</w:t>
            </w:r>
          </w:p>
        </w:tc>
      </w:tr>
      <w:tr w:rsidR="0090158F" w:rsidRPr="00D341ED" w14:paraId="726DA8A5" w14:textId="77777777" w:rsidTr="005A353B">
        <w:tc>
          <w:tcPr>
            <w:tcW w:w="1097" w:type="pct"/>
            <w:vMerge w:val="restart"/>
            <w:tcMar>
              <w:top w:w="72" w:type="dxa"/>
              <w:left w:w="144" w:type="dxa"/>
              <w:bottom w:w="72" w:type="dxa"/>
              <w:right w:w="144" w:type="dxa"/>
            </w:tcMar>
          </w:tcPr>
          <w:p w14:paraId="05272D24" w14:textId="70A0A02D" w:rsidR="0090158F" w:rsidRPr="00D341ED" w:rsidRDefault="0090158F" w:rsidP="00475B8F">
            <w:pPr>
              <w:spacing w:line="0" w:lineRule="atLeast"/>
              <w:rPr>
                <w:color w:val="000000" w:themeColor="text1"/>
                <w:sz w:val="16"/>
                <w:szCs w:val="16"/>
                <w:lang w:val="en-GB"/>
              </w:rPr>
            </w:pPr>
            <w:r w:rsidRPr="00D341ED">
              <w:rPr>
                <w:b/>
                <w:bCs/>
                <w:color w:val="000000" w:themeColor="text1"/>
                <w:sz w:val="16"/>
                <w:szCs w:val="16"/>
                <w:lang w:val="en-GB"/>
              </w:rPr>
              <w:t>1.1.</w:t>
            </w:r>
            <w:r w:rsidRPr="00D341ED">
              <w:rPr>
                <w:color w:val="000000" w:themeColor="text1"/>
                <w:sz w:val="16"/>
                <w:szCs w:val="16"/>
                <w:lang w:val="en-GB"/>
              </w:rPr>
              <w:t xml:space="preserve"> (</w:t>
            </w:r>
            <w:r w:rsidR="00CF396A" w:rsidRPr="00D341ED">
              <w:rPr>
                <w:color w:val="000000" w:themeColor="text1"/>
                <w:sz w:val="16"/>
                <w:szCs w:val="16"/>
                <w:lang w:val="en-GB"/>
              </w:rPr>
              <w:t>UNSD</w:t>
            </w:r>
            <w:r w:rsidRPr="00D341ED">
              <w:rPr>
                <w:color w:val="000000" w:themeColor="text1"/>
                <w:sz w:val="16"/>
                <w:szCs w:val="16"/>
                <w:lang w:val="en-GB"/>
              </w:rPr>
              <w:t xml:space="preserve">CF </w:t>
            </w:r>
            <w:r w:rsidR="00CF396A" w:rsidRPr="00D341ED">
              <w:rPr>
                <w:color w:val="000000" w:themeColor="text1"/>
                <w:sz w:val="16"/>
                <w:szCs w:val="16"/>
                <w:lang w:val="en-GB"/>
              </w:rPr>
              <w:t>i</w:t>
            </w:r>
            <w:r w:rsidRPr="00D341ED">
              <w:rPr>
                <w:color w:val="000000" w:themeColor="text1"/>
                <w:sz w:val="16"/>
                <w:szCs w:val="16"/>
                <w:lang w:val="en-GB"/>
              </w:rPr>
              <w:t>ndicator 1.1)</w:t>
            </w:r>
            <w:r w:rsidR="00CF396A" w:rsidRPr="00D341ED">
              <w:rPr>
                <w:color w:val="000000" w:themeColor="text1"/>
                <w:sz w:val="16"/>
                <w:szCs w:val="16"/>
                <w:lang w:val="en-GB"/>
              </w:rPr>
              <w:t xml:space="preserve"> </w:t>
            </w:r>
            <w:r w:rsidRPr="00D341ED">
              <w:rPr>
                <w:color w:val="000000" w:themeColor="text1"/>
                <w:sz w:val="16"/>
                <w:szCs w:val="16"/>
                <w:lang w:val="en-GB"/>
              </w:rPr>
              <w:t>[N</w:t>
            </w:r>
            <w:r w:rsidR="00CF396A" w:rsidRPr="00D341ED">
              <w:rPr>
                <w:color w:val="000000" w:themeColor="text1"/>
                <w:sz w:val="16"/>
                <w:szCs w:val="16"/>
                <w:lang w:val="en-GB"/>
              </w:rPr>
              <w:t xml:space="preserve">ational </w:t>
            </w:r>
            <w:r w:rsidRPr="00D341ED">
              <w:rPr>
                <w:color w:val="000000" w:themeColor="text1"/>
                <w:sz w:val="16"/>
                <w:szCs w:val="16"/>
                <w:lang w:val="en-GB"/>
              </w:rPr>
              <w:t xml:space="preserve">SDG 16.6.2.5] Rule of </w:t>
            </w:r>
            <w:r w:rsidR="00CF396A" w:rsidRPr="00D341ED">
              <w:rPr>
                <w:color w:val="000000" w:themeColor="text1"/>
                <w:sz w:val="16"/>
                <w:szCs w:val="16"/>
                <w:lang w:val="en-GB"/>
              </w:rPr>
              <w:t>l</w:t>
            </w:r>
            <w:r w:rsidRPr="00D341ED">
              <w:rPr>
                <w:color w:val="000000" w:themeColor="text1"/>
                <w:sz w:val="16"/>
                <w:szCs w:val="16"/>
                <w:lang w:val="en-GB"/>
              </w:rPr>
              <w:t>aw index</w:t>
            </w:r>
          </w:p>
          <w:p w14:paraId="4AFB6245" w14:textId="5D2DD99A" w:rsidR="0090158F" w:rsidRPr="00D341ED" w:rsidRDefault="00CF396A" w:rsidP="00475B8F">
            <w:pPr>
              <w:spacing w:line="0" w:lineRule="atLeast"/>
              <w:rPr>
                <w:color w:val="000000" w:themeColor="text1"/>
                <w:sz w:val="16"/>
                <w:szCs w:val="16"/>
                <w:lang w:val="en-GB"/>
              </w:rPr>
            </w:pPr>
            <w:r w:rsidRPr="00D341ED">
              <w:rPr>
                <w:b/>
                <w:bCs/>
                <w:color w:val="000000" w:themeColor="text1"/>
                <w:sz w:val="16"/>
                <w:szCs w:val="16"/>
                <w:lang w:val="en-GB"/>
              </w:rPr>
              <w:t>B</w:t>
            </w:r>
            <w:r w:rsidR="0090158F" w:rsidRPr="00D341ED">
              <w:rPr>
                <w:b/>
                <w:bCs/>
                <w:color w:val="000000" w:themeColor="text1"/>
                <w:sz w:val="16"/>
                <w:szCs w:val="16"/>
                <w:lang w:val="en-GB"/>
              </w:rPr>
              <w:t>aseline</w:t>
            </w:r>
            <w:r w:rsidR="0090158F" w:rsidRPr="00D341ED">
              <w:rPr>
                <w:color w:val="000000" w:themeColor="text1"/>
                <w:sz w:val="16"/>
                <w:szCs w:val="16"/>
                <w:lang w:val="en-GB"/>
              </w:rPr>
              <w:t xml:space="preserve"> (2019): percentile rank 62.02</w:t>
            </w:r>
          </w:p>
          <w:p w14:paraId="28F5C0A4" w14:textId="77777777" w:rsidR="0090158F" w:rsidRPr="00D341ED" w:rsidRDefault="0090158F" w:rsidP="00475B8F">
            <w:pPr>
              <w:spacing w:line="0" w:lineRule="atLeast"/>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&gt;63</w:t>
            </w:r>
          </w:p>
          <w:p w14:paraId="76EC29AB" w14:textId="77777777" w:rsidR="0090158F" w:rsidRPr="00D341ED" w:rsidRDefault="0090158F" w:rsidP="00475B8F">
            <w:pPr>
              <w:spacing w:line="0" w:lineRule="atLeast"/>
              <w:rPr>
                <w:color w:val="000000" w:themeColor="text1"/>
                <w:sz w:val="16"/>
                <w:szCs w:val="16"/>
                <w:lang w:val="en-GB"/>
              </w:rPr>
            </w:pPr>
          </w:p>
          <w:p w14:paraId="5D077A02" w14:textId="454684A9" w:rsidR="0090158F" w:rsidRPr="00D341ED" w:rsidRDefault="0090158F" w:rsidP="00475B8F">
            <w:pPr>
              <w:spacing w:line="0" w:lineRule="atLeast"/>
              <w:rPr>
                <w:color w:val="000000" w:themeColor="text1"/>
                <w:sz w:val="16"/>
                <w:szCs w:val="16"/>
                <w:lang w:val="en-GB"/>
              </w:rPr>
            </w:pPr>
            <w:r w:rsidRPr="00D341ED">
              <w:rPr>
                <w:b/>
                <w:bCs/>
                <w:color w:val="000000" w:themeColor="text1"/>
                <w:sz w:val="16"/>
                <w:szCs w:val="16"/>
                <w:lang w:val="en-GB"/>
              </w:rPr>
              <w:t>1.2.</w:t>
            </w:r>
            <w:r w:rsidRPr="00D341ED">
              <w:rPr>
                <w:color w:val="000000" w:themeColor="text1"/>
                <w:sz w:val="16"/>
                <w:szCs w:val="16"/>
                <w:lang w:val="en-GB"/>
              </w:rPr>
              <w:t xml:space="preserve"> (</w:t>
            </w:r>
            <w:r w:rsidR="00CF396A" w:rsidRPr="00D341ED">
              <w:rPr>
                <w:color w:val="000000" w:themeColor="text1"/>
                <w:sz w:val="16"/>
                <w:szCs w:val="16"/>
                <w:lang w:val="en-GB"/>
              </w:rPr>
              <w:t>UNSD</w:t>
            </w:r>
            <w:r w:rsidRPr="00D341ED">
              <w:rPr>
                <w:color w:val="000000" w:themeColor="text1"/>
                <w:sz w:val="16"/>
                <w:szCs w:val="16"/>
                <w:lang w:val="en-GB"/>
              </w:rPr>
              <w:t xml:space="preserve">CF </w:t>
            </w:r>
            <w:r w:rsidR="00CF396A" w:rsidRPr="00D341ED">
              <w:rPr>
                <w:color w:val="000000" w:themeColor="text1"/>
                <w:sz w:val="16"/>
                <w:szCs w:val="16"/>
                <w:lang w:val="en-GB"/>
              </w:rPr>
              <w:t>i</w:t>
            </w:r>
            <w:r w:rsidRPr="00D341ED">
              <w:rPr>
                <w:color w:val="000000" w:themeColor="text1"/>
                <w:sz w:val="16"/>
                <w:szCs w:val="16"/>
                <w:lang w:val="en-GB"/>
              </w:rPr>
              <w:t>ndicator 1.2)</w:t>
            </w:r>
            <w:r w:rsidR="00CF396A" w:rsidRPr="00D341ED">
              <w:rPr>
                <w:color w:val="000000" w:themeColor="text1"/>
                <w:sz w:val="16"/>
                <w:szCs w:val="16"/>
                <w:lang w:val="en-GB"/>
              </w:rPr>
              <w:t xml:space="preserve"> </w:t>
            </w:r>
            <w:r w:rsidRPr="00D341ED">
              <w:rPr>
                <w:color w:val="000000" w:themeColor="text1"/>
                <w:sz w:val="16"/>
                <w:szCs w:val="16"/>
                <w:lang w:val="en-GB"/>
              </w:rPr>
              <w:t>[</w:t>
            </w:r>
            <w:r w:rsidR="00CF396A" w:rsidRPr="00D341ED">
              <w:rPr>
                <w:color w:val="000000" w:themeColor="text1"/>
                <w:sz w:val="16"/>
                <w:szCs w:val="16"/>
                <w:lang w:val="en-GB"/>
              </w:rPr>
              <w:t xml:space="preserve">National </w:t>
            </w:r>
            <w:r w:rsidRPr="00D341ED">
              <w:rPr>
                <w:color w:val="000000" w:themeColor="text1"/>
                <w:sz w:val="16"/>
                <w:szCs w:val="16"/>
                <w:lang w:val="en-GB"/>
              </w:rPr>
              <w:t xml:space="preserve">SDG 16.6.2.2] Voice and </w:t>
            </w:r>
            <w:r w:rsidR="00CF396A" w:rsidRPr="00D341ED">
              <w:rPr>
                <w:color w:val="000000" w:themeColor="text1"/>
                <w:sz w:val="16"/>
                <w:szCs w:val="16"/>
                <w:lang w:val="en-GB"/>
              </w:rPr>
              <w:t>a</w:t>
            </w:r>
            <w:r w:rsidRPr="00D341ED">
              <w:rPr>
                <w:color w:val="000000" w:themeColor="text1"/>
                <w:sz w:val="16"/>
                <w:szCs w:val="16"/>
                <w:lang w:val="en-GB"/>
              </w:rPr>
              <w:t>ccountability index</w:t>
            </w:r>
          </w:p>
          <w:p w14:paraId="02E0865B" w14:textId="2A1CDBF6" w:rsidR="0090158F" w:rsidRPr="00D341ED" w:rsidRDefault="0090158F" w:rsidP="00475B8F">
            <w:pPr>
              <w:spacing w:line="0" w:lineRule="atLeast"/>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(2019): percentile rank 53.20 </w:t>
            </w:r>
          </w:p>
          <w:p w14:paraId="7A8F0C8C" w14:textId="77777777" w:rsidR="0090158F" w:rsidRPr="00D341ED" w:rsidRDefault="0090158F" w:rsidP="00475B8F">
            <w:pPr>
              <w:spacing w:line="0" w:lineRule="atLeast"/>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&gt;54</w:t>
            </w:r>
            <w:r w:rsidRPr="00D341ED">
              <w:rPr>
                <w:color w:val="000000" w:themeColor="text1"/>
                <w:sz w:val="16"/>
                <w:szCs w:val="16"/>
                <w:lang w:val="en-GB"/>
              </w:rPr>
              <w:br/>
            </w:r>
          </w:p>
          <w:p w14:paraId="5CE15F9B" w14:textId="3D5C2116" w:rsidR="0090158F" w:rsidRPr="00D341ED" w:rsidRDefault="0090158F" w:rsidP="00475B8F">
            <w:pPr>
              <w:rPr>
                <w:color w:val="000000" w:themeColor="text1"/>
                <w:sz w:val="16"/>
                <w:szCs w:val="16"/>
                <w:lang w:val="en-GB"/>
              </w:rPr>
            </w:pPr>
            <w:r w:rsidRPr="00D341ED">
              <w:rPr>
                <w:b/>
                <w:bCs/>
                <w:color w:val="000000" w:themeColor="text1"/>
                <w:sz w:val="16"/>
                <w:szCs w:val="16"/>
                <w:lang w:val="en-GB"/>
              </w:rPr>
              <w:t>1.3.</w:t>
            </w:r>
            <w:r w:rsidRPr="00D341ED">
              <w:rPr>
                <w:color w:val="000000" w:themeColor="text1"/>
                <w:sz w:val="16"/>
                <w:szCs w:val="16"/>
                <w:lang w:val="en-GB"/>
              </w:rPr>
              <w:t xml:space="preserve"> (</w:t>
            </w:r>
            <w:r w:rsidR="00CF396A" w:rsidRPr="00D341ED">
              <w:rPr>
                <w:color w:val="000000" w:themeColor="text1"/>
                <w:sz w:val="16"/>
                <w:szCs w:val="16"/>
                <w:lang w:val="en-GB"/>
              </w:rPr>
              <w:t>UNSD</w:t>
            </w:r>
            <w:r w:rsidRPr="00D341ED">
              <w:rPr>
                <w:color w:val="000000" w:themeColor="text1"/>
                <w:sz w:val="16"/>
                <w:szCs w:val="16"/>
                <w:lang w:val="en-GB"/>
              </w:rPr>
              <w:t xml:space="preserve">CF </w:t>
            </w:r>
            <w:r w:rsidR="00CF396A" w:rsidRPr="00D341ED">
              <w:rPr>
                <w:color w:val="000000" w:themeColor="text1"/>
                <w:sz w:val="16"/>
                <w:szCs w:val="16"/>
                <w:lang w:val="en-GB"/>
              </w:rPr>
              <w:t>i</w:t>
            </w:r>
            <w:r w:rsidRPr="00D341ED">
              <w:rPr>
                <w:color w:val="000000" w:themeColor="text1"/>
                <w:sz w:val="16"/>
                <w:szCs w:val="16"/>
                <w:lang w:val="en-GB"/>
              </w:rPr>
              <w:t>ndicator 1.6.1) [N</w:t>
            </w:r>
            <w:r w:rsidR="00CF396A" w:rsidRPr="00D341ED">
              <w:rPr>
                <w:color w:val="000000" w:themeColor="text1"/>
                <w:sz w:val="16"/>
                <w:szCs w:val="16"/>
                <w:lang w:val="en-GB"/>
              </w:rPr>
              <w:t xml:space="preserve">ational </w:t>
            </w:r>
            <w:r w:rsidRPr="00D341ED">
              <w:rPr>
                <w:color w:val="000000" w:themeColor="text1"/>
                <w:sz w:val="16"/>
                <w:szCs w:val="16"/>
                <w:lang w:val="en-GB"/>
              </w:rPr>
              <w:t xml:space="preserve">SDG 5.5.1] Proportion of seats held by women in national parliaments and local governments </w:t>
            </w:r>
          </w:p>
          <w:p w14:paraId="4D1D9ABE" w14:textId="1DC831E8" w:rsidR="0090158F" w:rsidRPr="00D341ED" w:rsidRDefault="0090158F" w:rsidP="00475B8F">
            <w:pPr>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(2019). a) Women in Parliament 14.8% (22 women). b) Women in local governments 13.5% (277 women).</w:t>
            </w:r>
          </w:p>
          <w:p w14:paraId="54CD245A" w14:textId="75AC3E77" w:rsidR="0090158F" w:rsidRPr="00D341ED" w:rsidRDefault="0090158F" w:rsidP="000831C4">
            <w:pPr>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a) &lt; 20%; b) &lt; 20%</w:t>
            </w:r>
          </w:p>
        </w:tc>
        <w:tc>
          <w:tcPr>
            <w:tcW w:w="1178" w:type="pct"/>
            <w:vMerge w:val="restart"/>
          </w:tcPr>
          <w:p w14:paraId="4335606F" w14:textId="77777777" w:rsidR="0090158F" w:rsidRPr="00D341ED" w:rsidRDefault="0090158F" w:rsidP="00475B8F">
            <w:pPr>
              <w:pStyle w:val="ListParagraph"/>
              <w:numPr>
                <w:ilvl w:val="0"/>
                <w:numId w:val="11"/>
              </w:numPr>
              <w:ind w:left="508"/>
              <w:rPr>
                <w:color w:val="000000" w:themeColor="text1"/>
                <w:sz w:val="16"/>
                <w:szCs w:val="16"/>
                <w:lang w:val="en-GB"/>
              </w:rPr>
            </w:pPr>
            <w:r w:rsidRPr="00D341ED">
              <w:rPr>
                <w:color w:val="000000" w:themeColor="text1"/>
                <w:sz w:val="16"/>
                <w:szCs w:val="16"/>
                <w:lang w:val="en-GB"/>
              </w:rPr>
              <w:t>1.3. Central Election Commission,</w:t>
            </w:r>
          </w:p>
          <w:p w14:paraId="71C156C4" w14:textId="77777777" w:rsidR="0090158F" w:rsidRPr="00D341ED" w:rsidRDefault="0090158F" w:rsidP="00475B8F">
            <w:pPr>
              <w:pStyle w:val="ListParagraph"/>
              <w:ind w:left="508"/>
              <w:rPr>
                <w:color w:val="000000" w:themeColor="text1"/>
                <w:sz w:val="16"/>
                <w:szCs w:val="16"/>
                <w:lang w:val="en-GB"/>
              </w:rPr>
            </w:pPr>
            <w:r w:rsidRPr="00D341ED">
              <w:rPr>
                <w:color w:val="000000" w:themeColor="text1"/>
                <w:sz w:val="16"/>
                <w:szCs w:val="16"/>
                <w:lang w:val="en-GB"/>
              </w:rPr>
              <w:t>2024 (Parliamentary)</w:t>
            </w:r>
          </w:p>
          <w:p w14:paraId="212A923E" w14:textId="77777777" w:rsidR="0090158F" w:rsidRPr="00D341ED" w:rsidRDefault="0090158F" w:rsidP="00475B8F">
            <w:pPr>
              <w:pStyle w:val="ListParagraph"/>
              <w:ind w:left="508"/>
              <w:rPr>
                <w:color w:val="000000" w:themeColor="text1"/>
                <w:sz w:val="16"/>
                <w:szCs w:val="16"/>
                <w:lang w:val="en-GB"/>
              </w:rPr>
            </w:pPr>
            <w:r w:rsidRPr="00D341ED">
              <w:rPr>
                <w:color w:val="000000" w:themeColor="text1"/>
                <w:sz w:val="16"/>
                <w:szCs w:val="16"/>
                <w:lang w:val="en-GB"/>
              </w:rPr>
              <w:t xml:space="preserve">2021, 2025 (Local) </w:t>
            </w:r>
          </w:p>
          <w:p w14:paraId="793923DF" w14:textId="77777777" w:rsidR="0090158F" w:rsidRPr="00D341ED" w:rsidRDefault="0090158F" w:rsidP="00475B8F">
            <w:pPr>
              <w:pStyle w:val="ListParagraph"/>
              <w:ind w:left="508"/>
              <w:rPr>
                <w:color w:val="000000" w:themeColor="text1"/>
                <w:sz w:val="16"/>
                <w:szCs w:val="16"/>
                <w:lang w:val="en-GB"/>
              </w:rPr>
            </w:pPr>
          </w:p>
          <w:p w14:paraId="20220991" w14:textId="22EB1D34" w:rsidR="0090158F" w:rsidRPr="00D341ED" w:rsidRDefault="0090158F" w:rsidP="00475B8F">
            <w:pPr>
              <w:pStyle w:val="ListParagraph"/>
              <w:numPr>
                <w:ilvl w:val="0"/>
                <w:numId w:val="11"/>
              </w:numPr>
              <w:ind w:left="508"/>
              <w:rPr>
                <w:color w:val="000000" w:themeColor="text1"/>
                <w:sz w:val="16"/>
                <w:szCs w:val="16"/>
                <w:lang w:val="en-GB"/>
              </w:rPr>
            </w:pPr>
            <w:r w:rsidRPr="00D341ED">
              <w:rPr>
                <w:color w:val="000000" w:themeColor="text1"/>
                <w:sz w:val="16"/>
                <w:szCs w:val="16"/>
                <w:lang w:val="en-GB"/>
              </w:rPr>
              <w:t xml:space="preserve">1.1-1.2. Worldwide </w:t>
            </w:r>
            <w:r w:rsidR="00792FFD" w:rsidRPr="00D341ED">
              <w:rPr>
                <w:color w:val="000000" w:themeColor="text1"/>
                <w:sz w:val="16"/>
                <w:szCs w:val="16"/>
                <w:lang w:val="en-GB"/>
              </w:rPr>
              <w:t>g</w:t>
            </w:r>
            <w:r w:rsidRPr="00D341ED">
              <w:rPr>
                <w:color w:val="000000" w:themeColor="text1"/>
                <w:sz w:val="16"/>
                <w:szCs w:val="16"/>
                <w:lang w:val="en-GB"/>
              </w:rPr>
              <w:t xml:space="preserve">overnance </w:t>
            </w:r>
            <w:r w:rsidR="00792FFD" w:rsidRPr="00D341ED">
              <w:rPr>
                <w:color w:val="000000" w:themeColor="text1"/>
                <w:sz w:val="16"/>
                <w:szCs w:val="16"/>
                <w:lang w:val="en-GB"/>
              </w:rPr>
              <w:t>i</w:t>
            </w:r>
            <w:r w:rsidRPr="00D341ED">
              <w:rPr>
                <w:color w:val="000000" w:themeColor="text1"/>
                <w:sz w:val="16"/>
                <w:szCs w:val="16"/>
                <w:lang w:val="en-GB"/>
              </w:rPr>
              <w:t>ndicators:</w:t>
            </w:r>
          </w:p>
          <w:p w14:paraId="54D5B459" w14:textId="77777777" w:rsidR="0090158F" w:rsidRPr="00D341ED" w:rsidRDefault="00CD7D0D" w:rsidP="00475B8F">
            <w:pPr>
              <w:pStyle w:val="ListParagraph"/>
              <w:ind w:left="508"/>
              <w:rPr>
                <w:color w:val="000000" w:themeColor="text1"/>
                <w:sz w:val="16"/>
                <w:szCs w:val="16"/>
                <w:lang w:val="en-GB"/>
              </w:rPr>
            </w:pPr>
            <w:hyperlink r:id="rId23" w:history="1">
              <w:r w:rsidR="0090158F" w:rsidRPr="00D341ED">
                <w:rPr>
                  <w:rStyle w:val="Hyperlink"/>
                  <w:sz w:val="16"/>
                  <w:szCs w:val="16"/>
                  <w:lang w:val="en-GB"/>
                </w:rPr>
                <w:t>http://datacatalog.worldbank.org</w:t>
              </w:r>
            </w:hyperlink>
            <w:r w:rsidR="0090158F" w:rsidRPr="00D341ED">
              <w:rPr>
                <w:color w:val="000000" w:themeColor="text1"/>
                <w:sz w:val="16"/>
                <w:szCs w:val="16"/>
                <w:lang w:val="en-GB"/>
              </w:rPr>
              <w:t xml:space="preserve">, annually </w:t>
            </w:r>
          </w:p>
          <w:p w14:paraId="30D7AA69" w14:textId="77777777" w:rsidR="0090158F" w:rsidRPr="00D341ED" w:rsidRDefault="0090158F" w:rsidP="000831C4">
            <w:pPr>
              <w:rPr>
                <w:color w:val="000000" w:themeColor="text1"/>
                <w:sz w:val="16"/>
                <w:szCs w:val="16"/>
                <w:lang w:val="en-GB"/>
              </w:rPr>
            </w:pPr>
          </w:p>
        </w:tc>
        <w:tc>
          <w:tcPr>
            <w:tcW w:w="1092" w:type="pct"/>
            <w:vMerge w:val="restart"/>
            <w:tcMar>
              <w:top w:w="72" w:type="dxa"/>
              <w:left w:w="144" w:type="dxa"/>
              <w:bottom w:w="72" w:type="dxa"/>
              <w:right w:w="144" w:type="dxa"/>
            </w:tcMar>
          </w:tcPr>
          <w:p w14:paraId="243A369C" w14:textId="16462396" w:rsidR="0090158F" w:rsidRPr="00D341ED" w:rsidRDefault="0090158F" w:rsidP="00475B8F">
            <w:pPr>
              <w:rPr>
                <w:bCs/>
                <w:color w:val="000000" w:themeColor="text1"/>
                <w:sz w:val="16"/>
                <w:szCs w:val="16"/>
                <w:lang w:val="en-GB"/>
              </w:rPr>
            </w:pPr>
            <w:r w:rsidRPr="00D341ED">
              <w:rPr>
                <w:b/>
                <w:color w:val="000000" w:themeColor="text1"/>
                <w:sz w:val="16"/>
                <w:szCs w:val="16"/>
                <w:lang w:val="en-GB"/>
              </w:rPr>
              <w:t>Output 1.1.</w:t>
            </w:r>
            <w:r w:rsidRPr="00D341ED">
              <w:rPr>
                <w:bCs/>
                <w:color w:val="000000" w:themeColor="text1"/>
                <w:sz w:val="16"/>
                <w:szCs w:val="16"/>
                <w:lang w:val="en-GB"/>
              </w:rPr>
              <w:t xml:space="preserve"> Inclusive national and local governance systems have greater resilience and capacities to mainstream gender, ensure evidence-based and participatory policymaking, map and address inequalities and deliver quality services to all</w:t>
            </w:r>
            <w:r w:rsidR="00792FFD" w:rsidRPr="00D341ED">
              <w:rPr>
                <w:bCs/>
                <w:color w:val="000000" w:themeColor="text1"/>
                <w:sz w:val="16"/>
                <w:szCs w:val="16"/>
                <w:lang w:val="en-GB"/>
              </w:rPr>
              <w:t>.</w:t>
            </w:r>
          </w:p>
          <w:p w14:paraId="684DB871" w14:textId="77777777" w:rsidR="0090158F" w:rsidRPr="00D341ED" w:rsidRDefault="0090158F" w:rsidP="00475B8F">
            <w:pPr>
              <w:ind w:left="34"/>
              <w:rPr>
                <w:color w:val="000000" w:themeColor="text1"/>
                <w:sz w:val="16"/>
                <w:szCs w:val="16"/>
                <w:lang w:val="en-GB"/>
              </w:rPr>
            </w:pPr>
          </w:p>
          <w:p w14:paraId="08A9A29E" w14:textId="160A43BE" w:rsidR="0090158F" w:rsidRPr="00D341ED" w:rsidRDefault="0090158F" w:rsidP="00475B8F">
            <w:pPr>
              <w:pStyle w:val="ListParagraph"/>
              <w:numPr>
                <w:ilvl w:val="0"/>
                <w:numId w:val="10"/>
              </w:numPr>
              <w:ind w:left="417"/>
              <w:rPr>
                <w:bCs/>
                <w:color w:val="000000" w:themeColor="text1"/>
                <w:sz w:val="16"/>
                <w:szCs w:val="16"/>
                <w:lang w:val="en-GB"/>
              </w:rPr>
            </w:pPr>
            <w:r w:rsidRPr="00D341ED">
              <w:rPr>
                <w:b/>
                <w:color w:val="000000" w:themeColor="text1"/>
                <w:sz w:val="16"/>
                <w:szCs w:val="16"/>
                <w:lang w:val="en-GB"/>
              </w:rPr>
              <w:t>Indicator 1.1.1</w:t>
            </w:r>
            <w:r w:rsidR="00792FFD" w:rsidRPr="00D341ED">
              <w:rPr>
                <w:b/>
                <w:color w:val="000000" w:themeColor="text1"/>
                <w:sz w:val="16"/>
                <w:szCs w:val="16"/>
                <w:lang w:val="en-GB"/>
              </w:rPr>
              <w:t>.</w:t>
            </w:r>
            <w:r w:rsidRPr="00D341ED">
              <w:rPr>
                <w:bCs/>
                <w:color w:val="000000" w:themeColor="text1"/>
                <w:sz w:val="16"/>
                <w:szCs w:val="16"/>
                <w:lang w:val="en-GB"/>
              </w:rPr>
              <w:t xml:space="preserve"> Implementation rate of gender sensitive </w:t>
            </w:r>
            <w:r w:rsidR="00792FFD" w:rsidRPr="00D341ED">
              <w:rPr>
                <w:bCs/>
                <w:color w:val="000000" w:themeColor="text1"/>
                <w:sz w:val="16"/>
                <w:szCs w:val="16"/>
                <w:lang w:val="en-GB"/>
              </w:rPr>
              <w:t>p</w:t>
            </w:r>
            <w:r w:rsidRPr="00D341ED">
              <w:rPr>
                <w:bCs/>
                <w:color w:val="000000" w:themeColor="text1"/>
                <w:sz w:val="16"/>
                <w:szCs w:val="16"/>
                <w:lang w:val="en-GB"/>
              </w:rPr>
              <w:t xml:space="preserve">ublic </w:t>
            </w:r>
            <w:r w:rsidR="00792FFD" w:rsidRPr="00D341ED">
              <w:rPr>
                <w:bCs/>
                <w:color w:val="000000" w:themeColor="text1"/>
                <w:sz w:val="16"/>
                <w:szCs w:val="16"/>
                <w:lang w:val="en-GB"/>
              </w:rPr>
              <w:t>a</w:t>
            </w:r>
            <w:r w:rsidRPr="00D341ED">
              <w:rPr>
                <w:bCs/>
                <w:color w:val="000000" w:themeColor="text1"/>
                <w:sz w:val="16"/>
                <w:szCs w:val="16"/>
                <w:lang w:val="en-GB"/>
              </w:rPr>
              <w:t xml:space="preserve">dministration </w:t>
            </w:r>
            <w:r w:rsidR="00792FFD" w:rsidRPr="00D341ED">
              <w:rPr>
                <w:bCs/>
                <w:color w:val="000000" w:themeColor="text1"/>
                <w:sz w:val="16"/>
                <w:szCs w:val="16"/>
                <w:lang w:val="en-GB"/>
              </w:rPr>
              <w:t>r</w:t>
            </w:r>
            <w:r w:rsidRPr="00D341ED">
              <w:rPr>
                <w:bCs/>
                <w:color w:val="000000" w:themeColor="text1"/>
                <w:sz w:val="16"/>
                <w:szCs w:val="16"/>
                <w:lang w:val="en-GB"/>
              </w:rPr>
              <w:t>eform (PAR) strategy 2021-2024</w:t>
            </w:r>
          </w:p>
          <w:p w14:paraId="6ED03986" w14:textId="22D586CC" w:rsidR="0090158F" w:rsidRPr="00D341ED" w:rsidRDefault="0090158F" w:rsidP="00475B8F">
            <w:pPr>
              <w:pStyle w:val="ListParagraph"/>
              <w:ind w:left="417"/>
              <w:rPr>
                <w:bCs/>
                <w:color w:val="000000" w:themeColor="text1"/>
                <w:sz w:val="16"/>
                <w:szCs w:val="16"/>
                <w:lang w:val="en-GB"/>
              </w:rPr>
            </w:pPr>
            <w:r w:rsidRPr="00D341ED">
              <w:rPr>
                <w:b/>
                <w:color w:val="000000" w:themeColor="text1"/>
                <w:sz w:val="16"/>
                <w:szCs w:val="16"/>
                <w:lang w:val="en-GB"/>
              </w:rPr>
              <w:t>Baseline</w:t>
            </w:r>
            <w:r w:rsidRPr="00D341ED">
              <w:rPr>
                <w:bCs/>
                <w:color w:val="000000" w:themeColor="text1"/>
                <w:sz w:val="16"/>
                <w:szCs w:val="16"/>
                <w:lang w:val="en-GB"/>
              </w:rPr>
              <w:t xml:space="preserve"> (2020): 0%, </w:t>
            </w:r>
            <w:r w:rsidR="00792FFD" w:rsidRPr="00D341ED">
              <w:rPr>
                <w:bCs/>
                <w:color w:val="000000" w:themeColor="text1"/>
                <w:sz w:val="16"/>
                <w:szCs w:val="16"/>
                <w:lang w:val="en-GB"/>
              </w:rPr>
              <w:t>s</w:t>
            </w:r>
            <w:r w:rsidRPr="00D341ED">
              <w:rPr>
                <w:bCs/>
                <w:color w:val="000000" w:themeColor="text1"/>
                <w:sz w:val="16"/>
                <w:szCs w:val="16"/>
                <w:lang w:val="en-GB"/>
              </w:rPr>
              <w:t>trategy being prepared</w:t>
            </w:r>
          </w:p>
          <w:p w14:paraId="453BB760" w14:textId="74A1117B" w:rsidR="0090158F" w:rsidRPr="00D341ED" w:rsidRDefault="0090158F" w:rsidP="00475B8F">
            <w:pPr>
              <w:pStyle w:val="ListParagraph"/>
              <w:ind w:left="417"/>
              <w:rPr>
                <w:bCs/>
                <w:color w:val="000000" w:themeColor="text1"/>
                <w:sz w:val="16"/>
                <w:szCs w:val="16"/>
                <w:lang w:val="en-GB"/>
              </w:rPr>
            </w:pPr>
            <w:r w:rsidRPr="00D341ED">
              <w:rPr>
                <w:b/>
                <w:color w:val="000000" w:themeColor="text1"/>
                <w:sz w:val="16"/>
                <w:szCs w:val="16"/>
                <w:lang w:val="en-GB"/>
              </w:rPr>
              <w:t>Target</w:t>
            </w:r>
            <w:r w:rsidRPr="00D341ED">
              <w:rPr>
                <w:bCs/>
                <w:color w:val="000000" w:themeColor="text1"/>
                <w:sz w:val="16"/>
                <w:szCs w:val="16"/>
                <w:lang w:val="en-GB"/>
              </w:rPr>
              <w:t xml:space="preserve"> (2025): 70% of </w:t>
            </w:r>
            <w:r w:rsidR="00792FFD" w:rsidRPr="00D341ED">
              <w:rPr>
                <w:bCs/>
                <w:color w:val="000000" w:themeColor="text1"/>
                <w:sz w:val="16"/>
                <w:szCs w:val="16"/>
                <w:lang w:val="en-GB"/>
              </w:rPr>
              <w:t>s</w:t>
            </w:r>
            <w:r w:rsidRPr="00D341ED">
              <w:rPr>
                <w:bCs/>
                <w:color w:val="000000" w:themeColor="text1"/>
                <w:sz w:val="16"/>
                <w:szCs w:val="16"/>
                <w:lang w:val="en-GB"/>
              </w:rPr>
              <w:t>trategy annual action plans pertaining to policy, civil service and public service delivery implemented.</w:t>
            </w:r>
          </w:p>
          <w:p w14:paraId="1EF6B4B8" w14:textId="09E236C0" w:rsidR="0090158F" w:rsidRPr="00D341ED" w:rsidRDefault="0090158F" w:rsidP="00475B8F">
            <w:pPr>
              <w:pStyle w:val="ListParagraph"/>
              <w:ind w:left="417"/>
              <w:rPr>
                <w:bCs/>
                <w:color w:val="000000" w:themeColor="text1"/>
                <w:sz w:val="16"/>
                <w:szCs w:val="16"/>
                <w:lang w:val="en-GB"/>
              </w:rPr>
            </w:pPr>
            <w:r w:rsidRPr="00D341ED">
              <w:rPr>
                <w:b/>
                <w:color w:val="000000" w:themeColor="text1"/>
                <w:sz w:val="16"/>
                <w:szCs w:val="16"/>
                <w:lang w:val="en-GB"/>
              </w:rPr>
              <w:t>Source</w:t>
            </w:r>
            <w:r w:rsidRPr="00D341ED">
              <w:rPr>
                <w:bCs/>
                <w:color w:val="000000" w:themeColor="text1"/>
                <w:sz w:val="16"/>
                <w:szCs w:val="16"/>
                <w:lang w:val="en-GB"/>
              </w:rPr>
              <w:t xml:space="preserve">: PAR </w:t>
            </w:r>
            <w:r w:rsidR="00792FFD" w:rsidRPr="00D341ED">
              <w:rPr>
                <w:bCs/>
                <w:color w:val="000000" w:themeColor="text1"/>
                <w:sz w:val="16"/>
                <w:szCs w:val="16"/>
                <w:lang w:val="en-GB"/>
              </w:rPr>
              <w:t>m</w:t>
            </w:r>
            <w:r w:rsidRPr="00D341ED">
              <w:rPr>
                <w:bCs/>
                <w:color w:val="000000" w:themeColor="text1"/>
                <w:sz w:val="16"/>
                <w:szCs w:val="16"/>
                <w:lang w:val="en-GB"/>
              </w:rPr>
              <w:t xml:space="preserve">onitoring </w:t>
            </w:r>
            <w:r w:rsidR="00792FFD" w:rsidRPr="00D341ED">
              <w:rPr>
                <w:bCs/>
                <w:color w:val="000000" w:themeColor="text1"/>
                <w:sz w:val="16"/>
                <w:szCs w:val="16"/>
                <w:lang w:val="en-GB"/>
              </w:rPr>
              <w:t>r</w:t>
            </w:r>
            <w:r w:rsidRPr="00D341ED">
              <w:rPr>
                <w:bCs/>
                <w:color w:val="000000" w:themeColor="text1"/>
                <w:sz w:val="16"/>
                <w:szCs w:val="16"/>
                <w:lang w:val="en-GB"/>
              </w:rPr>
              <w:t>eports (AOG), E</w:t>
            </w:r>
            <w:r w:rsidR="00792FFD" w:rsidRPr="00D341ED">
              <w:rPr>
                <w:bCs/>
                <w:color w:val="000000" w:themeColor="text1"/>
                <w:sz w:val="16"/>
                <w:szCs w:val="16"/>
                <w:lang w:val="en-GB"/>
              </w:rPr>
              <w:t xml:space="preserve">uropean </w:t>
            </w:r>
            <w:r w:rsidRPr="00D341ED">
              <w:rPr>
                <w:bCs/>
                <w:color w:val="000000" w:themeColor="text1"/>
                <w:sz w:val="16"/>
                <w:szCs w:val="16"/>
                <w:lang w:val="en-GB"/>
              </w:rPr>
              <w:t>U</w:t>
            </w:r>
            <w:r w:rsidR="00792FFD" w:rsidRPr="00D341ED">
              <w:rPr>
                <w:bCs/>
                <w:color w:val="000000" w:themeColor="text1"/>
                <w:sz w:val="16"/>
                <w:szCs w:val="16"/>
                <w:lang w:val="en-GB"/>
              </w:rPr>
              <w:t>nion</w:t>
            </w:r>
            <w:r w:rsidRPr="00D341ED">
              <w:rPr>
                <w:bCs/>
                <w:color w:val="000000" w:themeColor="text1"/>
                <w:sz w:val="16"/>
                <w:szCs w:val="16"/>
                <w:lang w:val="en-GB"/>
              </w:rPr>
              <w:t xml:space="preserve"> </w:t>
            </w:r>
            <w:r w:rsidR="00792FFD" w:rsidRPr="00D341ED">
              <w:rPr>
                <w:bCs/>
                <w:color w:val="000000" w:themeColor="text1"/>
                <w:sz w:val="16"/>
                <w:szCs w:val="16"/>
                <w:lang w:val="en-GB"/>
              </w:rPr>
              <w:t>s</w:t>
            </w:r>
            <w:r w:rsidRPr="00D341ED">
              <w:rPr>
                <w:bCs/>
                <w:color w:val="000000" w:themeColor="text1"/>
                <w:sz w:val="16"/>
                <w:szCs w:val="16"/>
                <w:lang w:val="en-GB"/>
              </w:rPr>
              <w:t xml:space="preserve">ector </w:t>
            </w:r>
            <w:r w:rsidR="00792FFD" w:rsidRPr="00D341ED">
              <w:rPr>
                <w:bCs/>
                <w:color w:val="000000" w:themeColor="text1"/>
                <w:sz w:val="16"/>
                <w:szCs w:val="16"/>
                <w:lang w:val="en-GB"/>
              </w:rPr>
              <w:t>a</w:t>
            </w:r>
            <w:r w:rsidRPr="00D341ED">
              <w:rPr>
                <w:bCs/>
                <w:color w:val="000000" w:themeColor="text1"/>
                <w:sz w:val="16"/>
                <w:szCs w:val="16"/>
                <w:lang w:val="en-GB"/>
              </w:rPr>
              <w:t xml:space="preserve">ssessment </w:t>
            </w:r>
            <w:r w:rsidR="00792FFD" w:rsidRPr="00D341ED">
              <w:rPr>
                <w:bCs/>
                <w:color w:val="000000" w:themeColor="text1"/>
                <w:sz w:val="16"/>
                <w:szCs w:val="16"/>
                <w:lang w:val="en-GB"/>
              </w:rPr>
              <w:t>r</w:t>
            </w:r>
            <w:r w:rsidRPr="00D341ED">
              <w:rPr>
                <w:bCs/>
                <w:color w:val="000000" w:themeColor="text1"/>
                <w:sz w:val="16"/>
                <w:szCs w:val="16"/>
                <w:lang w:val="en-GB"/>
              </w:rPr>
              <w:t>eports, annually</w:t>
            </w:r>
          </w:p>
          <w:p w14:paraId="797FBE52" w14:textId="77777777" w:rsidR="0090158F" w:rsidRPr="00D341ED" w:rsidRDefault="0090158F" w:rsidP="00475B8F">
            <w:pPr>
              <w:ind w:left="417"/>
              <w:rPr>
                <w:color w:val="000000" w:themeColor="text1"/>
                <w:sz w:val="16"/>
                <w:szCs w:val="16"/>
                <w:lang w:val="en-GB"/>
              </w:rPr>
            </w:pPr>
          </w:p>
          <w:p w14:paraId="34B55AEF" w14:textId="6A6F4E5E" w:rsidR="0090158F" w:rsidRPr="00D341ED" w:rsidRDefault="0090158F" w:rsidP="00475B8F">
            <w:pPr>
              <w:pStyle w:val="ListParagraph"/>
              <w:numPr>
                <w:ilvl w:val="0"/>
                <w:numId w:val="10"/>
              </w:numPr>
              <w:ind w:left="417"/>
              <w:rPr>
                <w:color w:val="000000" w:themeColor="text1"/>
                <w:sz w:val="16"/>
                <w:szCs w:val="16"/>
                <w:lang w:val="en-GB"/>
              </w:rPr>
            </w:pPr>
            <w:r w:rsidRPr="00D341ED">
              <w:rPr>
                <w:b/>
                <w:color w:val="000000" w:themeColor="text1"/>
                <w:sz w:val="16"/>
                <w:szCs w:val="16"/>
                <w:lang w:val="en-GB"/>
              </w:rPr>
              <w:t>Indicator 1.1.2</w:t>
            </w:r>
            <w:r w:rsidR="00792FFD" w:rsidRPr="00D341ED">
              <w:rPr>
                <w:b/>
                <w:color w:val="000000" w:themeColor="text1"/>
                <w:sz w:val="16"/>
                <w:szCs w:val="16"/>
                <w:lang w:val="en-GB"/>
              </w:rPr>
              <w:t>.</w:t>
            </w:r>
            <w:r w:rsidRPr="00D341ED">
              <w:rPr>
                <w:bCs/>
                <w:color w:val="000000" w:themeColor="text1"/>
                <w:sz w:val="16"/>
                <w:szCs w:val="16"/>
                <w:lang w:val="en-GB"/>
              </w:rPr>
              <w:t xml:space="preserve"> Share of national-level policies complying with new whole-of-government policy standards emphasizing inclusiveness/participation approved by Government</w:t>
            </w:r>
          </w:p>
          <w:p w14:paraId="2C6E4224" w14:textId="77777777" w:rsidR="0090158F" w:rsidRPr="00D341ED" w:rsidRDefault="0090158F" w:rsidP="00475B8F">
            <w:pPr>
              <w:pStyle w:val="ListParagraph"/>
              <w:ind w:left="417"/>
              <w:rPr>
                <w:bCs/>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(2020): 10%</w:t>
            </w:r>
          </w:p>
          <w:p w14:paraId="1CEC2537" w14:textId="77777777" w:rsidR="0090158F" w:rsidRPr="00D341ED" w:rsidRDefault="0090158F" w:rsidP="00475B8F">
            <w:pPr>
              <w:pStyle w:val="ListParagraph"/>
              <w:ind w:left="417"/>
              <w:rPr>
                <w:bCs/>
                <w:color w:val="000000" w:themeColor="text1"/>
                <w:sz w:val="16"/>
                <w:szCs w:val="16"/>
                <w:lang w:val="en-GB"/>
              </w:rPr>
            </w:pPr>
            <w:r w:rsidRPr="00D341ED">
              <w:rPr>
                <w:b/>
                <w:color w:val="000000" w:themeColor="text1"/>
                <w:sz w:val="16"/>
                <w:szCs w:val="16"/>
                <w:lang w:val="en-GB"/>
              </w:rPr>
              <w:t>Target</w:t>
            </w:r>
            <w:r w:rsidRPr="00D341ED">
              <w:rPr>
                <w:bCs/>
                <w:color w:val="000000" w:themeColor="text1"/>
                <w:sz w:val="16"/>
                <w:szCs w:val="16"/>
                <w:lang w:val="en-GB"/>
              </w:rPr>
              <w:t xml:space="preserve"> (2025): 85%</w:t>
            </w:r>
          </w:p>
          <w:p w14:paraId="2A5C630F" w14:textId="0653349D" w:rsidR="0090158F" w:rsidRPr="00D341ED" w:rsidRDefault="0090158F" w:rsidP="00475B8F">
            <w:pPr>
              <w:pStyle w:val="ListParagraph"/>
              <w:ind w:left="417"/>
              <w:rPr>
                <w:bCs/>
                <w:color w:val="000000" w:themeColor="text1"/>
                <w:sz w:val="16"/>
                <w:szCs w:val="16"/>
                <w:lang w:val="en-GB"/>
              </w:rPr>
            </w:pPr>
            <w:r w:rsidRPr="00D341ED">
              <w:rPr>
                <w:b/>
                <w:color w:val="000000" w:themeColor="text1"/>
                <w:sz w:val="16"/>
                <w:szCs w:val="16"/>
                <w:lang w:val="en-GB"/>
              </w:rPr>
              <w:t>Source</w:t>
            </w:r>
            <w:r w:rsidRPr="00D341ED">
              <w:rPr>
                <w:bCs/>
                <w:color w:val="000000" w:themeColor="text1"/>
                <w:sz w:val="16"/>
                <w:szCs w:val="16"/>
                <w:lang w:val="en-GB"/>
              </w:rPr>
              <w:t xml:space="preserve">: PAR </w:t>
            </w:r>
            <w:r w:rsidR="00AD0369" w:rsidRPr="00D341ED">
              <w:rPr>
                <w:bCs/>
                <w:color w:val="000000" w:themeColor="text1"/>
                <w:sz w:val="16"/>
                <w:szCs w:val="16"/>
                <w:lang w:val="en-GB"/>
              </w:rPr>
              <w:t>m</w:t>
            </w:r>
            <w:r w:rsidRPr="00D341ED">
              <w:rPr>
                <w:bCs/>
                <w:color w:val="000000" w:themeColor="text1"/>
                <w:sz w:val="16"/>
                <w:szCs w:val="16"/>
                <w:lang w:val="en-GB"/>
              </w:rPr>
              <w:t xml:space="preserve">onitoring </w:t>
            </w:r>
            <w:r w:rsidR="00AD0369" w:rsidRPr="00D341ED">
              <w:rPr>
                <w:bCs/>
                <w:color w:val="000000" w:themeColor="text1"/>
                <w:sz w:val="16"/>
                <w:szCs w:val="16"/>
                <w:lang w:val="en-GB"/>
              </w:rPr>
              <w:t>r</w:t>
            </w:r>
            <w:r w:rsidRPr="00D341ED">
              <w:rPr>
                <w:bCs/>
                <w:color w:val="000000" w:themeColor="text1"/>
                <w:sz w:val="16"/>
                <w:szCs w:val="16"/>
                <w:lang w:val="en-GB"/>
              </w:rPr>
              <w:t>eports (AOG), E</w:t>
            </w:r>
            <w:r w:rsidR="00AD0369" w:rsidRPr="00D341ED">
              <w:rPr>
                <w:bCs/>
                <w:color w:val="000000" w:themeColor="text1"/>
                <w:sz w:val="16"/>
                <w:szCs w:val="16"/>
                <w:lang w:val="en-GB"/>
              </w:rPr>
              <w:t xml:space="preserve">uropean </w:t>
            </w:r>
            <w:r w:rsidRPr="00D341ED">
              <w:rPr>
                <w:bCs/>
                <w:color w:val="000000" w:themeColor="text1"/>
                <w:sz w:val="16"/>
                <w:szCs w:val="16"/>
                <w:lang w:val="en-GB"/>
              </w:rPr>
              <w:t>U</w:t>
            </w:r>
            <w:r w:rsidR="00AD0369" w:rsidRPr="00D341ED">
              <w:rPr>
                <w:bCs/>
                <w:color w:val="000000" w:themeColor="text1"/>
                <w:sz w:val="16"/>
                <w:szCs w:val="16"/>
                <w:lang w:val="en-GB"/>
              </w:rPr>
              <w:t>nion</w:t>
            </w:r>
            <w:r w:rsidRPr="00D341ED">
              <w:rPr>
                <w:bCs/>
                <w:color w:val="000000" w:themeColor="text1"/>
                <w:sz w:val="16"/>
                <w:szCs w:val="16"/>
                <w:lang w:val="en-GB"/>
              </w:rPr>
              <w:t xml:space="preserve"> </w:t>
            </w:r>
            <w:r w:rsidR="00AD0369" w:rsidRPr="00D341ED">
              <w:rPr>
                <w:bCs/>
                <w:color w:val="000000" w:themeColor="text1"/>
                <w:sz w:val="16"/>
                <w:szCs w:val="16"/>
                <w:lang w:val="en-GB"/>
              </w:rPr>
              <w:t>s</w:t>
            </w:r>
            <w:r w:rsidRPr="00D341ED">
              <w:rPr>
                <w:bCs/>
                <w:color w:val="000000" w:themeColor="text1"/>
                <w:sz w:val="16"/>
                <w:szCs w:val="16"/>
                <w:lang w:val="en-GB"/>
              </w:rPr>
              <w:t xml:space="preserve">ector </w:t>
            </w:r>
            <w:r w:rsidR="00AD0369" w:rsidRPr="00D341ED">
              <w:rPr>
                <w:bCs/>
                <w:color w:val="000000" w:themeColor="text1"/>
                <w:sz w:val="16"/>
                <w:szCs w:val="16"/>
                <w:lang w:val="en-GB"/>
              </w:rPr>
              <w:t>a</w:t>
            </w:r>
            <w:r w:rsidRPr="00D341ED">
              <w:rPr>
                <w:bCs/>
                <w:color w:val="000000" w:themeColor="text1"/>
                <w:sz w:val="16"/>
                <w:szCs w:val="16"/>
                <w:lang w:val="en-GB"/>
              </w:rPr>
              <w:t xml:space="preserve">ssessment </w:t>
            </w:r>
            <w:r w:rsidR="00AD0369" w:rsidRPr="00D341ED">
              <w:rPr>
                <w:bCs/>
                <w:color w:val="000000" w:themeColor="text1"/>
                <w:sz w:val="16"/>
                <w:szCs w:val="16"/>
                <w:lang w:val="en-GB"/>
              </w:rPr>
              <w:t>r</w:t>
            </w:r>
            <w:r w:rsidRPr="00D341ED">
              <w:rPr>
                <w:bCs/>
                <w:color w:val="000000" w:themeColor="text1"/>
                <w:sz w:val="16"/>
                <w:szCs w:val="16"/>
                <w:lang w:val="en-GB"/>
              </w:rPr>
              <w:t>eports, annually</w:t>
            </w:r>
          </w:p>
          <w:p w14:paraId="3550F324" w14:textId="77777777" w:rsidR="0090158F" w:rsidRPr="00D341ED" w:rsidRDefault="0090158F" w:rsidP="00475B8F">
            <w:pPr>
              <w:ind w:left="417"/>
              <w:rPr>
                <w:color w:val="000000" w:themeColor="text1"/>
                <w:sz w:val="16"/>
                <w:szCs w:val="16"/>
                <w:lang w:val="en-GB"/>
              </w:rPr>
            </w:pPr>
          </w:p>
          <w:p w14:paraId="7D8C8ADC" w14:textId="1F1F3C61" w:rsidR="0090158F" w:rsidRPr="00D341ED" w:rsidRDefault="0090158F" w:rsidP="00475B8F">
            <w:pPr>
              <w:pStyle w:val="ListParagraph"/>
              <w:numPr>
                <w:ilvl w:val="0"/>
                <w:numId w:val="10"/>
              </w:numPr>
              <w:ind w:left="417"/>
              <w:rPr>
                <w:bCs/>
                <w:color w:val="000000" w:themeColor="text1"/>
                <w:sz w:val="16"/>
                <w:szCs w:val="16"/>
                <w:lang w:val="en-GB"/>
              </w:rPr>
            </w:pPr>
            <w:r w:rsidRPr="00D341ED">
              <w:rPr>
                <w:b/>
                <w:color w:val="000000" w:themeColor="text1"/>
                <w:sz w:val="16"/>
                <w:szCs w:val="16"/>
                <w:lang w:val="en-GB"/>
              </w:rPr>
              <w:lastRenderedPageBreak/>
              <w:t>Indicator 1.1.3</w:t>
            </w:r>
            <w:r w:rsidR="006B601E" w:rsidRPr="00D341ED">
              <w:rPr>
                <w:b/>
                <w:color w:val="000000" w:themeColor="text1"/>
                <w:sz w:val="16"/>
                <w:szCs w:val="16"/>
                <w:lang w:val="en-GB"/>
              </w:rPr>
              <w:t>.</w:t>
            </w:r>
            <w:r w:rsidRPr="00D341ED">
              <w:rPr>
                <w:bCs/>
                <w:color w:val="000000" w:themeColor="text1"/>
                <w:sz w:val="16"/>
                <w:szCs w:val="16"/>
                <w:lang w:val="en-GB"/>
              </w:rPr>
              <w:t xml:space="preserve"> Level of professionalism of public servants at local and national levels to better serve constituencies</w:t>
            </w:r>
          </w:p>
          <w:p w14:paraId="13B81183" w14:textId="5C2DEDC6" w:rsidR="0090158F" w:rsidRPr="00D341ED" w:rsidRDefault="0090158F" w:rsidP="00475B8F">
            <w:pPr>
              <w:pStyle w:val="ListParagraph"/>
              <w:ind w:left="417"/>
              <w:rPr>
                <w:bCs/>
                <w:color w:val="000000" w:themeColor="text1"/>
                <w:sz w:val="16"/>
                <w:szCs w:val="16"/>
                <w:lang w:val="en-GB"/>
              </w:rPr>
            </w:pPr>
            <w:r w:rsidRPr="00D341ED">
              <w:rPr>
                <w:b/>
                <w:color w:val="000000" w:themeColor="text1"/>
                <w:sz w:val="16"/>
                <w:szCs w:val="16"/>
                <w:lang w:val="en-GB"/>
              </w:rPr>
              <w:t>Baseline</w:t>
            </w:r>
            <w:r w:rsidRPr="00D341ED">
              <w:rPr>
                <w:bCs/>
                <w:color w:val="000000" w:themeColor="text1"/>
                <w:sz w:val="16"/>
                <w:szCs w:val="16"/>
                <w:lang w:val="en-GB"/>
              </w:rPr>
              <w:t xml:space="preserve"> (2020): </w:t>
            </w:r>
            <w:r w:rsidR="006B601E" w:rsidRPr="00D341ED">
              <w:rPr>
                <w:bCs/>
                <w:color w:val="000000" w:themeColor="text1"/>
                <w:sz w:val="16"/>
                <w:szCs w:val="16"/>
                <w:lang w:val="en-GB"/>
              </w:rPr>
              <w:t>(</w:t>
            </w:r>
            <w:r w:rsidRPr="00D341ED">
              <w:rPr>
                <w:bCs/>
                <w:color w:val="000000" w:themeColor="text1"/>
                <w:sz w:val="16"/>
                <w:szCs w:val="16"/>
                <w:lang w:val="en-GB"/>
              </w:rPr>
              <w:t xml:space="preserve">a) Baseline on implementation of public servants’ professional development plans to be established in 2021; </w:t>
            </w:r>
            <w:r w:rsidR="006B601E" w:rsidRPr="00D341ED">
              <w:rPr>
                <w:bCs/>
                <w:color w:val="000000" w:themeColor="text1"/>
                <w:sz w:val="16"/>
                <w:szCs w:val="16"/>
                <w:lang w:val="en-GB"/>
              </w:rPr>
              <w:t>(</w:t>
            </w:r>
            <w:r w:rsidRPr="00D341ED">
              <w:rPr>
                <w:bCs/>
                <w:color w:val="000000" w:themeColor="text1"/>
                <w:sz w:val="16"/>
                <w:szCs w:val="16"/>
                <w:lang w:val="en-GB"/>
              </w:rPr>
              <w:t>b) 15% of public servants improved capacities by attending professional development courses</w:t>
            </w:r>
          </w:p>
          <w:p w14:paraId="17847E2C" w14:textId="0A315EB5" w:rsidR="0090158F" w:rsidRPr="00D341ED" w:rsidRDefault="0090158F" w:rsidP="00475B8F">
            <w:pPr>
              <w:pStyle w:val="ListParagraph"/>
              <w:ind w:left="417"/>
              <w:rPr>
                <w:bCs/>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w:t>
            </w:r>
            <w:r w:rsidR="006B601E" w:rsidRPr="00D341ED">
              <w:rPr>
                <w:color w:val="000000" w:themeColor="text1"/>
                <w:sz w:val="16"/>
                <w:szCs w:val="16"/>
                <w:lang w:val="en-GB"/>
              </w:rPr>
              <w:t>(</w:t>
            </w:r>
            <w:r w:rsidRPr="00D341ED">
              <w:rPr>
                <w:color w:val="000000" w:themeColor="text1"/>
                <w:sz w:val="16"/>
                <w:szCs w:val="16"/>
                <w:lang w:val="en-GB"/>
              </w:rPr>
              <w:t xml:space="preserve">a) </w:t>
            </w:r>
            <w:r w:rsidRPr="00D341ED">
              <w:rPr>
                <w:bCs/>
                <w:color w:val="000000" w:themeColor="text1"/>
                <w:sz w:val="16"/>
                <w:szCs w:val="16"/>
                <w:lang w:val="en-GB"/>
              </w:rPr>
              <w:t xml:space="preserve">50% of public agencies fulfil organizational professional development plans; </w:t>
            </w:r>
            <w:r w:rsidR="006B601E" w:rsidRPr="00D341ED">
              <w:rPr>
                <w:bCs/>
                <w:color w:val="000000" w:themeColor="text1"/>
                <w:sz w:val="16"/>
                <w:szCs w:val="16"/>
                <w:lang w:val="en-GB"/>
              </w:rPr>
              <w:t>(</w:t>
            </w:r>
            <w:r w:rsidRPr="00D341ED">
              <w:rPr>
                <w:bCs/>
                <w:color w:val="000000" w:themeColor="text1"/>
                <w:sz w:val="16"/>
                <w:szCs w:val="16"/>
                <w:lang w:val="en-GB"/>
              </w:rPr>
              <w:t xml:space="preserve">b) 50% of public servants (gender disaggregated) </w:t>
            </w:r>
          </w:p>
          <w:p w14:paraId="50E91E92" w14:textId="4A37E3C3" w:rsidR="0090158F" w:rsidRPr="00D341ED" w:rsidRDefault="0090158F" w:rsidP="00475B8F">
            <w:pPr>
              <w:pStyle w:val="ListParagraph"/>
              <w:ind w:left="417"/>
              <w:rPr>
                <w:color w:val="000000" w:themeColor="text1"/>
                <w:sz w:val="16"/>
                <w:szCs w:val="16"/>
                <w:lang w:val="en-GB"/>
              </w:rPr>
            </w:pPr>
            <w:r w:rsidRPr="00D341ED">
              <w:rPr>
                <w:b/>
                <w:color w:val="000000" w:themeColor="text1"/>
                <w:sz w:val="16"/>
                <w:szCs w:val="16"/>
                <w:lang w:val="en-GB"/>
              </w:rPr>
              <w:t>Source</w:t>
            </w:r>
            <w:r w:rsidRPr="00D341ED">
              <w:rPr>
                <w:bCs/>
                <w:color w:val="000000" w:themeColor="text1"/>
                <w:sz w:val="16"/>
                <w:szCs w:val="16"/>
                <w:lang w:val="en-GB"/>
              </w:rPr>
              <w:t>: CSB</w:t>
            </w:r>
            <w:r w:rsidRPr="00D341ED">
              <w:rPr>
                <w:color w:val="000000" w:themeColor="text1"/>
                <w:sz w:val="16"/>
                <w:szCs w:val="16"/>
                <w:lang w:val="en-GB"/>
              </w:rPr>
              <w:t xml:space="preserve"> </w:t>
            </w:r>
            <w:r w:rsidR="006B601E" w:rsidRPr="00D341ED">
              <w:rPr>
                <w:color w:val="000000" w:themeColor="text1"/>
                <w:sz w:val="16"/>
                <w:szCs w:val="16"/>
                <w:lang w:val="en-GB"/>
              </w:rPr>
              <w:t>h</w:t>
            </w:r>
            <w:r w:rsidRPr="00D341ED">
              <w:rPr>
                <w:color w:val="000000" w:themeColor="text1"/>
                <w:sz w:val="16"/>
                <w:szCs w:val="16"/>
                <w:lang w:val="en-GB"/>
              </w:rPr>
              <w:t xml:space="preserve">uman </w:t>
            </w:r>
            <w:r w:rsidR="006B601E" w:rsidRPr="00D341ED">
              <w:rPr>
                <w:color w:val="000000" w:themeColor="text1"/>
                <w:sz w:val="16"/>
                <w:szCs w:val="16"/>
                <w:lang w:val="en-GB"/>
              </w:rPr>
              <w:t>r</w:t>
            </w:r>
            <w:r w:rsidRPr="00D341ED">
              <w:rPr>
                <w:color w:val="000000" w:themeColor="text1"/>
                <w:sz w:val="16"/>
                <w:szCs w:val="16"/>
                <w:lang w:val="en-GB"/>
              </w:rPr>
              <w:t xml:space="preserve">esource </w:t>
            </w:r>
            <w:r w:rsidR="006B601E" w:rsidRPr="00D341ED">
              <w:rPr>
                <w:color w:val="000000" w:themeColor="text1"/>
                <w:sz w:val="16"/>
                <w:szCs w:val="16"/>
                <w:lang w:val="en-GB"/>
              </w:rPr>
              <w:t>m</w:t>
            </w:r>
            <w:r w:rsidRPr="00D341ED">
              <w:rPr>
                <w:color w:val="000000" w:themeColor="text1"/>
                <w:sz w:val="16"/>
                <w:szCs w:val="16"/>
                <w:lang w:val="en-GB"/>
              </w:rPr>
              <w:t xml:space="preserve">anagement </w:t>
            </w:r>
            <w:r w:rsidR="006B601E" w:rsidRPr="00D341ED">
              <w:rPr>
                <w:color w:val="000000" w:themeColor="text1"/>
                <w:sz w:val="16"/>
                <w:szCs w:val="16"/>
                <w:lang w:val="en-GB"/>
              </w:rPr>
              <w:t>s</w:t>
            </w:r>
            <w:r w:rsidRPr="00D341ED">
              <w:rPr>
                <w:color w:val="000000" w:themeColor="text1"/>
                <w:sz w:val="16"/>
                <w:szCs w:val="16"/>
                <w:lang w:val="en-GB"/>
              </w:rPr>
              <w:t xml:space="preserve">ystem and </w:t>
            </w:r>
            <w:r w:rsidR="006B601E" w:rsidRPr="00D341ED">
              <w:rPr>
                <w:color w:val="000000" w:themeColor="text1"/>
                <w:sz w:val="16"/>
                <w:szCs w:val="16"/>
                <w:lang w:val="en-GB"/>
              </w:rPr>
              <w:t>a</w:t>
            </w:r>
            <w:r w:rsidRPr="00D341ED">
              <w:rPr>
                <w:color w:val="000000" w:themeColor="text1"/>
                <w:sz w:val="16"/>
                <w:szCs w:val="16"/>
                <w:lang w:val="en-GB"/>
              </w:rPr>
              <w:t xml:space="preserve">nnual </w:t>
            </w:r>
            <w:r w:rsidR="006B601E" w:rsidRPr="00D341ED">
              <w:rPr>
                <w:color w:val="000000" w:themeColor="text1"/>
                <w:sz w:val="16"/>
                <w:szCs w:val="16"/>
                <w:lang w:val="en-GB"/>
              </w:rPr>
              <w:t>r</w:t>
            </w:r>
            <w:r w:rsidRPr="00D341ED">
              <w:rPr>
                <w:color w:val="000000" w:themeColor="text1"/>
                <w:sz w:val="16"/>
                <w:szCs w:val="16"/>
                <w:lang w:val="en-GB"/>
              </w:rPr>
              <w:t>eports, annually</w:t>
            </w:r>
          </w:p>
          <w:p w14:paraId="1A46B6E9" w14:textId="77777777" w:rsidR="0090158F" w:rsidRPr="00D341ED" w:rsidRDefault="0090158F" w:rsidP="00475B8F">
            <w:pPr>
              <w:ind w:left="417"/>
              <w:rPr>
                <w:color w:val="000000" w:themeColor="text1"/>
                <w:sz w:val="16"/>
                <w:szCs w:val="16"/>
                <w:lang w:val="en-GB"/>
              </w:rPr>
            </w:pPr>
          </w:p>
          <w:p w14:paraId="25E3C364" w14:textId="2F5C7A5E" w:rsidR="0090158F" w:rsidRPr="00D341ED" w:rsidRDefault="0090158F" w:rsidP="00475B8F">
            <w:pPr>
              <w:pStyle w:val="ListParagraph"/>
              <w:numPr>
                <w:ilvl w:val="0"/>
                <w:numId w:val="10"/>
              </w:numPr>
              <w:ind w:left="417"/>
              <w:rPr>
                <w:bCs/>
                <w:color w:val="000000" w:themeColor="text1"/>
                <w:sz w:val="16"/>
                <w:szCs w:val="16"/>
                <w:lang w:val="en-GB"/>
              </w:rPr>
            </w:pPr>
            <w:r w:rsidRPr="00D341ED">
              <w:rPr>
                <w:b/>
                <w:color w:val="000000" w:themeColor="text1"/>
                <w:sz w:val="16"/>
                <w:szCs w:val="16"/>
                <w:lang w:val="en-GB"/>
              </w:rPr>
              <w:t>Indicator 1.1.4</w:t>
            </w:r>
            <w:r w:rsidR="006B601E" w:rsidRPr="00D341ED">
              <w:rPr>
                <w:b/>
                <w:color w:val="000000" w:themeColor="text1"/>
                <w:sz w:val="16"/>
                <w:szCs w:val="16"/>
                <w:lang w:val="en-GB"/>
              </w:rPr>
              <w:t>.</w:t>
            </w:r>
            <w:r w:rsidRPr="00D341ED">
              <w:rPr>
                <w:bCs/>
                <w:color w:val="000000" w:themeColor="text1"/>
                <w:sz w:val="16"/>
                <w:szCs w:val="16"/>
                <w:lang w:val="en-GB"/>
              </w:rPr>
              <w:t xml:space="preserve"> Percentage of population satisfied with local self-governments</w:t>
            </w:r>
          </w:p>
          <w:p w14:paraId="2DCB9664" w14:textId="5D299CB6"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(2019): General: 67.3%; Urban: 64%; Rural 72%; </w:t>
            </w:r>
            <w:r w:rsidR="006B601E" w:rsidRPr="00D341ED">
              <w:rPr>
                <w:color w:val="000000" w:themeColor="text1"/>
                <w:sz w:val="16"/>
                <w:szCs w:val="16"/>
                <w:lang w:val="en-GB"/>
              </w:rPr>
              <w:t>h</w:t>
            </w:r>
            <w:r w:rsidRPr="00D341ED">
              <w:rPr>
                <w:color w:val="000000" w:themeColor="text1"/>
                <w:sz w:val="16"/>
                <w:szCs w:val="16"/>
                <w:lang w:val="en-GB"/>
              </w:rPr>
              <w:t>igh mountainous 80%</w:t>
            </w:r>
          </w:p>
          <w:p w14:paraId="7655439B"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General: 69%, Urban: 65%; Rural 75%; High mountainous 82%</w:t>
            </w:r>
          </w:p>
          <w:p w14:paraId="400F83E0" w14:textId="35A69554"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xml:space="preserve">: UNDP </w:t>
            </w:r>
            <w:r w:rsidR="006B601E" w:rsidRPr="00D341ED">
              <w:rPr>
                <w:color w:val="000000" w:themeColor="text1"/>
                <w:sz w:val="16"/>
                <w:szCs w:val="16"/>
                <w:lang w:val="en-GB"/>
              </w:rPr>
              <w:t>c</w:t>
            </w:r>
            <w:r w:rsidRPr="00D341ED">
              <w:rPr>
                <w:color w:val="000000" w:themeColor="text1"/>
                <w:sz w:val="16"/>
                <w:szCs w:val="16"/>
                <w:lang w:val="en-GB"/>
              </w:rPr>
              <w:t xml:space="preserve">itizens’ </w:t>
            </w:r>
            <w:r w:rsidR="006B601E" w:rsidRPr="00D341ED">
              <w:rPr>
                <w:color w:val="000000" w:themeColor="text1"/>
                <w:sz w:val="16"/>
                <w:szCs w:val="16"/>
                <w:lang w:val="en-GB"/>
              </w:rPr>
              <w:t>s</w:t>
            </w:r>
            <w:r w:rsidRPr="00D341ED">
              <w:rPr>
                <w:color w:val="000000" w:themeColor="text1"/>
                <w:sz w:val="16"/>
                <w:szCs w:val="16"/>
                <w:lang w:val="en-GB"/>
              </w:rPr>
              <w:t xml:space="preserve">atisfaction with </w:t>
            </w:r>
            <w:r w:rsidR="006B601E" w:rsidRPr="00D341ED">
              <w:rPr>
                <w:color w:val="000000" w:themeColor="text1"/>
                <w:sz w:val="16"/>
                <w:szCs w:val="16"/>
                <w:lang w:val="en-GB"/>
              </w:rPr>
              <w:t>p</w:t>
            </w:r>
            <w:r w:rsidRPr="00D341ED">
              <w:rPr>
                <w:color w:val="000000" w:themeColor="text1"/>
                <w:sz w:val="16"/>
                <w:szCs w:val="16"/>
                <w:lang w:val="en-GB"/>
              </w:rPr>
              <w:t xml:space="preserve">ublic </w:t>
            </w:r>
            <w:r w:rsidR="006B601E" w:rsidRPr="00D341ED">
              <w:rPr>
                <w:color w:val="000000" w:themeColor="text1"/>
                <w:sz w:val="16"/>
                <w:szCs w:val="16"/>
                <w:lang w:val="en-GB"/>
              </w:rPr>
              <w:t>s</w:t>
            </w:r>
            <w:r w:rsidRPr="00D341ED">
              <w:rPr>
                <w:color w:val="000000" w:themeColor="text1"/>
                <w:sz w:val="16"/>
                <w:szCs w:val="16"/>
                <w:lang w:val="en-GB"/>
              </w:rPr>
              <w:t xml:space="preserve">ervices </w:t>
            </w:r>
            <w:r w:rsidR="006B601E" w:rsidRPr="00D341ED">
              <w:rPr>
                <w:color w:val="000000" w:themeColor="text1"/>
                <w:sz w:val="16"/>
                <w:szCs w:val="16"/>
                <w:lang w:val="en-GB"/>
              </w:rPr>
              <w:t>s</w:t>
            </w:r>
            <w:r w:rsidRPr="00D341ED">
              <w:rPr>
                <w:color w:val="000000" w:themeColor="text1"/>
                <w:sz w:val="16"/>
                <w:szCs w:val="16"/>
                <w:lang w:val="en-GB"/>
              </w:rPr>
              <w:t>urvey, biannually (2021, 2023, 2025)</w:t>
            </w:r>
          </w:p>
          <w:p w14:paraId="2E42F7E0" w14:textId="77777777" w:rsidR="0090158F" w:rsidRPr="00D341ED" w:rsidRDefault="0090158F" w:rsidP="00475B8F">
            <w:pPr>
              <w:ind w:left="417"/>
              <w:rPr>
                <w:bCs/>
                <w:color w:val="000000" w:themeColor="text1"/>
                <w:sz w:val="16"/>
                <w:szCs w:val="16"/>
                <w:lang w:val="en-GB"/>
              </w:rPr>
            </w:pPr>
          </w:p>
          <w:p w14:paraId="5A2C1B7F" w14:textId="12756BEA" w:rsidR="0090158F" w:rsidRPr="00D341ED" w:rsidRDefault="0090158F" w:rsidP="00475B8F">
            <w:pPr>
              <w:pStyle w:val="ListParagraph"/>
              <w:numPr>
                <w:ilvl w:val="0"/>
                <w:numId w:val="10"/>
              </w:numPr>
              <w:ind w:left="417"/>
              <w:rPr>
                <w:bCs/>
                <w:color w:val="000000" w:themeColor="text1"/>
                <w:sz w:val="16"/>
                <w:szCs w:val="16"/>
                <w:lang w:val="en-GB"/>
              </w:rPr>
            </w:pPr>
            <w:r w:rsidRPr="00D341ED">
              <w:rPr>
                <w:b/>
                <w:color w:val="000000" w:themeColor="text1"/>
                <w:sz w:val="16"/>
                <w:szCs w:val="16"/>
                <w:lang w:val="en-GB"/>
              </w:rPr>
              <w:t>Indicator 1.1.5</w:t>
            </w:r>
            <w:r w:rsidR="006B601E" w:rsidRPr="00D341ED">
              <w:rPr>
                <w:b/>
                <w:color w:val="000000" w:themeColor="text1"/>
                <w:sz w:val="16"/>
                <w:szCs w:val="16"/>
                <w:lang w:val="en-GB"/>
              </w:rPr>
              <w:t>.</w:t>
            </w:r>
            <w:r w:rsidRPr="00D341ED">
              <w:rPr>
                <w:bCs/>
                <w:color w:val="000000" w:themeColor="text1"/>
                <w:sz w:val="16"/>
                <w:szCs w:val="16"/>
                <w:lang w:val="en-GB"/>
              </w:rPr>
              <w:t xml:space="preserve"> Municipal budget </w:t>
            </w:r>
            <w:r w:rsidRPr="00D341ED">
              <w:rPr>
                <w:color w:val="000000" w:themeColor="text1"/>
                <w:sz w:val="16"/>
                <w:szCs w:val="16"/>
                <w:lang w:val="en-GB"/>
              </w:rPr>
              <w:t xml:space="preserve">total receipts as </w:t>
            </w:r>
            <w:r w:rsidRPr="00D341ED">
              <w:rPr>
                <w:bCs/>
                <w:color w:val="000000" w:themeColor="text1"/>
                <w:sz w:val="16"/>
                <w:szCs w:val="16"/>
                <w:lang w:val="en-GB"/>
              </w:rPr>
              <w:t>a percentage</w:t>
            </w:r>
            <w:r w:rsidRPr="00D341ED">
              <w:rPr>
                <w:color w:val="000000" w:themeColor="text1"/>
                <w:sz w:val="16"/>
                <w:szCs w:val="16"/>
                <w:lang w:val="en-GB"/>
              </w:rPr>
              <w:t xml:space="preserve"> of</w:t>
            </w:r>
            <w:r w:rsidRPr="00D341ED">
              <w:rPr>
                <w:bCs/>
                <w:color w:val="000000" w:themeColor="text1"/>
                <w:sz w:val="16"/>
                <w:szCs w:val="16"/>
                <w:lang w:val="en-GB"/>
              </w:rPr>
              <w:t xml:space="preserve"> GDP</w:t>
            </w:r>
          </w:p>
          <w:p w14:paraId="6927D025"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(2019): 4.7%</w:t>
            </w:r>
          </w:p>
          <w:p w14:paraId="376902B2"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7%</w:t>
            </w:r>
          </w:p>
          <w:p w14:paraId="529925AE" w14:textId="5434BF77" w:rsidR="0090158F" w:rsidRPr="00D341ED" w:rsidRDefault="006B601E" w:rsidP="00475B8F">
            <w:pPr>
              <w:pStyle w:val="ListParagraph"/>
              <w:ind w:left="417"/>
              <w:rPr>
                <w:color w:val="000000" w:themeColor="text1"/>
                <w:sz w:val="16"/>
                <w:szCs w:val="16"/>
                <w:lang w:val="en-GB"/>
              </w:rPr>
            </w:pPr>
            <w:r w:rsidRPr="00D341ED">
              <w:rPr>
                <w:b/>
                <w:bCs/>
                <w:color w:val="000000" w:themeColor="text1"/>
                <w:sz w:val="16"/>
                <w:szCs w:val="16"/>
                <w:lang w:val="en-GB"/>
              </w:rPr>
              <w:t>S</w:t>
            </w:r>
            <w:r w:rsidR="0090158F" w:rsidRPr="00D341ED">
              <w:rPr>
                <w:b/>
                <w:bCs/>
                <w:color w:val="000000" w:themeColor="text1"/>
                <w:sz w:val="16"/>
                <w:szCs w:val="16"/>
                <w:lang w:val="en-GB"/>
              </w:rPr>
              <w:t>ource</w:t>
            </w:r>
            <w:r w:rsidR="0090158F" w:rsidRPr="00D341ED">
              <w:rPr>
                <w:color w:val="000000" w:themeColor="text1"/>
                <w:sz w:val="16"/>
                <w:szCs w:val="16"/>
                <w:lang w:val="en-GB"/>
              </w:rPr>
              <w:t xml:space="preserve">: MRDI 2020-2025 </w:t>
            </w:r>
            <w:r w:rsidRPr="00D341ED">
              <w:rPr>
                <w:color w:val="000000" w:themeColor="text1"/>
                <w:sz w:val="16"/>
                <w:szCs w:val="16"/>
                <w:lang w:val="en-GB"/>
              </w:rPr>
              <w:t>d</w:t>
            </w:r>
            <w:r w:rsidR="0090158F" w:rsidRPr="00D341ED">
              <w:rPr>
                <w:color w:val="000000" w:themeColor="text1"/>
                <w:sz w:val="16"/>
                <w:szCs w:val="16"/>
                <w:lang w:val="en-GB"/>
              </w:rPr>
              <w:t xml:space="preserve">ecentralization </w:t>
            </w:r>
            <w:r w:rsidRPr="00D341ED">
              <w:rPr>
                <w:color w:val="000000" w:themeColor="text1"/>
                <w:sz w:val="16"/>
                <w:szCs w:val="16"/>
                <w:lang w:val="en-GB"/>
              </w:rPr>
              <w:t>s</w:t>
            </w:r>
            <w:r w:rsidR="0090158F" w:rsidRPr="00D341ED">
              <w:rPr>
                <w:color w:val="000000" w:themeColor="text1"/>
                <w:sz w:val="16"/>
                <w:szCs w:val="16"/>
                <w:lang w:val="en-GB"/>
              </w:rPr>
              <w:t>trategy implementation report, annually</w:t>
            </w:r>
          </w:p>
          <w:p w14:paraId="584754D5" w14:textId="77777777" w:rsidR="0090158F" w:rsidRPr="00D341ED" w:rsidRDefault="0090158F" w:rsidP="00475B8F">
            <w:pPr>
              <w:ind w:left="417"/>
              <w:rPr>
                <w:bCs/>
                <w:color w:val="000000" w:themeColor="text1"/>
                <w:sz w:val="16"/>
                <w:szCs w:val="16"/>
                <w:lang w:val="en-GB"/>
              </w:rPr>
            </w:pPr>
          </w:p>
          <w:p w14:paraId="438E5A4D" w14:textId="5E24C497" w:rsidR="0090158F" w:rsidRPr="00D341ED" w:rsidRDefault="0090158F" w:rsidP="00475B8F">
            <w:pPr>
              <w:pStyle w:val="ListParagraph"/>
              <w:numPr>
                <w:ilvl w:val="0"/>
                <w:numId w:val="10"/>
              </w:numPr>
              <w:ind w:left="417"/>
              <w:rPr>
                <w:bCs/>
                <w:color w:val="000000" w:themeColor="text1"/>
                <w:sz w:val="16"/>
                <w:szCs w:val="16"/>
                <w:lang w:val="en-GB"/>
              </w:rPr>
            </w:pPr>
            <w:r w:rsidRPr="00D341ED">
              <w:rPr>
                <w:b/>
                <w:color w:val="000000" w:themeColor="text1"/>
                <w:sz w:val="16"/>
                <w:szCs w:val="16"/>
                <w:lang w:val="en-GB"/>
              </w:rPr>
              <w:t>Indicator 1.1.6</w:t>
            </w:r>
            <w:r w:rsidR="006B601E" w:rsidRPr="00D341ED">
              <w:rPr>
                <w:b/>
                <w:color w:val="000000" w:themeColor="text1"/>
                <w:sz w:val="16"/>
                <w:szCs w:val="16"/>
                <w:lang w:val="en-GB"/>
              </w:rPr>
              <w:t>.</w:t>
            </w:r>
            <w:r w:rsidRPr="00D341ED">
              <w:rPr>
                <w:bCs/>
                <w:color w:val="000000" w:themeColor="text1"/>
                <w:sz w:val="16"/>
                <w:szCs w:val="16"/>
                <w:lang w:val="en-GB"/>
              </w:rPr>
              <w:t xml:space="preserve"> Quality of evidence based and participatory </w:t>
            </w:r>
            <w:r w:rsidRPr="00D341ED">
              <w:rPr>
                <w:bCs/>
                <w:color w:val="000000" w:themeColor="text1"/>
                <w:sz w:val="16"/>
                <w:szCs w:val="16"/>
                <w:lang w:val="en-GB"/>
              </w:rPr>
              <w:lastRenderedPageBreak/>
              <w:t>law-making processes and executive oversight</w:t>
            </w:r>
          </w:p>
          <w:p w14:paraId="472B1D87"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(2020): Score 59/100</w:t>
            </w:r>
          </w:p>
          <w:p w14:paraId="5C18B0EA"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Score 65/100</w:t>
            </w:r>
          </w:p>
          <w:p w14:paraId="3A47D7ED" w14:textId="2353D28B"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xml:space="preserve">: Georgia </w:t>
            </w:r>
            <w:r w:rsidR="00DA03A1" w:rsidRPr="00D341ED">
              <w:rPr>
                <w:color w:val="000000" w:themeColor="text1"/>
                <w:sz w:val="16"/>
                <w:szCs w:val="16"/>
                <w:lang w:val="en-GB"/>
              </w:rPr>
              <w:t>n</w:t>
            </w:r>
            <w:r w:rsidRPr="00D341ED">
              <w:rPr>
                <w:color w:val="000000" w:themeColor="text1"/>
                <w:sz w:val="16"/>
                <w:szCs w:val="16"/>
                <w:lang w:val="en-GB"/>
              </w:rPr>
              <w:t xml:space="preserve">ational </w:t>
            </w:r>
            <w:r w:rsidR="00DA03A1" w:rsidRPr="00D341ED">
              <w:rPr>
                <w:color w:val="000000" w:themeColor="text1"/>
                <w:sz w:val="16"/>
                <w:szCs w:val="16"/>
                <w:lang w:val="en-GB"/>
              </w:rPr>
              <w:t>i</w:t>
            </w:r>
            <w:r w:rsidRPr="00D341ED">
              <w:rPr>
                <w:color w:val="000000" w:themeColor="text1"/>
                <w:sz w:val="16"/>
                <w:szCs w:val="16"/>
                <w:lang w:val="en-GB"/>
              </w:rPr>
              <w:t xml:space="preserve">ntegrity </w:t>
            </w:r>
            <w:r w:rsidR="00DA03A1" w:rsidRPr="00D341ED">
              <w:rPr>
                <w:color w:val="000000" w:themeColor="text1"/>
                <w:sz w:val="16"/>
                <w:szCs w:val="16"/>
                <w:lang w:val="en-GB"/>
              </w:rPr>
              <w:t>s</w:t>
            </w:r>
            <w:r w:rsidRPr="00D341ED">
              <w:rPr>
                <w:color w:val="000000" w:themeColor="text1"/>
                <w:sz w:val="16"/>
                <w:szCs w:val="16"/>
                <w:lang w:val="en-GB"/>
              </w:rPr>
              <w:t xml:space="preserve">ystem </w:t>
            </w:r>
            <w:r w:rsidR="00DA03A1" w:rsidRPr="00D341ED">
              <w:rPr>
                <w:color w:val="000000" w:themeColor="text1"/>
                <w:sz w:val="16"/>
                <w:szCs w:val="16"/>
                <w:lang w:val="en-GB"/>
              </w:rPr>
              <w:t>a</w:t>
            </w:r>
            <w:r w:rsidRPr="00D341ED">
              <w:rPr>
                <w:color w:val="000000" w:themeColor="text1"/>
                <w:sz w:val="16"/>
                <w:szCs w:val="16"/>
                <w:lang w:val="en-GB"/>
              </w:rPr>
              <w:t xml:space="preserve">ssessments, 2023, 2025. </w:t>
            </w:r>
          </w:p>
          <w:p w14:paraId="71336D8B" w14:textId="77777777" w:rsidR="0090158F" w:rsidRPr="00D341ED" w:rsidRDefault="0090158F" w:rsidP="00475B8F">
            <w:pPr>
              <w:pStyle w:val="ListParagraph"/>
              <w:ind w:left="417"/>
              <w:rPr>
                <w:color w:val="000000" w:themeColor="text1"/>
                <w:sz w:val="16"/>
                <w:szCs w:val="16"/>
                <w:lang w:val="en-GB"/>
              </w:rPr>
            </w:pPr>
          </w:p>
          <w:p w14:paraId="5CFE7484" w14:textId="0EC94903" w:rsidR="0090158F" w:rsidRPr="00D341ED" w:rsidRDefault="0090158F" w:rsidP="00475B8F">
            <w:pPr>
              <w:pStyle w:val="ListParagraph"/>
              <w:numPr>
                <w:ilvl w:val="0"/>
                <w:numId w:val="10"/>
              </w:numPr>
              <w:ind w:left="421"/>
              <w:rPr>
                <w:color w:val="000000" w:themeColor="text1"/>
                <w:sz w:val="16"/>
                <w:szCs w:val="16"/>
                <w:lang w:val="en-GB"/>
              </w:rPr>
            </w:pPr>
            <w:r w:rsidRPr="00D341ED">
              <w:rPr>
                <w:b/>
                <w:bCs/>
                <w:color w:val="000000" w:themeColor="text1"/>
                <w:sz w:val="16"/>
                <w:szCs w:val="16"/>
                <w:lang w:val="en-GB"/>
              </w:rPr>
              <w:t>Indicator 1.1.7</w:t>
            </w:r>
            <w:r w:rsidR="00DA03A1" w:rsidRPr="00D341ED">
              <w:rPr>
                <w:b/>
                <w:bCs/>
                <w:color w:val="000000" w:themeColor="text1"/>
                <w:sz w:val="16"/>
                <w:szCs w:val="16"/>
                <w:lang w:val="en-GB"/>
              </w:rPr>
              <w:t>.</w:t>
            </w:r>
            <w:r w:rsidRPr="00D341ED">
              <w:rPr>
                <w:color w:val="000000" w:themeColor="text1"/>
                <w:sz w:val="16"/>
                <w:szCs w:val="16"/>
                <w:lang w:val="en-GB"/>
              </w:rPr>
              <w:t xml:space="preserve"> Number of digitized public services added to Unified Citizens’ Portal (national e-governance platform my.gov.ge) in response to COVID-19 pandemic </w:t>
            </w:r>
          </w:p>
          <w:p w14:paraId="28C8D215" w14:textId="77777777" w:rsidR="0090158F" w:rsidRPr="00D341ED" w:rsidRDefault="0090158F" w:rsidP="00475B8F">
            <w:pPr>
              <w:pStyle w:val="ListParagraph"/>
              <w:ind w:left="421"/>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(2020): 217</w:t>
            </w:r>
          </w:p>
          <w:p w14:paraId="3B303936" w14:textId="77777777" w:rsidR="0090158F" w:rsidRPr="00D341ED" w:rsidRDefault="0090158F" w:rsidP="00475B8F">
            <w:pPr>
              <w:pStyle w:val="ListParagraph"/>
              <w:ind w:left="421"/>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50 </w:t>
            </w:r>
          </w:p>
          <w:p w14:paraId="440F8E54" w14:textId="77777777" w:rsidR="0090158F" w:rsidRPr="00D341ED" w:rsidRDefault="0090158F" w:rsidP="00475B8F">
            <w:pPr>
              <w:pStyle w:val="ListParagraph"/>
              <w:ind w:left="421"/>
              <w:rPr>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DGA reports, my.gov.ge, annually</w:t>
            </w:r>
          </w:p>
          <w:p w14:paraId="23D411D2" w14:textId="77777777" w:rsidR="0090158F" w:rsidRPr="00D341ED" w:rsidRDefault="0090158F" w:rsidP="00475B8F">
            <w:pPr>
              <w:pStyle w:val="ListParagraph"/>
              <w:ind w:left="417"/>
              <w:rPr>
                <w:color w:val="000000" w:themeColor="text1"/>
                <w:sz w:val="16"/>
                <w:szCs w:val="16"/>
                <w:lang w:val="en-GB"/>
              </w:rPr>
            </w:pPr>
          </w:p>
          <w:p w14:paraId="19BC6EF2" w14:textId="61C0EC6B" w:rsidR="0090158F" w:rsidRPr="00D341ED" w:rsidRDefault="0090158F" w:rsidP="00475B8F">
            <w:pPr>
              <w:rPr>
                <w:bCs/>
                <w:color w:val="000000" w:themeColor="text1"/>
                <w:sz w:val="16"/>
                <w:szCs w:val="16"/>
                <w:lang w:val="en-GB"/>
              </w:rPr>
            </w:pPr>
            <w:r w:rsidRPr="00D341ED">
              <w:rPr>
                <w:b/>
                <w:color w:val="000000" w:themeColor="text1"/>
                <w:sz w:val="16"/>
                <w:szCs w:val="16"/>
                <w:lang w:val="en-GB"/>
              </w:rPr>
              <w:t>Output 1.2</w:t>
            </w:r>
            <w:r w:rsidR="00DA03A1" w:rsidRPr="00D341ED">
              <w:rPr>
                <w:b/>
                <w:color w:val="000000" w:themeColor="text1"/>
                <w:sz w:val="16"/>
                <w:szCs w:val="16"/>
                <w:lang w:val="en-GB"/>
              </w:rPr>
              <w:t>.</w:t>
            </w:r>
            <w:r w:rsidRPr="00D341ED">
              <w:rPr>
                <w:bCs/>
                <w:color w:val="000000" w:themeColor="text1"/>
                <w:sz w:val="16"/>
                <w:szCs w:val="16"/>
                <w:lang w:val="en-GB"/>
              </w:rPr>
              <w:t xml:space="preserve"> National legislation and policies to eliminate all types of discrimination, deliver gender-equal results, enhance human rights and equal access to justice, and equitable access to/universal coverage of quality social services, especially for the most vulnerable and marginalized.</w:t>
            </w:r>
          </w:p>
          <w:p w14:paraId="6CF90298" w14:textId="77777777" w:rsidR="0090158F" w:rsidRPr="00D341ED" w:rsidRDefault="0090158F" w:rsidP="00475B8F">
            <w:pPr>
              <w:ind w:left="34"/>
              <w:rPr>
                <w:b/>
                <w:bCs/>
                <w:color w:val="000000" w:themeColor="text1"/>
                <w:sz w:val="16"/>
                <w:szCs w:val="16"/>
                <w:u w:val="single"/>
                <w:lang w:val="en-GB"/>
              </w:rPr>
            </w:pPr>
          </w:p>
          <w:p w14:paraId="27E56267" w14:textId="413AC17A" w:rsidR="0090158F" w:rsidRPr="00D341ED" w:rsidRDefault="0090158F" w:rsidP="00475B8F">
            <w:pPr>
              <w:pStyle w:val="ListParagraph"/>
              <w:numPr>
                <w:ilvl w:val="0"/>
                <w:numId w:val="9"/>
              </w:numPr>
              <w:ind w:left="417"/>
              <w:rPr>
                <w:bCs/>
                <w:color w:val="000000" w:themeColor="text1"/>
                <w:sz w:val="16"/>
                <w:szCs w:val="16"/>
                <w:lang w:val="en-GB"/>
              </w:rPr>
            </w:pPr>
            <w:r w:rsidRPr="00D341ED">
              <w:rPr>
                <w:b/>
                <w:color w:val="000000" w:themeColor="text1"/>
                <w:sz w:val="16"/>
                <w:szCs w:val="16"/>
                <w:lang w:val="en-GB"/>
              </w:rPr>
              <w:t>Indicator 1.2.1</w:t>
            </w:r>
            <w:r w:rsidR="00DA03A1" w:rsidRPr="00D341ED">
              <w:rPr>
                <w:b/>
                <w:color w:val="000000" w:themeColor="text1"/>
                <w:sz w:val="16"/>
                <w:szCs w:val="16"/>
                <w:lang w:val="en-GB"/>
              </w:rPr>
              <w:t>.</w:t>
            </w:r>
            <w:r w:rsidRPr="00D341ED">
              <w:rPr>
                <w:bCs/>
                <w:color w:val="000000" w:themeColor="text1"/>
                <w:sz w:val="16"/>
                <w:szCs w:val="16"/>
                <w:lang w:val="en-GB"/>
              </w:rPr>
              <w:t xml:space="preserve"> Percent</w:t>
            </w:r>
            <w:r w:rsidR="00DA03A1" w:rsidRPr="00D341ED">
              <w:rPr>
                <w:bCs/>
                <w:color w:val="000000" w:themeColor="text1"/>
                <w:sz w:val="16"/>
                <w:szCs w:val="16"/>
                <w:lang w:val="en-GB"/>
              </w:rPr>
              <w:t>age</w:t>
            </w:r>
            <w:r w:rsidRPr="00D341ED">
              <w:rPr>
                <w:bCs/>
                <w:color w:val="000000" w:themeColor="text1"/>
                <w:sz w:val="16"/>
                <w:szCs w:val="16"/>
                <w:lang w:val="en-GB"/>
              </w:rPr>
              <w:t xml:space="preserve"> of courts operating court mediation centr</w:t>
            </w:r>
            <w:r w:rsidR="00DA03A1" w:rsidRPr="00D341ED">
              <w:rPr>
                <w:bCs/>
                <w:color w:val="000000" w:themeColor="text1"/>
                <w:sz w:val="16"/>
                <w:szCs w:val="16"/>
                <w:lang w:val="en-GB"/>
              </w:rPr>
              <w:t>e</w:t>
            </w:r>
            <w:r w:rsidRPr="00D341ED">
              <w:rPr>
                <w:bCs/>
                <w:color w:val="000000" w:themeColor="text1"/>
                <w:sz w:val="16"/>
                <w:szCs w:val="16"/>
                <w:lang w:val="en-GB"/>
              </w:rPr>
              <w:t>s with at least one completed referred mediation case</w:t>
            </w:r>
          </w:p>
          <w:p w14:paraId="25FCD386" w14:textId="061D41C9"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(2020): </w:t>
            </w:r>
            <w:r w:rsidRPr="00D341ED">
              <w:rPr>
                <w:bCs/>
                <w:color w:val="000000" w:themeColor="text1"/>
                <w:sz w:val="16"/>
                <w:szCs w:val="16"/>
                <w:lang w:val="en-GB"/>
              </w:rPr>
              <w:t>17% in Tbilisi, Gori, Rustavi, Mtskheta operate mediation centr</w:t>
            </w:r>
            <w:r w:rsidR="00DA03A1" w:rsidRPr="00D341ED">
              <w:rPr>
                <w:bCs/>
                <w:color w:val="000000" w:themeColor="text1"/>
                <w:sz w:val="16"/>
                <w:szCs w:val="16"/>
                <w:lang w:val="en-GB"/>
              </w:rPr>
              <w:t>e</w:t>
            </w:r>
            <w:r w:rsidRPr="00D341ED">
              <w:rPr>
                <w:bCs/>
                <w:color w:val="000000" w:themeColor="text1"/>
                <w:sz w:val="16"/>
                <w:szCs w:val="16"/>
                <w:lang w:val="en-GB"/>
              </w:rPr>
              <w:t>s.</w:t>
            </w:r>
          </w:p>
          <w:p w14:paraId="6F4B87CE"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(2023): 75% </w:t>
            </w:r>
          </w:p>
          <w:p w14:paraId="3FA5D8A8" w14:textId="3AA3E33D"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xml:space="preserve">: MAG </w:t>
            </w:r>
            <w:r w:rsidR="00DA03A1" w:rsidRPr="00D341ED">
              <w:rPr>
                <w:color w:val="000000" w:themeColor="text1"/>
                <w:sz w:val="16"/>
                <w:szCs w:val="16"/>
                <w:lang w:val="en-GB"/>
              </w:rPr>
              <w:t>a</w:t>
            </w:r>
            <w:r w:rsidRPr="00D341ED">
              <w:rPr>
                <w:color w:val="000000" w:themeColor="text1"/>
                <w:sz w:val="16"/>
                <w:szCs w:val="16"/>
                <w:lang w:val="en-GB"/>
              </w:rPr>
              <w:t xml:space="preserve">nnual </w:t>
            </w:r>
            <w:r w:rsidR="00DA03A1" w:rsidRPr="00D341ED">
              <w:rPr>
                <w:color w:val="000000" w:themeColor="text1"/>
                <w:sz w:val="16"/>
                <w:szCs w:val="16"/>
                <w:lang w:val="en-GB"/>
              </w:rPr>
              <w:t>r</w:t>
            </w:r>
            <w:r w:rsidRPr="00D341ED">
              <w:rPr>
                <w:color w:val="000000" w:themeColor="text1"/>
                <w:sz w:val="16"/>
                <w:szCs w:val="16"/>
                <w:lang w:val="en-GB"/>
              </w:rPr>
              <w:t>eport, High Council of Justice decisions, annually</w:t>
            </w:r>
          </w:p>
          <w:p w14:paraId="58757162" w14:textId="77777777" w:rsidR="0090158F" w:rsidRPr="00D341ED" w:rsidRDefault="0090158F" w:rsidP="00475B8F">
            <w:pPr>
              <w:ind w:left="417"/>
              <w:rPr>
                <w:color w:val="000000" w:themeColor="text1"/>
                <w:sz w:val="16"/>
                <w:szCs w:val="16"/>
                <w:lang w:val="en-GB"/>
              </w:rPr>
            </w:pPr>
          </w:p>
          <w:p w14:paraId="2C8B99F7" w14:textId="3DAAAFB0" w:rsidR="0090158F" w:rsidRPr="00D341ED" w:rsidRDefault="0090158F" w:rsidP="00475B8F">
            <w:pPr>
              <w:pStyle w:val="ListParagraph"/>
              <w:numPr>
                <w:ilvl w:val="0"/>
                <w:numId w:val="9"/>
              </w:numPr>
              <w:ind w:left="417"/>
              <w:rPr>
                <w:bCs/>
                <w:color w:val="000000" w:themeColor="text1"/>
                <w:sz w:val="16"/>
                <w:szCs w:val="16"/>
                <w:lang w:val="en-GB"/>
              </w:rPr>
            </w:pPr>
            <w:r w:rsidRPr="00D341ED">
              <w:rPr>
                <w:b/>
                <w:color w:val="000000" w:themeColor="text1"/>
                <w:sz w:val="16"/>
                <w:szCs w:val="16"/>
                <w:lang w:val="en-GB"/>
              </w:rPr>
              <w:t>Indicator 1.2.2</w:t>
            </w:r>
            <w:r w:rsidR="00DA03A1" w:rsidRPr="00D341ED">
              <w:rPr>
                <w:b/>
                <w:color w:val="000000" w:themeColor="text1"/>
                <w:sz w:val="16"/>
                <w:szCs w:val="16"/>
                <w:lang w:val="en-GB"/>
              </w:rPr>
              <w:t>.</w:t>
            </w:r>
            <w:r w:rsidRPr="00D341ED">
              <w:rPr>
                <w:bCs/>
                <w:color w:val="000000" w:themeColor="text1"/>
                <w:sz w:val="16"/>
                <w:szCs w:val="16"/>
                <w:lang w:val="en-GB"/>
              </w:rPr>
              <w:t xml:space="preserve"> National </w:t>
            </w:r>
            <w:r w:rsidR="00DA03A1" w:rsidRPr="00D341ED">
              <w:rPr>
                <w:bCs/>
                <w:color w:val="000000" w:themeColor="text1"/>
                <w:sz w:val="16"/>
                <w:szCs w:val="16"/>
                <w:lang w:val="en-GB"/>
              </w:rPr>
              <w:t>h</w:t>
            </w:r>
            <w:r w:rsidRPr="00D341ED">
              <w:rPr>
                <w:bCs/>
                <w:color w:val="000000" w:themeColor="text1"/>
                <w:sz w:val="16"/>
                <w:szCs w:val="16"/>
                <w:lang w:val="en-GB"/>
              </w:rPr>
              <w:t xml:space="preserve">uman </w:t>
            </w:r>
            <w:r w:rsidR="00DA03A1" w:rsidRPr="00D341ED">
              <w:rPr>
                <w:bCs/>
                <w:color w:val="000000" w:themeColor="text1"/>
                <w:sz w:val="16"/>
                <w:szCs w:val="16"/>
                <w:lang w:val="en-GB"/>
              </w:rPr>
              <w:t>r</w:t>
            </w:r>
            <w:r w:rsidRPr="00D341ED">
              <w:rPr>
                <w:bCs/>
                <w:color w:val="000000" w:themeColor="text1"/>
                <w:sz w:val="16"/>
                <w:szCs w:val="16"/>
                <w:lang w:val="en-GB"/>
              </w:rPr>
              <w:t xml:space="preserve">ights </w:t>
            </w:r>
            <w:r w:rsidR="00DA03A1" w:rsidRPr="00D341ED">
              <w:rPr>
                <w:bCs/>
                <w:color w:val="000000" w:themeColor="text1"/>
                <w:sz w:val="16"/>
                <w:szCs w:val="16"/>
                <w:lang w:val="en-GB"/>
              </w:rPr>
              <w:t>s</w:t>
            </w:r>
            <w:r w:rsidRPr="00D341ED">
              <w:rPr>
                <w:bCs/>
                <w:color w:val="000000" w:themeColor="text1"/>
                <w:sz w:val="16"/>
                <w:szCs w:val="16"/>
                <w:lang w:val="en-GB"/>
              </w:rPr>
              <w:t>trategy (NHRS) 2021-2030 implementation rate</w:t>
            </w:r>
          </w:p>
          <w:p w14:paraId="029E58A6"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(2020): </w:t>
            </w:r>
            <w:r w:rsidRPr="00D341ED">
              <w:rPr>
                <w:bCs/>
                <w:color w:val="000000" w:themeColor="text1"/>
                <w:sz w:val="16"/>
                <w:szCs w:val="16"/>
                <w:lang w:val="en-GB"/>
              </w:rPr>
              <w:t>Strategy being prepared</w:t>
            </w:r>
          </w:p>
          <w:p w14:paraId="0FBB8976"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50% of objectives implemented</w:t>
            </w:r>
          </w:p>
          <w:p w14:paraId="28952D57" w14:textId="4978A714"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lastRenderedPageBreak/>
              <w:t>Source</w:t>
            </w:r>
            <w:r w:rsidRPr="00D341ED">
              <w:rPr>
                <w:color w:val="000000" w:themeColor="text1"/>
                <w:sz w:val="16"/>
                <w:szCs w:val="16"/>
                <w:lang w:val="en-GB"/>
              </w:rPr>
              <w:t xml:space="preserve">:  NHRS </w:t>
            </w:r>
            <w:r w:rsidR="00DA03A1" w:rsidRPr="00D341ED">
              <w:rPr>
                <w:color w:val="000000" w:themeColor="text1"/>
                <w:sz w:val="16"/>
                <w:szCs w:val="16"/>
                <w:lang w:val="en-GB"/>
              </w:rPr>
              <w:t>a</w:t>
            </w:r>
            <w:r w:rsidRPr="00D341ED">
              <w:rPr>
                <w:color w:val="000000" w:themeColor="text1"/>
                <w:sz w:val="16"/>
                <w:szCs w:val="16"/>
                <w:lang w:val="en-GB"/>
              </w:rPr>
              <w:t xml:space="preserve">ction </w:t>
            </w:r>
            <w:r w:rsidR="00DA03A1" w:rsidRPr="00D341ED">
              <w:rPr>
                <w:color w:val="000000" w:themeColor="text1"/>
                <w:sz w:val="16"/>
                <w:szCs w:val="16"/>
                <w:lang w:val="en-GB"/>
              </w:rPr>
              <w:t>p</w:t>
            </w:r>
            <w:r w:rsidRPr="00D341ED">
              <w:rPr>
                <w:color w:val="000000" w:themeColor="text1"/>
                <w:sz w:val="16"/>
                <w:szCs w:val="16"/>
                <w:lang w:val="en-GB"/>
              </w:rPr>
              <w:t xml:space="preserve">lan reports by </w:t>
            </w:r>
            <w:r w:rsidR="0094437B" w:rsidRPr="00D341ED">
              <w:rPr>
                <w:color w:val="000000" w:themeColor="text1"/>
                <w:sz w:val="16"/>
                <w:szCs w:val="16"/>
                <w:lang w:val="en-GB"/>
              </w:rPr>
              <w:t>HRS</w:t>
            </w:r>
            <w:r w:rsidRPr="00D341ED">
              <w:rPr>
                <w:color w:val="000000" w:themeColor="text1"/>
                <w:sz w:val="16"/>
                <w:szCs w:val="16"/>
                <w:lang w:val="en-GB"/>
              </w:rPr>
              <w:t>, annually</w:t>
            </w:r>
          </w:p>
          <w:p w14:paraId="7DF9394B" w14:textId="77777777" w:rsidR="0090158F" w:rsidRPr="00D341ED" w:rsidRDefault="0090158F" w:rsidP="00475B8F">
            <w:pPr>
              <w:ind w:left="417"/>
              <w:rPr>
                <w:color w:val="000000" w:themeColor="text1"/>
                <w:sz w:val="16"/>
                <w:szCs w:val="16"/>
                <w:lang w:val="en-GB"/>
              </w:rPr>
            </w:pPr>
          </w:p>
          <w:p w14:paraId="5D17F884" w14:textId="2C3F4D62" w:rsidR="0090158F" w:rsidRPr="00D341ED" w:rsidRDefault="0090158F" w:rsidP="00475B8F">
            <w:pPr>
              <w:pStyle w:val="ListParagraph"/>
              <w:numPr>
                <w:ilvl w:val="0"/>
                <w:numId w:val="9"/>
              </w:numPr>
              <w:ind w:left="417"/>
              <w:rPr>
                <w:bCs/>
                <w:color w:val="000000" w:themeColor="text1"/>
                <w:sz w:val="16"/>
                <w:szCs w:val="16"/>
                <w:lang w:val="en-GB"/>
              </w:rPr>
            </w:pPr>
            <w:r w:rsidRPr="00D341ED">
              <w:rPr>
                <w:b/>
                <w:color w:val="000000" w:themeColor="text1"/>
                <w:sz w:val="16"/>
                <w:szCs w:val="16"/>
                <w:lang w:val="en-GB"/>
              </w:rPr>
              <w:t>Indicator 1.2.3</w:t>
            </w:r>
            <w:r w:rsidR="00DA03A1" w:rsidRPr="00D341ED">
              <w:rPr>
                <w:b/>
                <w:color w:val="000000" w:themeColor="text1"/>
                <w:sz w:val="16"/>
                <w:szCs w:val="16"/>
                <w:lang w:val="en-GB"/>
              </w:rPr>
              <w:t>.</w:t>
            </w:r>
            <w:r w:rsidRPr="00D341ED">
              <w:rPr>
                <w:bCs/>
                <w:color w:val="000000" w:themeColor="text1"/>
                <w:sz w:val="16"/>
                <w:szCs w:val="16"/>
                <w:lang w:val="en-GB"/>
              </w:rPr>
              <w:t xml:space="preserve"> State Inspector </w:t>
            </w:r>
            <w:r w:rsidR="00DA03A1" w:rsidRPr="00D341ED">
              <w:rPr>
                <w:bCs/>
                <w:color w:val="000000" w:themeColor="text1"/>
                <w:sz w:val="16"/>
                <w:szCs w:val="16"/>
                <w:lang w:val="en-GB"/>
              </w:rPr>
              <w:t>s</w:t>
            </w:r>
            <w:r w:rsidRPr="00D341ED">
              <w:rPr>
                <w:bCs/>
                <w:color w:val="000000" w:themeColor="text1"/>
                <w:sz w:val="16"/>
                <w:szCs w:val="16"/>
                <w:lang w:val="en-GB"/>
              </w:rPr>
              <w:t>ervice </w:t>
            </w:r>
            <w:r w:rsidR="00DA03A1" w:rsidRPr="00D341ED">
              <w:rPr>
                <w:bCs/>
                <w:color w:val="000000" w:themeColor="text1"/>
                <w:sz w:val="16"/>
                <w:szCs w:val="16"/>
                <w:lang w:val="en-GB"/>
              </w:rPr>
              <w:t>i</w:t>
            </w:r>
            <w:r w:rsidRPr="00D341ED">
              <w:rPr>
                <w:bCs/>
                <w:color w:val="000000" w:themeColor="text1"/>
                <w:sz w:val="16"/>
                <w:szCs w:val="16"/>
                <w:lang w:val="en-GB"/>
              </w:rPr>
              <w:t xml:space="preserve">nstitutional </w:t>
            </w:r>
            <w:r w:rsidR="00DA03A1" w:rsidRPr="00D341ED">
              <w:rPr>
                <w:bCs/>
                <w:color w:val="000000" w:themeColor="text1"/>
                <w:sz w:val="16"/>
                <w:szCs w:val="16"/>
                <w:lang w:val="en-GB"/>
              </w:rPr>
              <w:t>s</w:t>
            </w:r>
            <w:r w:rsidRPr="00D341ED">
              <w:rPr>
                <w:bCs/>
                <w:color w:val="000000" w:themeColor="text1"/>
                <w:sz w:val="16"/>
                <w:szCs w:val="16"/>
                <w:lang w:val="en-GB"/>
              </w:rPr>
              <w:t>trategy 2021-2023 implementation rate</w:t>
            </w:r>
          </w:p>
          <w:p w14:paraId="7BA5CCF8"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(2020): 0%, </w:t>
            </w:r>
            <w:r w:rsidRPr="00D341ED">
              <w:rPr>
                <w:bCs/>
                <w:color w:val="000000" w:themeColor="text1"/>
                <w:sz w:val="16"/>
                <w:szCs w:val="16"/>
                <w:lang w:val="en-GB"/>
              </w:rPr>
              <w:t>Strategy not adopted</w:t>
            </w:r>
          </w:p>
          <w:p w14:paraId="22B55150"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(2023): 70% of objectives implemented</w:t>
            </w:r>
          </w:p>
          <w:p w14:paraId="20FD306C" w14:textId="13886F30"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xml:space="preserve">: Strategy </w:t>
            </w:r>
            <w:r w:rsidR="00DA03A1" w:rsidRPr="00D341ED">
              <w:rPr>
                <w:color w:val="000000" w:themeColor="text1"/>
                <w:sz w:val="16"/>
                <w:szCs w:val="16"/>
                <w:lang w:val="en-GB"/>
              </w:rPr>
              <w:t>i</w:t>
            </w:r>
            <w:r w:rsidRPr="00D341ED">
              <w:rPr>
                <w:color w:val="000000" w:themeColor="text1"/>
                <w:sz w:val="16"/>
                <w:szCs w:val="16"/>
                <w:lang w:val="en-GB"/>
              </w:rPr>
              <w:t xml:space="preserve">mplementation reports, annually </w:t>
            </w:r>
          </w:p>
          <w:p w14:paraId="2C376837" w14:textId="77777777" w:rsidR="0090158F" w:rsidRPr="00D341ED" w:rsidRDefault="0090158F" w:rsidP="00475B8F">
            <w:pPr>
              <w:ind w:left="417"/>
              <w:rPr>
                <w:color w:val="000000" w:themeColor="text1"/>
                <w:sz w:val="16"/>
                <w:szCs w:val="16"/>
                <w:lang w:val="en-GB"/>
              </w:rPr>
            </w:pPr>
          </w:p>
          <w:p w14:paraId="64A5DCAC" w14:textId="741E3BF5" w:rsidR="0090158F" w:rsidRPr="00D341ED" w:rsidRDefault="0090158F" w:rsidP="00475B8F">
            <w:pPr>
              <w:pStyle w:val="ListParagraph"/>
              <w:numPr>
                <w:ilvl w:val="0"/>
                <w:numId w:val="9"/>
              </w:numPr>
              <w:ind w:left="417"/>
              <w:rPr>
                <w:color w:val="000000" w:themeColor="text1"/>
                <w:sz w:val="16"/>
                <w:szCs w:val="16"/>
                <w:lang w:val="en-GB"/>
              </w:rPr>
            </w:pPr>
            <w:r w:rsidRPr="00D341ED">
              <w:rPr>
                <w:b/>
                <w:color w:val="000000" w:themeColor="text1"/>
                <w:sz w:val="16"/>
                <w:szCs w:val="16"/>
                <w:lang w:val="en-GB"/>
              </w:rPr>
              <w:t>Indicator 1.2.4</w:t>
            </w:r>
            <w:r w:rsidR="00DA03A1" w:rsidRPr="00D341ED">
              <w:rPr>
                <w:b/>
                <w:color w:val="000000" w:themeColor="text1"/>
                <w:sz w:val="16"/>
                <w:szCs w:val="16"/>
                <w:lang w:val="en-GB"/>
              </w:rPr>
              <w:t>.</w:t>
            </w:r>
            <w:r w:rsidRPr="00D341ED">
              <w:rPr>
                <w:bCs/>
                <w:color w:val="000000" w:themeColor="text1"/>
                <w:sz w:val="16"/>
                <w:szCs w:val="16"/>
                <w:lang w:val="en-GB"/>
              </w:rPr>
              <w:t xml:space="preserve"> Public</w:t>
            </w:r>
            <w:r w:rsidRPr="00D341ED">
              <w:rPr>
                <w:color w:val="000000" w:themeColor="text1"/>
                <w:sz w:val="16"/>
                <w:szCs w:val="16"/>
                <w:lang w:val="en-GB"/>
              </w:rPr>
              <w:t xml:space="preserve"> </w:t>
            </w:r>
            <w:r w:rsidRPr="00D341ED">
              <w:rPr>
                <w:bCs/>
                <w:color w:val="000000" w:themeColor="text1"/>
                <w:sz w:val="16"/>
                <w:szCs w:val="16"/>
                <w:lang w:val="en-GB"/>
              </w:rPr>
              <w:t>perception on human rights situation in Georgia.</w:t>
            </w:r>
          </w:p>
          <w:p w14:paraId="4A0F9264" w14:textId="46EF16B2"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(2018): </w:t>
            </w:r>
            <w:r w:rsidRPr="00D341ED">
              <w:rPr>
                <w:bCs/>
                <w:color w:val="000000" w:themeColor="text1"/>
                <w:sz w:val="16"/>
                <w:szCs w:val="16"/>
                <w:lang w:val="en-GB"/>
              </w:rPr>
              <w:t>47% reported state is not oriented to enhance human rights protection, 53%</w:t>
            </w:r>
            <w:r w:rsidR="00DA03A1" w:rsidRPr="00D341ED">
              <w:rPr>
                <w:bCs/>
                <w:color w:val="000000" w:themeColor="text1"/>
                <w:sz w:val="16"/>
                <w:szCs w:val="16"/>
                <w:lang w:val="en-GB"/>
              </w:rPr>
              <w:t> </w:t>
            </w:r>
            <w:r w:rsidRPr="00D341ED">
              <w:rPr>
                <w:bCs/>
                <w:color w:val="000000" w:themeColor="text1"/>
                <w:sz w:val="16"/>
                <w:szCs w:val="16"/>
                <w:lang w:val="en-GB"/>
              </w:rPr>
              <w:t>that human rights are totally unprotected</w:t>
            </w:r>
          </w:p>
          <w:p w14:paraId="526FF359"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(2023): 60% for both </w:t>
            </w:r>
            <w:r w:rsidRPr="00D341ED">
              <w:rPr>
                <w:b/>
                <w:bCs/>
                <w:color w:val="000000" w:themeColor="text1"/>
                <w:sz w:val="16"/>
                <w:szCs w:val="16"/>
                <w:lang w:val="en-GB"/>
              </w:rPr>
              <w:t>Source</w:t>
            </w:r>
            <w:r w:rsidRPr="00D341ED">
              <w:rPr>
                <w:color w:val="000000" w:themeColor="text1"/>
                <w:sz w:val="16"/>
                <w:szCs w:val="16"/>
                <w:lang w:val="en-GB"/>
              </w:rPr>
              <w:t>: UNDP public opinion survey, 2023</w:t>
            </w:r>
          </w:p>
          <w:p w14:paraId="2BD78230" w14:textId="77777777" w:rsidR="0090158F" w:rsidRPr="00D341ED" w:rsidRDefault="0090158F" w:rsidP="00475B8F">
            <w:pPr>
              <w:ind w:left="417"/>
              <w:rPr>
                <w:color w:val="000000" w:themeColor="text1"/>
                <w:sz w:val="16"/>
                <w:szCs w:val="16"/>
                <w:lang w:val="en-GB"/>
              </w:rPr>
            </w:pPr>
          </w:p>
          <w:p w14:paraId="05AA31A6" w14:textId="5DAC88A9" w:rsidR="0090158F" w:rsidRPr="00D341ED" w:rsidRDefault="0090158F" w:rsidP="00475B8F">
            <w:pPr>
              <w:pStyle w:val="ListParagraph"/>
              <w:numPr>
                <w:ilvl w:val="0"/>
                <w:numId w:val="9"/>
              </w:numPr>
              <w:ind w:left="417"/>
              <w:rPr>
                <w:color w:val="000000" w:themeColor="text1"/>
                <w:sz w:val="16"/>
                <w:szCs w:val="16"/>
                <w:lang w:val="en-GB"/>
              </w:rPr>
            </w:pPr>
            <w:r w:rsidRPr="00D341ED">
              <w:rPr>
                <w:b/>
                <w:color w:val="000000" w:themeColor="text1"/>
                <w:sz w:val="16"/>
                <w:szCs w:val="16"/>
                <w:lang w:val="en-GB"/>
              </w:rPr>
              <w:t>Indicator 1.2.5</w:t>
            </w:r>
            <w:r w:rsidR="00DA03A1" w:rsidRPr="00D341ED">
              <w:rPr>
                <w:b/>
                <w:color w:val="000000" w:themeColor="text1"/>
                <w:sz w:val="16"/>
                <w:szCs w:val="16"/>
                <w:lang w:val="en-GB"/>
              </w:rPr>
              <w:t>.</w:t>
            </w:r>
            <w:r w:rsidRPr="00D341ED">
              <w:rPr>
                <w:bCs/>
                <w:color w:val="000000" w:themeColor="text1"/>
                <w:sz w:val="16"/>
                <w:szCs w:val="16"/>
                <w:lang w:val="en-GB"/>
              </w:rPr>
              <w:t xml:space="preserve"> Proportion of </w:t>
            </w:r>
            <w:r w:rsidR="00DA03A1" w:rsidRPr="00D341ED">
              <w:rPr>
                <w:bCs/>
                <w:color w:val="000000" w:themeColor="text1"/>
                <w:sz w:val="16"/>
                <w:szCs w:val="16"/>
                <w:lang w:val="en-GB"/>
              </w:rPr>
              <w:t>g</w:t>
            </w:r>
            <w:r w:rsidRPr="00D341ED">
              <w:rPr>
                <w:bCs/>
                <w:color w:val="000000" w:themeColor="text1"/>
                <w:sz w:val="16"/>
                <w:szCs w:val="16"/>
                <w:lang w:val="en-GB"/>
              </w:rPr>
              <w:t xml:space="preserve">ender </w:t>
            </w:r>
            <w:r w:rsidR="00DA03A1" w:rsidRPr="00D341ED">
              <w:rPr>
                <w:bCs/>
                <w:color w:val="000000" w:themeColor="text1"/>
                <w:sz w:val="16"/>
                <w:szCs w:val="16"/>
                <w:lang w:val="en-GB"/>
              </w:rPr>
              <w:t>e</w:t>
            </w:r>
            <w:r w:rsidRPr="00D341ED">
              <w:rPr>
                <w:bCs/>
                <w:color w:val="000000" w:themeColor="text1"/>
                <w:sz w:val="16"/>
                <w:szCs w:val="16"/>
                <w:lang w:val="en-GB"/>
              </w:rPr>
              <w:t>quality chapter(s) of NHRS 2021-2030 implemented</w:t>
            </w:r>
          </w:p>
          <w:p w14:paraId="6D3F6859"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(2020): </w:t>
            </w:r>
            <w:r w:rsidRPr="00D341ED">
              <w:rPr>
                <w:bCs/>
                <w:color w:val="000000" w:themeColor="text1"/>
                <w:sz w:val="16"/>
                <w:szCs w:val="16"/>
                <w:lang w:val="en-GB"/>
              </w:rPr>
              <w:t>0</w:t>
            </w:r>
          </w:p>
          <w:p w14:paraId="3492FD44"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30% </w:t>
            </w:r>
          </w:p>
          <w:p w14:paraId="060AF8F1" w14:textId="0B2A0650" w:rsidR="0090158F" w:rsidRPr="00D341ED" w:rsidRDefault="00DA03A1" w:rsidP="00475B8F">
            <w:pPr>
              <w:pStyle w:val="ListParagraph"/>
              <w:ind w:left="417"/>
              <w:rPr>
                <w:color w:val="000000" w:themeColor="text1"/>
                <w:sz w:val="16"/>
                <w:szCs w:val="16"/>
                <w:lang w:val="en-GB"/>
              </w:rPr>
            </w:pPr>
            <w:r w:rsidRPr="00D341ED">
              <w:rPr>
                <w:b/>
                <w:bCs/>
                <w:color w:val="000000" w:themeColor="text1"/>
                <w:sz w:val="16"/>
                <w:szCs w:val="16"/>
                <w:lang w:val="en-GB"/>
              </w:rPr>
              <w:t>S</w:t>
            </w:r>
            <w:r w:rsidR="0090158F" w:rsidRPr="00D341ED">
              <w:rPr>
                <w:b/>
                <w:bCs/>
                <w:color w:val="000000" w:themeColor="text1"/>
                <w:sz w:val="16"/>
                <w:szCs w:val="16"/>
                <w:lang w:val="en-GB"/>
              </w:rPr>
              <w:t>ource</w:t>
            </w:r>
            <w:r w:rsidR="0090158F" w:rsidRPr="00D341ED">
              <w:rPr>
                <w:color w:val="000000" w:themeColor="text1"/>
                <w:sz w:val="16"/>
                <w:szCs w:val="16"/>
                <w:lang w:val="en-GB"/>
              </w:rPr>
              <w:t>: AOG/Public Defender’s Office reports, annually</w:t>
            </w:r>
          </w:p>
          <w:p w14:paraId="6DFCE3DB" w14:textId="77777777" w:rsidR="0090158F" w:rsidRPr="00D341ED" w:rsidRDefault="0090158F" w:rsidP="00475B8F">
            <w:pPr>
              <w:ind w:left="417"/>
              <w:rPr>
                <w:color w:val="000000" w:themeColor="text1"/>
                <w:sz w:val="16"/>
                <w:szCs w:val="16"/>
                <w:lang w:val="en-GB"/>
              </w:rPr>
            </w:pPr>
          </w:p>
          <w:p w14:paraId="19BE2C24" w14:textId="599E8AF9" w:rsidR="0090158F" w:rsidRPr="00D341ED" w:rsidRDefault="0090158F" w:rsidP="00475B8F">
            <w:pPr>
              <w:pStyle w:val="ListParagraph"/>
              <w:numPr>
                <w:ilvl w:val="0"/>
                <w:numId w:val="9"/>
              </w:numPr>
              <w:ind w:left="417"/>
              <w:rPr>
                <w:bCs/>
                <w:color w:val="000000" w:themeColor="text1"/>
                <w:sz w:val="16"/>
                <w:szCs w:val="16"/>
                <w:lang w:val="en-GB"/>
              </w:rPr>
            </w:pPr>
            <w:r w:rsidRPr="00D341ED">
              <w:rPr>
                <w:b/>
                <w:color w:val="000000" w:themeColor="text1"/>
                <w:sz w:val="16"/>
                <w:szCs w:val="16"/>
                <w:lang w:val="en-GB"/>
              </w:rPr>
              <w:t>Indicator 1.2.6</w:t>
            </w:r>
            <w:r w:rsidR="00DA03A1" w:rsidRPr="00D341ED">
              <w:rPr>
                <w:b/>
                <w:color w:val="000000" w:themeColor="text1"/>
                <w:sz w:val="16"/>
                <w:szCs w:val="16"/>
                <w:lang w:val="en-GB"/>
              </w:rPr>
              <w:t>.</w:t>
            </w:r>
            <w:r w:rsidRPr="00D341ED">
              <w:rPr>
                <w:bCs/>
                <w:color w:val="000000" w:themeColor="text1"/>
                <w:sz w:val="16"/>
                <w:szCs w:val="16"/>
                <w:lang w:val="en-GB"/>
              </w:rPr>
              <w:t xml:space="preserve"> Improved inclusive and gender</w:t>
            </w:r>
            <w:r w:rsidR="00436077" w:rsidRPr="00D341ED">
              <w:rPr>
                <w:bCs/>
                <w:color w:val="000000" w:themeColor="text1"/>
                <w:sz w:val="16"/>
                <w:szCs w:val="16"/>
                <w:lang w:val="en-GB"/>
              </w:rPr>
              <w:t>-</w:t>
            </w:r>
            <w:r w:rsidRPr="00D341ED">
              <w:rPr>
                <w:bCs/>
                <w:color w:val="000000" w:themeColor="text1"/>
                <w:sz w:val="16"/>
                <w:szCs w:val="16"/>
                <w:lang w:val="en-GB"/>
              </w:rPr>
              <w:t>sensitive legislation and policy ensuring rights of all people with disabilities</w:t>
            </w:r>
          </w:p>
          <w:p w14:paraId="2FB023FE" w14:textId="51060D75" w:rsidR="0090158F" w:rsidRPr="00D341ED" w:rsidRDefault="0090158F" w:rsidP="00475B8F">
            <w:pPr>
              <w:pStyle w:val="ListParagraph"/>
              <w:ind w:left="417"/>
              <w:rPr>
                <w:rFonts w:eastAsia="Calibri"/>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(2020): </w:t>
            </w:r>
            <w:r w:rsidRPr="00D341ED">
              <w:rPr>
                <w:rFonts w:eastAsia="Calibri"/>
                <w:color w:val="000000" w:themeColor="text1"/>
                <w:sz w:val="16"/>
                <w:szCs w:val="16"/>
                <w:lang w:val="en-GB"/>
              </w:rPr>
              <w:t xml:space="preserve">Rights of </w:t>
            </w:r>
            <w:r w:rsidR="00436077" w:rsidRPr="00D341ED">
              <w:rPr>
                <w:rFonts w:eastAsia="Calibri"/>
                <w:color w:val="000000" w:themeColor="text1"/>
                <w:sz w:val="16"/>
                <w:szCs w:val="16"/>
                <w:lang w:val="en-GB"/>
              </w:rPr>
              <w:t>people with disabilities l</w:t>
            </w:r>
            <w:r w:rsidRPr="00D341ED">
              <w:rPr>
                <w:rFonts w:eastAsia="Calibri"/>
                <w:color w:val="000000" w:themeColor="text1"/>
                <w:sz w:val="16"/>
                <w:szCs w:val="16"/>
                <w:lang w:val="en-GB"/>
              </w:rPr>
              <w:t xml:space="preserve">aw adopted in 2020, but legislation on accessible environment and information and communication technology (ICT) accessibility not in line with international standards </w:t>
            </w:r>
          </w:p>
          <w:p w14:paraId="15014C00" w14:textId="6FF43607" w:rsidR="0090158F" w:rsidRPr="00D341ED" w:rsidRDefault="0090158F" w:rsidP="0037365C">
            <w:pPr>
              <w:pStyle w:val="ListParagraph"/>
              <w:ind w:left="417"/>
              <w:rPr>
                <w:rFonts w:eastAsia="Calibri"/>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(2022): National</w:t>
            </w:r>
            <w:r w:rsidRPr="00D341ED">
              <w:rPr>
                <w:rFonts w:eastAsia="Calibri"/>
                <w:color w:val="000000" w:themeColor="text1"/>
                <w:sz w:val="16"/>
                <w:szCs w:val="16"/>
                <w:lang w:val="en-GB"/>
              </w:rPr>
              <w:t xml:space="preserve"> </w:t>
            </w:r>
            <w:r w:rsidR="00436077" w:rsidRPr="00D341ED">
              <w:rPr>
                <w:rFonts w:eastAsia="Calibri"/>
                <w:color w:val="000000" w:themeColor="text1"/>
                <w:sz w:val="16"/>
                <w:szCs w:val="16"/>
                <w:lang w:val="en-GB"/>
              </w:rPr>
              <w:t>a</w:t>
            </w:r>
            <w:r w:rsidRPr="00D341ED">
              <w:rPr>
                <w:rFonts w:eastAsia="Calibri"/>
                <w:color w:val="000000" w:themeColor="text1"/>
                <w:sz w:val="16"/>
                <w:szCs w:val="16"/>
                <w:lang w:val="en-GB"/>
              </w:rPr>
              <w:t xml:space="preserve">ccessibility </w:t>
            </w:r>
            <w:r w:rsidR="00436077" w:rsidRPr="00D341ED">
              <w:rPr>
                <w:rFonts w:eastAsia="Calibri"/>
                <w:color w:val="000000" w:themeColor="text1"/>
                <w:sz w:val="16"/>
                <w:szCs w:val="16"/>
                <w:lang w:val="en-GB"/>
              </w:rPr>
              <w:t>p</w:t>
            </w:r>
            <w:r w:rsidRPr="00D341ED">
              <w:rPr>
                <w:rFonts w:eastAsia="Calibri"/>
                <w:color w:val="000000" w:themeColor="text1"/>
                <w:sz w:val="16"/>
                <w:szCs w:val="16"/>
                <w:lang w:val="en-GB"/>
              </w:rPr>
              <w:t xml:space="preserve">lan approved; </w:t>
            </w:r>
            <w:r w:rsidRPr="00D341ED">
              <w:rPr>
                <w:rFonts w:eastAsia="Calibri"/>
                <w:color w:val="000000" w:themeColor="text1"/>
                <w:sz w:val="16"/>
                <w:szCs w:val="16"/>
                <w:lang w:val="en-GB"/>
              </w:rPr>
              <w:lastRenderedPageBreak/>
              <w:t xml:space="preserve">Guidelines on </w:t>
            </w:r>
            <w:r w:rsidR="0037365C" w:rsidRPr="00D341ED">
              <w:rPr>
                <w:rFonts w:eastAsia="Calibri"/>
                <w:color w:val="000000" w:themeColor="text1"/>
                <w:sz w:val="16"/>
                <w:szCs w:val="16"/>
                <w:lang w:val="en-GB"/>
              </w:rPr>
              <w:t xml:space="preserve">accessible ICT </w:t>
            </w:r>
            <w:r w:rsidRPr="00D341ED">
              <w:rPr>
                <w:rFonts w:eastAsia="Calibri"/>
                <w:color w:val="000000" w:themeColor="text1"/>
                <w:sz w:val="16"/>
                <w:szCs w:val="16"/>
                <w:lang w:val="en-GB"/>
              </w:rPr>
              <w:t xml:space="preserve">national standards approved. </w:t>
            </w:r>
            <w:r w:rsidRPr="00D341ED">
              <w:rPr>
                <w:b/>
                <w:bCs/>
                <w:color w:val="000000" w:themeColor="text1"/>
                <w:sz w:val="16"/>
                <w:szCs w:val="16"/>
                <w:lang w:val="en-GB"/>
              </w:rPr>
              <w:t>Source</w:t>
            </w:r>
            <w:r w:rsidRPr="00D341ED">
              <w:rPr>
                <w:color w:val="000000" w:themeColor="text1"/>
                <w:sz w:val="16"/>
                <w:szCs w:val="16"/>
                <w:lang w:val="en-GB"/>
              </w:rPr>
              <w:t xml:space="preserve">: </w:t>
            </w:r>
            <w:r w:rsidRPr="00D341ED">
              <w:rPr>
                <w:rFonts w:eastAsia="Calibri"/>
                <w:color w:val="000000" w:themeColor="text1"/>
                <w:sz w:val="16"/>
                <w:szCs w:val="16"/>
                <w:lang w:val="en-GB"/>
              </w:rPr>
              <w:t xml:space="preserve">Official Gazette of Legal Acts </w:t>
            </w:r>
            <w:r w:rsidR="00436077" w:rsidRPr="00D341ED">
              <w:rPr>
                <w:rFonts w:eastAsia="Calibri"/>
                <w:color w:val="000000" w:themeColor="text1"/>
                <w:sz w:val="16"/>
                <w:szCs w:val="16"/>
                <w:lang w:val="en-GB"/>
              </w:rPr>
              <w:t>(</w:t>
            </w:r>
            <w:r w:rsidRPr="00D341ED">
              <w:rPr>
                <w:rFonts w:eastAsia="Calibri"/>
                <w:color w:val="000000" w:themeColor="text1"/>
                <w:sz w:val="16"/>
                <w:szCs w:val="16"/>
                <w:lang w:val="en-GB"/>
              </w:rPr>
              <w:t>www.matsne.gov.ge</w:t>
            </w:r>
            <w:r w:rsidR="00436077" w:rsidRPr="00D341ED">
              <w:rPr>
                <w:rFonts w:eastAsia="Calibri"/>
                <w:color w:val="000000" w:themeColor="text1"/>
                <w:sz w:val="16"/>
                <w:szCs w:val="16"/>
                <w:lang w:val="en-GB"/>
              </w:rPr>
              <w:t>)</w:t>
            </w:r>
            <w:r w:rsidRPr="00D341ED">
              <w:rPr>
                <w:color w:val="000000" w:themeColor="text1"/>
                <w:sz w:val="16"/>
                <w:szCs w:val="16"/>
                <w:lang w:val="en-GB"/>
              </w:rPr>
              <w:t xml:space="preserve"> 2022</w:t>
            </w:r>
          </w:p>
        </w:tc>
        <w:tc>
          <w:tcPr>
            <w:tcW w:w="675" w:type="pct"/>
            <w:vMerge w:val="restart"/>
          </w:tcPr>
          <w:p w14:paraId="1EDCBBD8" w14:textId="614386A3" w:rsidR="0090158F" w:rsidRPr="00D341ED" w:rsidRDefault="0090158F" w:rsidP="00475B8F">
            <w:pPr>
              <w:rPr>
                <w:color w:val="000000" w:themeColor="text1"/>
                <w:sz w:val="16"/>
                <w:szCs w:val="16"/>
                <w:lang w:val="en-GB"/>
              </w:rPr>
            </w:pPr>
            <w:r w:rsidRPr="00D341ED">
              <w:rPr>
                <w:color w:val="000000" w:themeColor="text1"/>
                <w:sz w:val="16"/>
                <w:szCs w:val="16"/>
                <w:lang w:val="en-GB"/>
              </w:rPr>
              <w:lastRenderedPageBreak/>
              <w:t xml:space="preserve">Administration </w:t>
            </w:r>
            <w:r w:rsidR="00792FFD" w:rsidRPr="00D341ED">
              <w:rPr>
                <w:color w:val="000000" w:themeColor="text1"/>
                <w:sz w:val="16"/>
                <w:szCs w:val="16"/>
                <w:lang w:val="en-GB"/>
              </w:rPr>
              <w:t xml:space="preserve">of the </w:t>
            </w:r>
            <w:r w:rsidRPr="00D341ED">
              <w:rPr>
                <w:color w:val="000000" w:themeColor="text1"/>
                <w:sz w:val="16"/>
                <w:szCs w:val="16"/>
                <w:lang w:val="en-GB"/>
              </w:rPr>
              <w:t xml:space="preserve">Government </w:t>
            </w:r>
            <w:r w:rsidR="00792FFD" w:rsidRPr="00D341ED">
              <w:rPr>
                <w:color w:val="000000" w:themeColor="text1"/>
                <w:sz w:val="16"/>
                <w:szCs w:val="16"/>
                <w:lang w:val="en-GB"/>
              </w:rPr>
              <w:t>of Georgia </w:t>
            </w:r>
            <w:r w:rsidRPr="00D341ED">
              <w:rPr>
                <w:color w:val="000000" w:themeColor="text1"/>
                <w:sz w:val="16"/>
                <w:szCs w:val="16"/>
                <w:lang w:val="en-GB"/>
              </w:rPr>
              <w:t>(AOG); line ministries;</w:t>
            </w:r>
          </w:p>
          <w:p w14:paraId="151F1C25" w14:textId="77777777" w:rsidR="0090158F" w:rsidRPr="00D341ED" w:rsidRDefault="0090158F" w:rsidP="00475B8F">
            <w:pPr>
              <w:pStyle w:val="CommentText"/>
              <w:rPr>
                <w:color w:val="000000" w:themeColor="text1"/>
                <w:sz w:val="16"/>
                <w:szCs w:val="16"/>
                <w:lang w:val="en-GB"/>
              </w:rPr>
            </w:pPr>
            <w:r w:rsidRPr="00D341ED">
              <w:rPr>
                <w:color w:val="000000" w:themeColor="text1"/>
                <w:sz w:val="16"/>
                <w:szCs w:val="16"/>
                <w:lang w:val="en-GB"/>
              </w:rPr>
              <w:t xml:space="preserve">Parliament, Adjara Supreme Council, GEOSTAT; Ministry of Regional Development and Infrastructure (MRDI), </w:t>
            </w:r>
          </w:p>
          <w:p w14:paraId="658786A3" w14:textId="77777777" w:rsidR="0090158F" w:rsidRPr="00D341ED" w:rsidRDefault="0090158F" w:rsidP="00475B8F">
            <w:pPr>
              <w:rPr>
                <w:color w:val="000000" w:themeColor="text1"/>
                <w:sz w:val="16"/>
                <w:szCs w:val="16"/>
                <w:lang w:val="en-GB"/>
              </w:rPr>
            </w:pPr>
            <w:r w:rsidRPr="00D341ED">
              <w:rPr>
                <w:color w:val="000000" w:themeColor="text1"/>
                <w:sz w:val="16"/>
                <w:szCs w:val="16"/>
                <w:lang w:val="en-GB"/>
              </w:rPr>
              <w:t xml:space="preserve">High Council of Justice, </w:t>
            </w:r>
          </w:p>
          <w:p w14:paraId="1B451B32" w14:textId="0103D86F" w:rsidR="0090158F" w:rsidRPr="00D341ED" w:rsidRDefault="0090158F" w:rsidP="00475B8F">
            <w:pPr>
              <w:rPr>
                <w:color w:val="000000" w:themeColor="text1"/>
                <w:sz w:val="16"/>
                <w:szCs w:val="16"/>
                <w:lang w:val="en-GB"/>
              </w:rPr>
            </w:pPr>
            <w:r w:rsidRPr="00D341ED">
              <w:rPr>
                <w:color w:val="000000" w:themeColor="text1"/>
                <w:sz w:val="16"/>
                <w:szCs w:val="16"/>
                <w:lang w:val="en-GB"/>
              </w:rPr>
              <w:t>Human Rights Secretariat</w:t>
            </w:r>
            <w:r w:rsidR="0094437B" w:rsidRPr="00D341ED">
              <w:rPr>
                <w:color w:val="000000" w:themeColor="text1"/>
                <w:sz w:val="16"/>
                <w:szCs w:val="16"/>
                <w:lang w:val="en-GB"/>
              </w:rPr>
              <w:t xml:space="preserve"> (HRS)</w:t>
            </w:r>
            <w:r w:rsidRPr="00D341ED">
              <w:rPr>
                <w:color w:val="000000" w:themeColor="text1"/>
                <w:sz w:val="16"/>
                <w:szCs w:val="16"/>
                <w:lang w:val="en-GB"/>
              </w:rPr>
              <w:t>,</w:t>
            </w:r>
          </w:p>
          <w:p w14:paraId="453109EE" w14:textId="372FB46C" w:rsidR="0090158F" w:rsidRPr="00D341ED" w:rsidRDefault="0090158F" w:rsidP="00475B8F">
            <w:pPr>
              <w:rPr>
                <w:color w:val="000000" w:themeColor="text1"/>
                <w:sz w:val="16"/>
                <w:szCs w:val="16"/>
                <w:lang w:val="en-GB"/>
              </w:rPr>
            </w:pPr>
            <w:r w:rsidRPr="00D341ED">
              <w:rPr>
                <w:color w:val="000000" w:themeColor="text1"/>
                <w:sz w:val="16"/>
                <w:szCs w:val="16"/>
                <w:lang w:val="en-GB"/>
              </w:rPr>
              <w:t xml:space="preserve">Personal Data Protection Inspector, Digital Governance Agency (DGA), </w:t>
            </w:r>
            <w:r w:rsidR="00CC5F18" w:rsidRPr="00D341ED">
              <w:rPr>
                <w:color w:val="000000" w:themeColor="text1"/>
                <w:sz w:val="16"/>
                <w:szCs w:val="16"/>
                <w:lang w:val="en-GB"/>
              </w:rPr>
              <w:t>Civil Service Bureau (</w:t>
            </w:r>
            <w:r w:rsidRPr="00D341ED">
              <w:rPr>
                <w:color w:val="000000" w:themeColor="text1"/>
                <w:sz w:val="16"/>
                <w:szCs w:val="16"/>
                <w:lang w:val="en-GB"/>
              </w:rPr>
              <w:t>CSB</w:t>
            </w:r>
            <w:r w:rsidR="00CC5F18" w:rsidRPr="00D341ED">
              <w:rPr>
                <w:color w:val="000000" w:themeColor="text1"/>
                <w:sz w:val="16"/>
                <w:szCs w:val="16"/>
                <w:lang w:val="en-GB"/>
              </w:rPr>
              <w:t>)</w:t>
            </w:r>
            <w:r w:rsidRPr="00D341ED">
              <w:rPr>
                <w:color w:val="000000" w:themeColor="text1"/>
                <w:sz w:val="16"/>
                <w:szCs w:val="16"/>
                <w:lang w:val="en-GB"/>
              </w:rPr>
              <w:t>, P</w:t>
            </w:r>
            <w:r w:rsidR="009A5A8A" w:rsidRPr="00D341ED">
              <w:rPr>
                <w:color w:val="000000" w:themeColor="text1"/>
                <w:sz w:val="16"/>
                <w:szCs w:val="16"/>
                <w:lang w:val="en-GB"/>
              </w:rPr>
              <w:t xml:space="preserve">ublic </w:t>
            </w:r>
            <w:r w:rsidRPr="00D341ED">
              <w:rPr>
                <w:color w:val="000000" w:themeColor="text1"/>
                <w:sz w:val="16"/>
                <w:szCs w:val="16"/>
                <w:lang w:val="en-GB"/>
              </w:rPr>
              <w:t>S</w:t>
            </w:r>
            <w:r w:rsidR="009A5A8A" w:rsidRPr="00D341ED">
              <w:rPr>
                <w:color w:val="000000" w:themeColor="text1"/>
                <w:sz w:val="16"/>
                <w:szCs w:val="16"/>
                <w:lang w:val="en-GB"/>
              </w:rPr>
              <w:t xml:space="preserve">ervice </w:t>
            </w:r>
            <w:r w:rsidRPr="00D341ED">
              <w:rPr>
                <w:color w:val="000000" w:themeColor="text1"/>
                <w:sz w:val="16"/>
                <w:szCs w:val="16"/>
                <w:lang w:val="en-GB"/>
              </w:rPr>
              <w:t>D</w:t>
            </w:r>
            <w:r w:rsidR="009A5A8A" w:rsidRPr="00D341ED">
              <w:rPr>
                <w:color w:val="000000" w:themeColor="text1"/>
                <w:sz w:val="16"/>
                <w:szCs w:val="16"/>
                <w:lang w:val="en-GB"/>
              </w:rPr>
              <w:t xml:space="preserve">evelopment </w:t>
            </w:r>
            <w:r w:rsidRPr="00D341ED">
              <w:rPr>
                <w:color w:val="000000" w:themeColor="text1"/>
                <w:sz w:val="16"/>
                <w:szCs w:val="16"/>
                <w:lang w:val="en-GB"/>
              </w:rPr>
              <w:t>A</w:t>
            </w:r>
            <w:r w:rsidR="009A5A8A" w:rsidRPr="00D341ED">
              <w:rPr>
                <w:color w:val="000000" w:themeColor="text1"/>
                <w:sz w:val="16"/>
                <w:szCs w:val="16"/>
                <w:lang w:val="en-GB"/>
              </w:rPr>
              <w:t>gency</w:t>
            </w:r>
            <w:r w:rsidRPr="00D341ED">
              <w:rPr>
                <w:color w:val="000000" w:themeColor="text1"/>
                <w:sz w:val="16"/>
                <w:szCs w:val="16"/>
                <w:lang w:val="en-GB"/>
              </w:rPr>
              <w:t>, Public Service Hall, Mediators Association of Georgia (MAG), National Association of Local Authorities; Local self-governments;</w:t>
            </w:r>
          </w:p>
          <w:p w14:paraId="0556D538" w14:textId="77777777" w:rsidR="0090158F" w:rsidRPr="00D341ED" w:rsidRDefault="0090158F" w:rsidP="00475B8F">
            <w:pPr>
              <w:rPr>
                <w:color w:val="000000" w:themeColor="text1"/>
                <w:sz w:val="16"/>
                <w:szCs w:val="16"/>
                <w:lang w:val="en-GB"/>
              </w:rPr>
            </w:pPr>
            <w:r w:rsidRPr="00D341ED">
              <w:rPr>
                <w:color w:val="000000" w:themeColor="text1"/>
                <w:sz w:val="16"/>
                <w:szCs w:val="16"/>
                <w:lang w:val="en-GB"/>
              </w:rPr>
              <w:t>CSOs</w:t>
            </w:r>
          </w:p>
          <w:p w14:paraId="664355AD" w14:textId="77777777" w:rsidR="0090158F" w:rsidRPr="00D341ED" w:rsidRDefault="0090158F" w:rsidP="00475B8F">
            <w:pPr>
              <w:rPr>
                <w:color w:val="000000" w:themeColor="text1"/>
                <w:sz w:val="16"/>
                <w:szCs w:val="16"/>
                <w:lang w:val="en-GB"/>
              </w:rPr>
            </w:pPr>
          </w:p>
        </w:tc>
        <w:tc>
          <w:tcPr>
            <w:tcW w:w="958" w:type="pct"/>
            <w:tcMar>
              <w:top w:w="15" w:type="dxa"/>
              <w:left w:w="108" w:type="dxa"/>
              <w:bottom w:w="0" w:type="dxa"/>
              <w:right w:w="108" w:type="dxa"/>
            </w:tcMar>
          </w:tcPr>
          <w:p w14:paraId="0AFA784A" w14:textId="4D109F05" w:rsidR="0090158F" w:rsidRPr="00D341ED" w:rsidRDefault="0090158F" w:rsidP="00475B8F">
            <w:pPr>
              <w:rPr>
                <w:b/>
                <w:color w:val="000000" w:themeColor="text1"/>
                <w:sz w:val="16"/>
                <w:szCs w:val="16"/>
                <w:lang w:val="en-GB"/>
              </w:rPr>
            </w:pPr>
            <w:r w:rsidRPr="00D341ED">
              <w:rPr>
                <w:b/>
                <w:color w:val="000000" w:themeColor="text1"/>
                <w:sz w:val="16"/>
                <w:szCs w:val="16"/>
                <w:lang w:val="en-GB"/>
              </w:rPr>
              <w:t>Regular</w:t>
            </w:r>
            <w:r w:rsidR="00CC5F18" w:rsidRPr="00D341ED">
              <w:rPr>
                <w:b/>
                <w:color w:val="000000" w:themeColor="text1"/>
                <w:sz w:val="16"/>
                <w:szCs w:val="16"/>
                <w:lang w:val="en-GB"/>
              </w:rPr>
              <w:t>:</w:t>
            </w:r>
            <w:r w:rsidRPr="00D341ED">
              <w:rPr>
                <w:b/>
                <w:color w:val="000000" w:themeColor="text1"/>
                <w:sz w:val="16"/>
                <w:szCs w:val="16"/>
                <w:lang w:val="en-GB"/>
              </w:rPr>
              <w:t xml:space="preserve"> $437,500</w:t>
            </w:r>
          </w:p>
        </w:tc>
      </w:tr>
      <w:tr w:rsidR="0090158F" w:rsidRPr="00D341ED" w14:paraId="3274E44B" w14:textId="77777777" w:rsidTr="00BF2C3E">
        <w:tc>
          <w:tcPr>
            <w:tcW w:w="1097" w:type="pct"/>
            <w:vMerge/>
            <w:tcBorders>
              <w:bottom w:val="single" w:sz="4" w:space="0" w:color="auto"/>
            </w:tcBorders>
            <w:tcMar>
              <w:top w:w="72" w:type="dxa"/>
              <w:left w:w="144" w:type="dxa"/>
              <w:bottom w:w="72" w:type="dxa"/>
              <w:right w:w="144" w:type="dxa"/>
            </w:tcMar>
          </w:tcPr>
          <w:p w14:paraId="1A965116" w14:textId="77777777" w:rsidR="0090158F" w:rsidRPr="00D341ED" w:rsidRDefault="0090158F" w:rsidP="00475B8F">
            <w:pPr>
              <w:rPr>
                <w:color w:val="000000" w:themeColor="text1"/>
                <w:sz w:val="16"/>
                <w:szCs w:val="16"/>
                <w:lang w:val="en-GB"/>
              </w:rPr>
            </w:pPr>
          </w:p>
        </w:tc>
        <w:tc>
          <w:tcPr>
            <w:tcW w:w="1178" w:type="pct"/>
            <w:vMerge/>
            <w:tcBorders>
              <w:bottom w:val="single" w:sz="4" w:space="0" w:color="auto"/>
            </w:tcBorders>
          </w:tcPr>
          <w:p w14:paraId="7DF4E37C" w14:textId="77777777" w:rsidR="0090158F" w:rsidRPr="00D341ED" w:rsidRDefault="0090158F" w:rsidP="00475B8F">
            <w:pPr>
              <w:pStyle w:val="ListParagraph"/>
              <w:numPr>
                <w:ilvl w:val="0"/>
                <w:numId w:val="1"/>
              </w:numPr>
              <w:rPr>
                <w:color w:val="000000" w:themeColor="text1"/>
                <w:sz w:val="16"/>
                <w:szCs w:val="16"/>
                <w:lang w:val="en-GB"/>
              </w:rPr>
            </w:pPr>
          </w:p>
        </w:tc>
        <w:tc>
          <w:tcPr>
            <w:tcW w:w="1092" w:type="pct"/>
            <w:vMerge/>
            <w:tcBorders>
              <w:bottom w:val="single" w:sz="4" w:space="0" w:color="auto"/>
            </w:tcBorders>
            <w:tcMar>
              <w:top w:w="72" w:type="dxa"/>
              <w:left w:w="144" w:type="dxa"/>
              <w:bottom w:w="72" w:type="dxa"/>
              <w:right w:w="144" w:type="dxa"/>
            </w:tcMar>
          </w:tcPr>
          <w:p w14:paraId="44FB30F8" w14:textId="77777777" w:rsidR="0090158F" w:rsidRPr="00D341ED" w:rsidRDefault="0090158F" w:rsidP="00475B8F">
            <w:pPr>
              <w:rPr>
                <w:color w:val="000000" w:themeColor="text1"/>
                <w:sz w:val="16"/>
                <w:szCs w:val="16"/>
                <w:lang w:val="en-GB"/>
              </w:rPr>
            </w:pPr>
          </w:p>
        </w:tc>
        <w:tc>
          <w:tcPr>
            <w:tcW w:w="675" w:type="pct"/>
            <w:vMerge/>
            <w:tcBorders>
              <w:bottom w:val="single" w:sz="4" w:space="0" w:color="auto"/>
            </w:tcBorders>
          </w:tcPr>
          <w:p w14:paraId="1DA6542E" w14:textId="77777777" w:rsidR="0090158F" w:rsidRPr="00D341ED" w:rsidRDefault="0090158F" w:rsidP="00475B8F">
            <w:pPr>
              <w:rPr>
                <w:color w:val="000000" w:themeColor="text1"/>
                <w:sz w:val="16"/>
                <w:szCs w:val="16"/>
                <w:lang w:val="en-GB"/>
              </w:rPr>
            </w:pPr>
          </w:p>
        </w:tc>
        <w:tc>
          <w:tcPr>
            <w:tcW w:w="958" w:type="pct"/>
            <w:tcBorders>
              <w:bottom w:val="single" w:sz="4" w:space="0" w:color="auto"/>
            </w:tcBorders>
            <w:tcMar>
              <w:top w:w="15" w:type="dxa"/>
              <w:left w:w="108" w:type="dxa"/>
              <w:bottom w:w="0" w:type="dxa"/>
              <w:right w:w="108" w:type="dxa"/>
            </w:tcMar>
          </w:tcPr>
          <w:p w14:paraId="12F40E89" w14:textId="11B17024" w:rsidR="0090158F" w:rsidRPr="00D341ED" w:rsidRDefault="0090158F" w:rsidP="00475B8F">
            <w:pPr>
              <w:rPr>
                <w:b/>
                <w:color w:val="000000" w:themeColor="text1"/>
                <w:sz w:val="16"/>
                <w:szCs w:val="16"/>
                <w:lang w:val="en-GB"/>
              </w:rPr>
            </w:pPr>
            <w:r w:rsidRPr="00D341ED">
              <w:rPr>
                <w:b/>
                <w:color w:val="000000" w:themeColor="text1"/>
                <w:sz w:val="16"/>
                <w:szCs w:val="16"/>
                <w:lang w:val="en-GB"/>
              </w:rPr>
              <w:t>Other</w:t>
            </w:r>
            <w:r w:rsidR="00CC5F18" w:rsidRPr="00D341ED">
              <w:rPr>
                <w:b/>
                <w:color w:val="000000" w:themeColor="text1"/>
                <w:sz w:val="16"/>
                <w:szCs w:val="16"/>
                <w:lang w:val="en-GB"/>
              </w:rPr>
              <w:t>:</w:t>
            </w:r>
            <w:r w:rsidRPr="00D341ED">
              <w:rPr>
                <w:b/>
                <w:color w:val="000000" w:themeColor="text1"/>
                <w:sz w:val="16"/>
                <w:szCs w:val="16"/>
                <w:lang w:val="en-GB"/>
              </w:rPr>
              <w:t xml:space="preserve"> $21,566,482</w:t>
            </w:r>
          </w:p>
        </w:tc>
      </w:tr>
      <w:tr w:rsidR="0002497E" w:rsidRPr="00D341ED" w14:paraId="0E46AE87" w14:textId="77777777" w:rsidTr="00BF2C3E">
        <w:tc>
          <w:tcPr>
            <w:tcW w:w="5000" w:type="pct"/>
            <w:gridSpan w:val="5"/>
            <w:shd w:val="clear" w:color="auto" w:fill="auto"/>
            <w:tcMar>
              <w:top w:w="72" w:type="dxa"/>
              <w:left w:w="144" w:type="dxa"/>
              <w:bottom w:w="72" w:type="dxa"/>
              <w:right w:w="144" w:type="dxa"/>
            </w:tcMar>
          </w:tcPr>
          <w:p w14:paraId="3B201613" w14:textId="65283669" w:rsidR="0002497E" w:rsidRPr="00D341ED" w:rsidRDefault="0002497E" w:rsidP="00475B8F">
            <w:pPr>
              <w:rPr>
                <w:color w:val="000000" w:themeColor="text1"/>
                <w:sz w:val="16"/>
                <w:szCs w:val="16"/>
                <w:lang w:val="en-GB"/>
              </w:rPr>
            </w:pPr>
            <w:r w:rsidRPr="00D341ED">
              <w:rPr>
                <w:bCs/>
                <w:color w:val="000000" w:themeColor="text1"/>
                <w:lang w:val="en-GB"/>
              </w:rPr>
              <w:lastRenderedPageBreak/>
              <w:br w:type="page"/>
            </w:r>
            <w:r w:rsidRPr="00D341ED">
              <w:rPr>
                <w:b/>
                <w:bCs/>
                <w:color w:val="000000" w:themeColor="text1"/>
                <w:sz w:val="16"/>
                <w:szCs w:val="16"/>
                <w:lang w:val="en-GB"/>
              </w:rPr>
              <w:t xml:space="preserve">NATIONAL PRIORITY OR GOAL: </w:t>
            </w:r>
            <w:r w:rsidRPr="00D341ED">
              <w:rPr>
                <w:bCs/>
                <w:color w:val="000000" w:themeColor="text1"/>
                <w:sz w:val="16"/>
                <w:szCs w:val="16"/>
                <w:lang w:val="en-GB"/>
              </w:rPr>
              <w:t>National Environmental Action Program</w:t>
            </w:r>
            <w:r w:rsidR="00280C36" w:rsidRPr="00D341ED">
              <w:rPr>
                <w:bCs/>
                <w:color w:val="000000" w:themeColor="text1"/>
                <w:sz w:val="16"/>
                <w:szCs w:val="16"/>
                <w:lang w:val="en-GB"/>
              </w:rPr>
              <w:t>me</w:t>
            </w:r>
            <w:r w:rsidRPr="00D341ED">
              <w:rPr>
                <w:bCs/>
                <w:color w:val="000000" w:themeColor="text1"/>
                <w:sz w:val="16"/>
                <w:szCs w:val="16"/>
                <w:lang w:val="en-GB"/>
              </w:rPr>
              <w:t>-3 (2018-2021) Strategic Objective 1: Improving the status of the environment and ensuring the protection/sustainable use of natural resources and preventing/minimizing risks that threaten human health and the welfare of the population.</w:t>
            </w:r>
          </w:p>
        </w:tc>
      </w:tr>
      <w:tr w:rsidR="0002497E" w:rsidRPr="00D341ED" w14:paraId="35A2F5F4" w14:textId="77777777" w:rsidTr="00BF2C3E">
        <w:tc>
          <w:tcPr>
            <w:tcW w:w="5000" w:type="pct"/>
            <w:gridSpan w:val="5"/>
            <w:shd w:val="clear" w:color="auto" w:fill="auto"/>
            <w:tcMar>
              <w:top w:w="72" w:type="dxa"/>
              <w:left w:w="144" w:type="dxa"/>
              <w:bottom w:w="72" w:type="dxa"/>
              <w:right w:w="144" w:type="dxa"/>
            </w:tcMar>
          </w:tcPr>
          <w:p w14:paraId="11164440" w14:textId="38824F8B" w:rsidR="0002497E" w:rsidRPr="00D341ED" w:rsidRDefault="00280C36" w:rsidP="00475B8F">
            <w:pPr>
              <w:rPr>
                <w:color w:val="000000" w:themeColor="text1"/>
                <w:sz w:val="16"/>
                <w:szCs w:val="16"/>
                <w:lang w:val="en-GB"/>
              </w:rPr>
            </w:pPr>
            <w:r w:rsidRPr="00D341ED">
              <w:rPr>
                <w:b/>
                <w:bCs/>
                <w:color w:val="000000" w:themeColor="text1"/>
                <w:sz w:val="16"/>
                <w:szCs w:val="16"/>
                <w:lang w:val="en-GB"/>
              </w:rPr>
              <w:t>UNSDCF,</w:t>
            </w:r>
            <w:r w:rsidR="0002497E" w:rsidRPr="00D341ED">
              <w:rPr>
                <w:b/>
                <w:bCs/>
                <w:color w:val="000000" w:themeColor="text1"/>
                <w:sz w:val="16"/>
                <w:szCs w:val="16"/>
                <w:lang w:val="en-GB"/>
              </w:rPr>
              <w:t xml:space="preserve"> 2021-2025</w:t>
            </w:r>
            <w:r w:rsidRPr="00D341ED">
              <w:rPr>
                <w:b/>
                <w:bCs/>
                <w:color w:val="000000" w:themeColor="text1"/>
                <w:sz w:val="16"/>
                <w:szCs w:val="16"/>
                <w:lang w:val="en-GB"/>
              </w:rPr>
              <w:t>,</w:t>
            </w:r>
            <w:r w:rsidR="0002497E" w:rsidRPr="00D341ED">
              <w:rPr>
                <w:b/>
                <w:bCs/>
                <w:color w:val="000000" w:themeColor="text1"/>
                <w:sz w:val="16"/>
                <w:szCs w:val="16"/>
                <w:lang w:val="en-GB"/>
              </w:rPr>
              <w:t xml:space="preserve"> OUTCOME INVOLVING UNDP 5:</w:t>
            </w:r>
            <w:r w:rsidR="0002497E" w:rsidRPr="00D341ED">
              <w:rPr>
                <w:color w:val="000000" w:themeColor="text1"/>
                <w:sz w:val="16"/>
                <w:szCs w:val="16"/>
                <w:lang w:val="en-GB"/>
              </w:rPr>
              <w:t xml:space="preserve"> </w:t>
            </w:r>
            <w:r w:rsidR="0002497E" w:rsidRPr="00D341ED">
              <w:rPr>
                <w:bCs/>
                <w:color w:val="000000" w:themeColor="text1"/>
                <w:sz w:val="16"/>
                <w:szCs w:val="16"/>
                <w:lang w:val="en-GB"/>
              </w:rPr>
              <w:t>By 2025, all people, without discrimination, enjoy enhanced resilience through improved environmental governance, climate action and sustainable management and use of natural resource(s) in Georgia</w:t>
            </w:r>
            <w:r w:rsidRPr="00D341ED">
              <w:rPr>
                <w:bCs/>
                <w:color w:val="000000" w:themeColor="text1"/>
                <w:sz w:val="16"/>
                <w:szCs w:val="16"/>
                <w:lang w:val="en-GB"/>
              </w:rPr>
              <w:t>.</w:t>
            </w:r>
            <w:r w:rsidR="0002497E" w:rsidRPr="00D341ED">
              <w:rPr>
                <w:color w:val="000000" w:themeColor="text1"/>
                <w:sz w:val="16"/>
                <w:szCs w:val="16"/>
                <w:lang w:val="en-GB"/>
              </w:rPr>
              <w:t xml:space="preserve"> </w:t>
            </w:r>
          </w:p>
        </w:tc>
      </w:tr>
      <w:tr w:rsidR="0002497E" w:rsidRPr="00D341ED" w14:paraId="4D523662" w14:textId="77777777" w:rsidTr="00BF2C3E">
        <w:tc>
          <w:tcPr>
            <w:tcW w:w="5000" w:type="pct"/>
            <w:gridSpan w:val="5"/>
            <w:shd w:val="clear" w:color="auto" w:fill="auto"/>
            <w:tcMar>
              <w:top w:w="72" w:type="dxa"/>
              <w:left w:w="144" w:type="dxa"/>
              <w:bottom w:w="72" w:type="dxa"/>
              <w:right w:w="144" w:type="dxa"/>
            </w:tcMar>
          </w:tcPr>
          <w:p w14:paraId="2AFB0192" w14:textId="793D4F61" w:rsidR="0002497E" w:rsidRPr="00D341ED" w:rsidRDefault="0002497E" w:rsidP="00475B8F">
            <w:pPr>
              <w:rPr>
                <w:b/>
                <w:bCs/>
                <w:color w:val="000000" w:themeColor="text1"/>
                <w:sz w:val="16"/>
                <w:szCs w:val="16"/>
                <w:lang w:val="en-GB"/>
              </w:rPr>
            </w:pPr>
            <w:r w:rsidRPr="00D341ED">
              <w:rPr>
                <w:b/>
                <w:bCs/>
                <w:color w:val="000000" w:themeColor="text1"/>
                <w:sz w:val="16"/>
                <w:szCs w:val="16"/>
                <w:lang w:val="en-GB"/>
              </w:rPr>
              <w:t xml:space="preserve">RELATED </w:t>
            </w:r>
            <w:r w:rsidR="00280C36" w:rsidRPr="00D341ED">
              <w:rPr>
                <w:b/>
                <w:bCs/>
                <w:color w:val="000000" w:themeColor="text1"/>
                <w:sz w:val="16"/>
                <w:szCs w:val="16"/>
                <w:lang w:val="en-GB"/>
              </w:rPr>
              <w:t xml:space="preserve">UNDP </w:t>
            </w:r>
            <w:r w:rsidRPr="00D341ED">
              <w:rPr>
                <w:b/>
                <w:bCs/>
                <w:color w:val="000000" w:themeColor="text1"/>
                <w:sz w:val="16"/>
                <w:szCs w:val="16"/>
                <w:lang w:val="en-GB"/>
              </w:rPr>
              <w:t>STRATEGIC PLAN</w:t>
            </w:r>
            <w:r w:rsidR="00280C36" w:rsidRPr="00D341ED">
              <w:rPr>
                <w:b/>
                <w:bCs/>
                <w:color w:val="000000" w:themeColor="text1"/>
                <w:sz w:val="16"/>
                <w:szCs w:val="16"/>
                <w:lang w:val="en-GB"/>
              </w:rPr>
              <w:t xml:space="preserve">, 2018-2021, </w:t>
            </w:r>
            <w:r w:rsidRPr="00D341ED">
              <w:rPr>
                <w:b/>
                <w:bCs/>
                <w:color w:val="000000" w:themeColor="text1"/>
                <w:sz w:val="16"/>
                <w:szCs w:val="16"/>
                <w:lang w:val="en-GB"/>
              </w:rPr>
              <w:t xml:space="preserve">OUTCOME: </w:t>
            </w:r>
            <w:r w:rsidRPr="00D341ED">
              <w:rPr>
                <w:bCs/>
                <w:color w:val="000000" w:themeColor="text1"/>
                <w:sz w:val="16"/>
                <w:szCs w:val="16"/>
                <w:lang w:val="en-GB"/>
              </w:rPr>
              <w:t>Outcome 3</w:t>
            </w:r>
            <w:r w:rsidR="00CB0B31" w:rsidRPr="00D341ED">
              <w:rPr>
                <w:bCs/>
                <w:color w:val="000000" w:themeColor="text1"/>
                <w:sz w:val="16"/>
                <w:szCs w:val="16"/>
                <w:lang w:val="en-GB"/>
              </w:rPr>
              <w:t xml:space="preserve">. </w:t>
            </w:r>
            <w:r w:rsidRPr="00D341ED">
              <w:rPr>
                <w:bCs/>
                <w:color w:val="000000" w:themeColor="text1"/>
                <w:sz w:val="16"/>
                <w:szCs w:val="16"/>
                <w:lang w:val="en-GB"/>
              </w:rPr>
              <w:t>Strengthen resilience to shocks and crises</w:t>
            </w:r>
            <w:r w:rsidR="00280C36" w:rsidRPr="00D341ED">
              <w:rPr>
                <w:bCs/>
                <w:color w:val="000000" w:themeColor="text1"/>
                <w:sz w:val="16"/>
                <w:szCs w:val="16"/>
                <w:lang w:val="en-GB"/>
              </w:rPr>
              <w:t>.</w:t>
            </w:r>
            <w:r w:rsidRPr="00D341ED" w:rsidDel="007E5629">
              <w:rPr>
                <w:b/>
                <w:bCs/>
                <w:color w:val="000000" w:themeColor="text1"/>
                <w:sz w:val="16"/>
                <w:szCs w:val="16"/>
                <w:lang w:val="en-GB"/>
              </w:rPr>
              <w:t xml:space="preserve"> </w:t>
            </w:r>
          </w:p>
        </w:tc>
      </w:tr>
      <w:tr w:rsidR="0090158F" w:rsidRPr="00D341ED" w14:paraId="13989BF2" w14:textId="77777777" w:rsidTr="005A353B">
        <w:trPr>
          <w:tblHeader/>
        </w:trPr>
        <w:tc>
          <w:tcPr>
            <w:tcW w:w="1097" w:type="pct"/>
            <w:vMerge w:val="restart"/>
            <w:shd w:val="clear" w:color="auto" w:fill="FFFFFF" w:themeFill="background1"/>
            <w:tcMar>
              <w:top w:w="72" w:type="dxa"/>
              <w:left w:w="144" w:type="dxa"/>
              <w:bottom w:w="72" w:type="dxa"/>
              <w:right w:w="144" w:type="dxa"/>
            </w:tcMar>
          </w:tcPr>
          <w:p w14:paraId="1E627AD8" w14:textId="70A28485" w:rsidR="0090158F" w:rsidRPr="00D341ED" w:rsidRDefault="0090158F" w:rsidP="00475B8F">
            <w:pPr>
              <w:rPr>
                <w:color w:val="000000" w:themeColor="text1"/>
                <w:sz w:val="16"/>
                <w:szCs w:val="16"/>
                <w:lang w:val="en-GB"/>
              </w:rPr>
            </w:pPr>
            <w:r w:rsidRPr="00D341ED">
              <w:rPr>
                <w:rStyle w:val="Hyperlink"/>
                <w:b/>
                <w:color w:val="000000" w:themeColor="text1"/>
                <w:sz w:val="16"/>
                <w:szCs w:val="16"/>
                <w:lang w:val="en-GB"/>
              </w:rPr>
              <w:t>2.1.</w:t>
            </w:r>
            <w:r w:rsidRPr="00D341ED">
              <w:rPr>
                <w:rStyle w:val="Hyperlink"/>
                <w:bCs/>
                <w:color w:val="000000" w:themeColor="text1"/>
                <w:sz w:val="16"/>
                <w:szCs w:val="16"/>
                <w:lang w:val="en-GB"/>
              </w:rPr>
              <w:t xml:space="preserve"> </w:t>
            </w:r>
            <w:r w:rsidRPr="00D341ED">
              <w:rPr>
                <w:color w:val="000000" w:themeColor="text1"/>
                <w:sz w:val="16"/>
                <w:szCs w:val="16"/>
                <w:lang w:val="en-GB"/>
              </w:rPr>
              <w:t>(</w:t>
            </w:r>
            <w:r w:rsidR="00280C36" w:rsidRPr="00D341ED">
              <w:rPr>
                <w:color w:val="000000" w:themeColor="text1"/>
                <w:sz w:val="16"/>
                <w:szCs w:val="16"/>
                <w:lang w:val="en-GB"/>
              </w:rPr>
              <w:t>UNSD</w:t>
            </w:r>
            <w:r w:rsidRPr="00D341ED">
              <w:rPr>
                <w:color w:val="000000" w:themeColor="text1"/>
                <w:sz w:val="16"/>
                <w:szCs w:val="16"/>
                <w:lang w:val="en-GB"/>
              </w:rPr>
              <w:t xml:space="preserve">CF </w:t>
            </w:r>
            <w:r w:rsidR="00280C36" w:rsidRPr="00D341ED">
              <w:rPr>
                <w:color w:val="000000" w:themeColor="text1"/>
                <w:sz w:val="16"/>
                <w:szCs w:val="16"/>
                <w:lang w:val="en-GB"/>
              </w:rPr>
              <w:t>i</w:t>
            </w:r>
            <w:r w:rsidRPr="00D341ED">
              <w:rPr>
                <w:color w:val="000000" w:themeColor="text1"/>
                <w:sz w:val="16"/>
                <w:szCs w:val="16"/>
                <w:lang w:val="en-GB"/>
              </w:rPr>
              <w:t>ndicator 5.1)</w:t>
            </w:r>
            <w:r w:rsidR="00280C36" w:rsidRPr="00D341ED">
              <w:rPr>
                <w:color w:val="000000" w:themeColor="text1"/>
                <w:sz w:val="16"/>
                <w:szCs w:val="16"/>
                <w:lang w:val="en-GB"/>
              </w:rPr>
              <w:t xml:space="preserve"> </w:t>
            </w:r>
            <w:r w:rsidRPr="00D341ED">
              <w:rPr>
                <w:rStyle w:val="Hyperlink"/>
                <w:bCs/>
                <w:color w:val="000000" w:themeColor="text1"/>
                <w:sz w:val="16"/>
                <w:szCs w:val="16"/>
                <w:lang w:val="en-GB"/>
              </w:rPr>
              <w:t>[</w:t>
            </w:r>
            <w:r w:rsidRPr="00D341ED">
              <w:rPr>
                <w:rStyle w:val="Hyperlink"/>
                <w:bCs/>
                <w:color w:val="auto"/>
                <w:sz w:val="16"/>
                <w:szCs w:val="16"/>
                <w:lang w:val="en-GB"/>
              </w:rPr>
              <w:t>N</w:t>
            </w:r>
            <w:r w:rsidR="00280C36" w:rsidRPr="00D341ED">
              <w:rPr>
                <w:rStyle w:val="Hyperlink"/>
                <w:bCs/>
                <w:color w:val="auto"/>
                <w:sz w:val="16"/>
                <w:szCs w:val="16"/>
                <w:lang w:val="en-GB"/>
              </w:rPr>
              <w:t>a</w:t>
            </w:r>
            <w:r w:rsidR="00280C36" w:rsidRPr="00D341ED">
              <w:rPr>
                <w:rStyle w:val="Hyperlink"/>
                <w:color w:val="auto"/>
                <w:sz w:val="16"/>
                <w:szCs w:val="16"/>
                <w:lang w:val="en-GB"/>
              </w:rPr>
              <w:t>tional</w:t>
            </w:r>
            <w:r w:rsidR="00280C36" w:rsidRPr="00D341ED">
              <w:rPr>
                <w:rStyle w:val="Hyperlink"/>
                <w:color w:val="auto"/>
                <w:lang w:val="en-GB"/>
              </w:rPr>
              <w:t xml:space="preserve"> </w:t>
            </w:r>
            <w:r w:rsidRPr="00D341ED">
              <w:rPr>
                <w:rStyle w:val="Hyperlink"/>
                <w:bCs/>
                <w:color w:val="000000" w:themeColor="text1"/>
                <w:sz w:val="16"/>
                <w:szCs w:val="16"/>
                <w:lang w:val="en-GB"/>
              </w:rPr>
              <w:t xml:space="preserve">SDG </w:t>
            </w:r>
            <w:r w:rsidRPr="00D341ED">
              <w:rPr>
                <w:color w:val="000000" w:themeColor="text1"/>
                <w:sz w:val="16"/>
                <w:szCs w:val="16"/>
                <w:lang w:val="en-GB"/>
              </w:rPr>
              <w:t xml:space="preserve">13.2.1] Country communicated establishment of integrated policy/strategy/plan which increases country’s ability to adapt to adverse impacts of climate change, </w:t>
            </w:r>
            <w:r w:rsidR="00280C36" w:rsidRPr="00D341ED">
              <w:rPr>
                <w:color w:val="000000" w:themeColor="text1"/>
                <w:sz w:val="16"/>
                <w:szCs w:val="16"/>
                <w:lang w:val="en-GB"/>
              </w:rPr>
              <w:t xml:space="preserve">and </w:t>
            </w:r>
            <w:r w:rsidRPr="00D341ED">
              <w:rPr>
                <w:color w:val="000000" w:themeColor="text1"/>
                <w:sz w:val="16"/>
                <w:szCs w:val="16"/>
                <w:lang w:val="en-GB"/>
              </w:rPr>
              <w:t xml:space="preserve">foster climate resilience and low greenhouse gas emissions development. </w:t>
            </w:r>
          </w:p>
          <w:p w14:paraId="430F63B8" w14:textId="2C588B2F" w:rsidR="0090158F" w:rsidRPr="00D341ED" w:rsidRDefault="0090158F" w:rsidP="00475B8F">
            <w:pPr>
              <w:rPr>
                <w:rStyle w:val="Hyperlink"/>
                <w:color w:val="000000" w:themeColor="text1"/>
                <w:sz w:val="16"/>
                <w:szCs w:val="16"/>
                <w:lang w:val="en-GB"/>
              </w:rPr>
            </w:pPr>
            <w:r w:rsidRPr="00D341ED">
              <w:rPr>
                <w:rStyle w:val="Hyperlink"/>
                <w:b/>
                <w:color w:val="000000" w:themeColor="text1"/>
                <w:sz w:val="16"/>
                <w:szCs w:val="16"/>
                <w:lang w:val="en-GB"/>
              </w:rPr>
              <w:t>Baseline</w:t>
            </w:r>
            <w:r w:rsidRPr="00D341ED">
              <w:rPr>
                <w:rStyle w:val="Hyperlink"/>
                <w:bCs/>
                <w:color w:val="000000" w:themeColor="text1"/>
                <w:sz w:val="16"/>
                <w:szCs w:val="16"/>
                <w:lang w:val="en-GB"/>
              </w:rPr>
              <w:t xml:space="preserve"> (2015): </w:t>
            </w:r>
            <w:r w:rsidRPr="00D341ED">
              <w:rPr>
                <w:color w:val="000000" w:themeColor="text1"/>
                <w:sz w:val="16"/>
                <w:szCs w:val="16"/>
                <w:lang w:val="en-GB"/>
              </w:rPr>
              <w:t xml:space="preserve">In 2015 Georgia adopted </w:t>
            </w:r>
            <w:r w:rsidR="00280C36" w:rsidRPr="00D341ED">
              <w:rPr>
                <w:color w:val="000000" w:themeColor="text1"/>
                <w:sz w:val="16"/>
                <w:szCs w:val="16"/>
                <w:lang w:val="en-GB"/>
              </w:rPr>
              <w:t>i</w:t>
            </w:r>
            <w:r w:rsidRPr="00D341ED">
              <w:rPr>
                <w:color w:val="000000" w:themeColor="text1"/>
                <w:sz w:val="16"/>
                <w:szCs w:val="16"/>
                <w:lang w:val="en-GB"/>
              </w:rPr>
              <w:t xml:space="preserve">ntended </w:t>
            </w:r>
            <w:r w:rsidR="00280C36" w:rsidRPr="00D341ED">
              <w:rPr>
                <w:color w:val="000000" w:themeColor="text1"/>
                <w:sz w:val="16"/>
                <w:szCs w:val="16"/>
                <w:lang w:val="en-GB"/>
              </w:rPr>
              <w:t>n</w:t>
            </w:r>
            <w:r w:rsidRPr="00D341ED">
              <w:rPr>
                <w:color w:val="000000" w:themeColor="text1"/>
                <w:sz w:val="16"/>
                <w:szCs w:val="16"/>
                <w:lang w:val="en-GB"/>
              </w:rPr>
              <w:t xml:space="preserve">ationally </w:t>
            </w:r>
            <w:r w:rsidR="00280C36" w:rsidRPr="00D341ED">
              <w:rPr>
                <w:color w:val="000000" w:themeColor="text1"/>
                <w:sz w:val="16"/>
                <w:szCs w:val="16"/>
                <w:lang w:val="en-GB"/>
              </w:rPr>
              <w:t>d</w:t>
            </w:r>
            <w:r w:rsidRPr="00D341ED">
              <w:rPr>
                <w:color w:val="000000" w:themeColor="text1"/>
                <w:sz w:val="16"/>
                <w:szCs w:val="16"/>
                <w:lang w:val="en-GB"/>
              </w:rPr>
              <w:t xml:space="preserve">etermined </w:t>
            </w:r>
            <w:r w:rsidR="00280C36" w:rsidRPr="00D341ED">
              <w:rPr>
                <w:color w:val="000000" w:themeColor="text1"/>
                <w:sz w:val="16"/>
                <w:szCs w:val="16"/>
                <w:lang w:val="en-GB"/>
              </w:rPr>
              <w:t>c</w:t>
            </w:r>
            <w:r w:rsidRPr="00D341ED">
              <w:rPr>
                <w:color w:val="000000" w:themeColor="text1"/>
                <w:sz w:val="16"/>
                <w:szCs w:val="16"/>
                <w:lang w:val="en-GB"/>
              </w:rPr>
              <w:t xml:space="preserve">ontributions (INDC). </w:t>
            </w:r>
            <w:r w:rsidR="00280C36" w:rsidRPr="00D341ED">
              <w:rPr>
                <w:color w:val="000000" w:themeColor="text1"/>
                <w:sz w:val="16"/>
                <w:szCs w:val="16"/>
                <w:lang w:val="en-GB"/>
              </w:rPr>
              <w:t>The f</w:t>
            </w:r>
            <w:r w:rsidRPr="00D341ED">
              <w:rPr>
                <w:color w:val="000000" w:themeColor="text1"/>
                <w:sz w:val="16"/>
                <w:szCs w:val="16"/>
                <w:lang w:val="en-GB"/>
              </w:rPr>
              <w:t xml:space="preserve">ollowing are prepared: </w:t>
            </w:r>
            <w:r w:rsidR="00280C36" w:rsidRPr="00D341ED">
              <w:rPr>
                <w:color w:val="000000" w:themeColor="text1"/>
                <w:sz w:val="16"/>
                <w:szCs w:val="16"/>
                <w:lang w:val="en-GB"/>
              </w:rPr>
              <w:t>(a</w:t>
            </w:r>
            <w:r w:rsidRPr="00D341ED">
              <w:rPr>
                <w:color w:val="000000" w:themeColor="text1"/>
                <w:sz w:val="16"/>
                <w:szCs w:val="16"/>
                <w:lang w:val="en-GB"/>
              </w:rPr>
              <w:t xml:space="preserve">) Climate </w:t>
            </w:r>
            <w:r w:rsidR="00280C36" w:rsidRPr="00D341ED">
              <w:rPr>
                <w:color w:val="000000" w:themeColor="text1"/>
                <w:sz w:val="16"/>
                <w:szCs w:val="16"/>
                <w:lang w:val="en-GB"/>
              </w:rPr>
              <w:t>a</w:t>
            </w:r>
            <w:r w:rsidRPr="00D341ED">
              <w:rPr>
                <w:color w:val="000000" w:themeColor="text1"/>
                <w:sz w:val="16"/>
                <w:szCs w:val="16"/>
                <w:lang w:val="en-GB"/>
              </w:rPr>
              <w:t xml:space="preserve">ction </w:t>
            </w:r>
            <w:r w:rsidR="00280C36" w:rsidRPr="00D341ED">
              <w:rPr>
                <w:color w:val="000000" w:themeColor="text1"/>
                <w:sz w:val="16"/>
                <w:szCs w:val="16"/>
                <w:lang w:val="en-GB"/>
              </w:rPr>
              <w:t>p</w:t>
            </w:r>
            <w:r w:rsidRPr="00D341ED">
              <w:rPr>
                <w:color w:val="000000" w:themeColor="text1"/>
                <w:sz w:val="16"/>
                <w:szCs w:val="16"/>
                <w:lang w:val="en-GB"/>
              </w:rPr>
              <w:t xml:space="preserve">lan (CAP), 2021-2030; </w:t>
            </w:r>
            <w:r w:rsidR="00280C36" w:rsidRPr="00D341ED">
              <w:rPr>
                <w:color w:val="000000" w:themeColor="text1"/>
                <w:sz w:val="16"/>
                <w:szCs w:val="16"/>
                <w:lang w:val="en-GB"/>
              </w:rPr>
              <w:t>(b</w:t>
            </w:r>
            <w:r w:rsidRPr="00D341ED">
              <w:rPr>
                <w:color w:val="000000" w:themeColor="text1"/>
                <w:sz w:val="16"/>
                <w:szCs w:val="16"/>
                <w:lang w:val="en-GB"/>
              </w:rPr>
              <w:t xml:space="preserve">) Nationally </w:t>
            </w:r>
            <w:r w:rsidR="00280C36" w:rsidRPr="00D341ED">
              <w:rPr>
                <w:color w:val="000000" w:themeColor="text1"/>
                <w:sz w:val="16"/>
                <w:szCs w:val="16"/>
                <w:lang w:val="en-GB"/>
              </w:rPr>
              <w:t>d</w:t>
            </w:r>
            <w:r w:rsidRPr="00D341ED">
              <w:rPr>
                <w:color w:val="000000" w:themeColor="text1"/>
                <w:sz w:val="16"/>
                <w:szCs w:val="16"/>
                <w:lang w:val="en-GB"/>
              </w:rPr>
              <w:t xml:space="preserve">etermined </w:t>
            </w:r>
            <w:r w:rsidR="00280C36" w:rsidRPr="00D341ED">
              <w:rPr>
                <w:color w:val="000000" w:themeColor="text1"/>
                <w:sz w:val="16"/>
                <w:szCs w:val="16"/>
                <w:lang w:val="en-GB"/>
              </w:rPr>
              <w:t>c</w:t>
            </w:r>
            <w:r w:rsidRPr="00D341ED">
              <w:rPr>
                <w:color w:val="000000" w:themeColor="text1"/>
                <w:sz w:val="16"/>
                <w:szCs w:val="16"/>
                <w:lang w:val="en-GB"/>
              </w:rPr>
              <w:t>ontributions (NDC), 2021-2030;</w:t>
            </w:r>
            <w:r w:rsidRPr="00D341ED">
              <w:rPr>
                <w:rStyle w:val="Hyperlink"/>
                <w:color w:val="000000" w:themeColor="text1"/>
                <w:sz w:val="16"/>
                <w:szCs w:val="16"/>
                <w:lang w:val="en-GB"/>
              </w:rPr>
              <w:t xml:space="preserve"> </w:t>
            </w:r>
          </w:p>
          <w:p w14:paraId="40716CF9" w14:textId="20E72572" w:rsidR="0090158F" w:rsidRPr="00D341ED" w:rsidRDefault="0090158F" w:rsidP="00475B8F">
            <w:pPr>
              <w:rPr>
                <w:color w:val="000000" w:themeColor="text1"/>
                <w:sz w:val="16"/>
                <w:szCs w:val="16"/>
                <w:lang w:val="en-GB"/>
              </w:rPr>
            </w:pPr>
            <w:r w:rsidRPr="00D341ED">
              <w:rPr>
                <w:rStyle w:val="Hyperlink"/>
                <w:b/>
                <w:bCs/>
                <w:color w:val="000000" w:themeColor="text1"/>
                <w:sz w:val="16"/>
                <w:szCs w:val="16"/>
                <w:lang w:val="en-GB"/>
              </w:rPr>
              <w:t>Target</w:t>
            </w:r>
            <w:r w:rsidRPr="00D341ED">
              <w:rPr>
                <w:rStyle w:val="Hyperlink"/>
                <w:color w:val="000000" w:themeColor="text1"/>
                <w:sz w:val="16"/>
                <w:szCs w:val="16"/>
                <w:lang w:val="en-GB"/>
              </w:rPr>
              <w:t xml:space="preserve"> (2025): </w:t>
            </w:r>
            <w:r w:rsidR="00280C36" w:rsidRPr="00D341ED">
              <w:rPr>
                <w:rStyle w:val="Hyperlink"/>
                <w:color w:val="000000" w:themeColor="text1"/>
                <w:sz w:val="16"/>
                <w:szCs w:val="16"/>
                <w:lang w:val="en-GB"/>
              </w:rPr>
              <w:t>(a</w:t>
            </w:r>
            <w:r w:rsidRPr="00D341ED">
              <w:rPr>
                <w:rStyle w:val="Hyperlink"/>
                <w:color w:val="000000" w:themeColor="text1"/>
                <w:sz w:val="16"/>
                <w:szCs w:val="16"/>
                <w:lang w:val="en-GB"/>
              </w:rPr>
              <w:t xml:space="preserve">) </w:t>
            </w:r>
            <w:r w:rsidRPr="00D341ED">
              <w:rPr>
                <w:color w:val="000000" w:themeColor="text1"/>
                <w:sz w:val="16"/>
                <w:szCs w:val="16"/>
                <w:lang w:val="en-GB"/>
              </w:rPr>
              <w:t xml:space="preserve">Updated NDC approved by Government and submitted to UNFCCC; </w:t>
            </w:r>
            <w:r w:rsidR="00280C36" w:rsidRPr="00D341ED">
              <w:rPr>
                <w:color w:val="000000" w:themeColor="text1"/>
                <w:sz w:val="16"/>
                <w:szCs w:val="16"/>
                <w:lang w:val="en-GB"/>
              </w:rPr>
              <w:t>(b</w:t>
            </w:r>
            <w:r w:rsidRPr="00D341ED">
              <w:rPr>
                <w:color w:val="000000" w:themeColor="text1"/>
                <w:sz w:val="16"/>
                <w:szCs w:val="16"/>
                <w:lang w:val="en-GB"/>
              </w:rPr>
              <w:t>) N</w:t>
            </w:r>
            <w:r w:rsidR="0014087E" w:rsidRPr="00D341ED">
              <w:rPr>
                <w:color w:val="000000" w:themeColor="text1"/>
                <w:sz w:val="16"/>
                <w:szCs w:val="16"/>
                <w:lang w:val="en-GB"/>
              </w:rPr>
              <w:t>ational action plan</w:t>
            </w:r>
            <w:r w:rsidRPr="00D341ED">
              <w:rPr>
                <w:color w:val="000000" w:themeColor="text1"/>
                <w:sz w:val="16"/>
                <w:szCs w:val="16"/>
                <w:lang w:val="en-GB"/>
              </w:rPr>
              <w:t xml:space="preserve"> for </w:t>
            </w:r>
            <w:r w:rsidR="00280C36" w:rsidRPr="00D341ED">
              <w:rPr>
                <w:color w:val="000000" w:themeColor="text1"/>
                <w:sz w:val="16"/>
                <w:szCs w:val="16"/>
                <w:lang w:val="en-GB"/>
              </w:rPr>
              <w:t>e</w:t>
            </w:r>
            <w:r w:rsidRPr="00D341ED">
              <w:rPr>
                <w:color w:val="000000" w:themeColor="text1"/>
                <w:sz w:val="16"/>
                <w:szCs w:val="16"/>
                <w:lang w:val="en-GB"/>
              </w:rPr>
              <w:t xml:space="preserve">nergy </w:t>
            </w:r>
            <w:r w:rsidR="00280C36" w:rsidRPr="00D341ED">
              <w:rPr>
                <w:color w:val="000000" w:themeColor="text1"/>
                <w:sz w:val="16"/>
                <w:szCs w:val="16"/>
                <w:lang w:val="en-GB"/>
              </w:rPr>
              <w:t>s</w:t>
            </w:r>
            <w:r w:rsidRPr="00D341ED">
              <w:rPr>
                <w:color w:val="000000" w:themeColor="text1"/>
                <w:sz w:val="16"/>
                <w:szCs w:val="16"/>
                <w:lang w:val="en-GB"/>
              </w:rPr>
              <w:t xml:space="preserve">ector produced (2023); </w:t>
            </w:r>
            <w:r w:rsidR="00280C36" w:rsidRPr="00D341ED">
              <w:rPr>
                <w:color w:val="000000" w:themeColor="text1"/>
                <w:sz w:val="16"/>
                <w:szCs w:val="16"/>
                <w:lang w:val="en-GB"/>
              </w:rPr>
              <w:t>(c</w:t>
            </w:r>
            <w:r w:rsidRPr="00D341ED">
              <w:rPr>
                <w:color w:val="000000" w:themeColor="text1"/>
                <w:sz w:val="16"/>
                <w:szCs w:val="16"/>
                <w:lang w:val="en-GB"/>
              </w:rPr>
              <w:t>)</w:t>
            </w:r>
            <w:r w:rsidR="00A96275" w:rsidRPr="00D341ED">
              <w:rPr>
                <w:color w:val="000000" w:themeColor="text1"/>
                <w:sz w:val="16"/>
                <w:szCs w:val="16"/>
                <w:lang w:val="en-GB"/>
              </w:rPr>
              <w:t xml:space="preserve"> </w:t>
            </w:r>
            <w:r w:rsidR="0014087E" w:rsidRPr="00D341ED">
              <w:rPr>
                <w:color w:val="000000" w:themeColor="text1"/>
                <w:sz w:val="16"/>
                <w:szCs w:val="16"/>
                <w:lang w:val="en-GB"/>
              </w:rPr>
              <w:t>Long-term low emissions development strategies (</w:t>
            </w:r>
            <w:r w:rsidRPr="00D341ED">
              <w:rPr>
                <w:color w:val="000000" w:themeColor="text1"/>
                <w:sz w:val="16"/>
                <w:szCs w:val="16"/>
                <w:lang w:val="en-GB"/>
              </w:rPr>
              <w:t>LTLEDS</w:t>
            </w:r>
            <w:r w:rsidR="0014087E" w:rsidRPr="00D341ED">
              <w:rPr>
                <w:color w:val="000000" w:themeColor="text1"/>
                <w:sz w:val="16"/>
                <w:szCs w:val="16"/>
                <w:lang w:val="en-GB"/>
              </w:rPr>
              <w:t>)</w:t>
            </w:r>
            <w:r w:rsidRPr="00D341ED">
              <w:rPr>
                <w:color w:val="000000" w:themeColor="text1"/>
                <w:sz w:val="16"/>
                <w:szCs w:val="16"/>
                <w:lang w:val="en-GB"/>
              </w:rPr>
              <w:t xml:space="preserve"> elaborated/adopted (2021); </w:t>
            </w:r>
            <w:r w:rsidR="00280C36" w:rsidRPr="00D341ED">
              <w:rPr>
                <w:color w:val="000000" w:themeColor="text1"/>
                <w:sz w:val="16"/>
                <w:szCs w:val="16"/>
                <w:lang w:val="en-GB"/>
              </w:rPr>
              <w:t>(d</w:t>
            </w:r>
            <w:r w:rsidRPr="00D341ED">
              <w:rPr>
                <w:color w:val="000000" w:themeColor="text1"/>
                <w:sz w:val="16"/>
                <w:szCs w:val="16"/>
                <w:lang w:val="en-GB"/>
              </w:rPr>
              <w:t xml:space="preserve">) </w:t>
            </w:r>
            <w:r w:rsidR="00280C36" w:rsidRPr="00D341ED">
              <w:rPr>
                <w:color w:val="000000" w:themeColor="text1"/>
                <w:sz w:val="16"/>
                <w:szCs w:val="16"/>
                <w:lang w:val="en-GB"/>
              </w:rPr>
              <w:t>Third b</w:t>
            </w:r>
            <w:r w:rsidRPr="00D341ED">
              <w:rPr>
                <w:color w:val="000000" w:themeColor="text1"/>
                <w:sz w:val="16"/>
                <w:szCs w:val="16"/>
                <w:lang w:val="en-GB"/>
              </w:rPr>
              <w:t xml:space="preserve">iennial </w:t>
            </w:r>
            <w:r w:rsidR="00280C36" w:rsidRPr="00D341ED">
              <w:rPr>
                <w:color w:val="000000" w:themeColor="text1"/>
                <w:sz w:val="16"/>
                <w:szCs w:val="16"/>
                <w:lang w:val="en-GB"/>
              </w:rPr>
              <w:t>u</w:t>
            </w:r>
            <w:r w:rsidRPr="00D341ED">
              <w:rPr>
                <w:color w:val="000000" w:themeColor="text1"/>
                <w:sz w:val="16"/>
                <w:szCs w:val="16"/>
                <w:lang w:val="en-GB"/>
              </w:rPr>
              <w:t xml:space="preserve">pdate </w:t>
            </w:r>
            <w:r w:rsidR="00280C36" w:rsidRPr="00D341ED">
              <w:rPr>
                <w:color w:val="000000" w:themeColor="text1"/>
                <w:sz w:val="16"/>
                <w:szCs w:val="16"/>
                <w:lang w:val="en-GB"/>
              </w:rPr>
              <w:t>r</w:t>
            </w:r>
            <w:r w:rsidRPr="00D341ED">
              <w:rPr>
                <w:color w:val="000000" w:themeColor="text1"/>
                <w:sz w:val="16"/>
                <w:szCs w:val="16"/>
                <w:lang w:val="en-GB"/>
              </w:rPr>
              <w:t>eport (BUR) (2022)</w:t>
            </w:r>
            <w:r w:rsidR="00280C36" w:rsidRPr="00D341ED">
              <w:rPr>
                <w:color w:val="000000" w:themeColor="text1"/>
                <w:sz w:val="16"/>
                <w:szCs w:val="16"/>
                <w:lang w:val="en-GB"/>
              </w:rPr>
              <w:t>;</w:t>
            </w:r>
            <w:r w:rsidRPr="00D341ED">
              <w:rPr>
                <w:color w:val="000000" w:themeColor="text1"/>
                <w:sz w:val="16"/>
                <w:szCs w:val="16"/>
                <w:lang w:val="en-GB"/>
              </w:rPr>
              <w:t xml:space="preserve"> </w:t>
            </w:r>
            <w:r w:rsidR="00280C36" w:rsidRPr="00D341ED">
              <w:rPr>
                <w:color w:val="000000" w:themeColor="text1"/>
                <w:sz w:val="16"/>
                <w:szCs w:val="16"/>
                <w:lang w:val="en-GB"/>
              </w:rPr>
              <w:t>(e</w:t>
            </w:r>
            <w:r w:rsidRPr="00D341ED">
              <w:rPr>
                <w:color w:val="000000" w:themeColor="text1"/>
                <w:sz w:val="16"/>
                <w:szCs w:val="16"/>
                <w:lang w:val="en-GB"/>
              </w:rPr>
              <w:t xml:space="preserve">) </w:t>
            </w:r>
            <w:r w:rsidR="00280C36" w:rsidRPr="00D341ED">
              <w:rPr>
                <w:color w:val="000000" w:themeColor="text1"/>
                <w:sz w:val="16"/>
                <w:szCs w:val="16"/>
                <w:lang w:val="en-GB"/>
              </w:rPr>
              <w:t>Fourth n</w:t>
            </w:r>
            <w:r w:rsidRPr="00D341ED">
              <w:rPr>
                <w:color w:val="000000" w:themeColor="text1"/>
                <w:sz w:val="16"/>
                <w:szCs w:val="16"/>
                <w:lang w:val="en-GB"/>
              </w:rPr>
              <w:t xml:space="preserve">ational </w:t>
            </w:r>
            <w:r w:rsidR="00280C36" w:rsidRPr="00D341ED">
              <w:rPr>
                <w:color w:val="000000" w:themeColor="text1"/>
                <w:sz w:val="16"/>
                <w:szCs w:val="16"/>
                <w:lang w:val="en-GB"/>
              </w:rPr>
              <w:t>c</w:t>
            </w:r>
            <w:r w:rsidRPr="00D341ED">
              <w:rPr>
                <w:color w:val="000000" w:themeColor="text1"/>
                <w:sz w:val="16"/>
                <w:szCs w:val="16"/>
                <w:lang w:val="en-GB"/>
              </w:rPr>
              <w:t>ommunication to UNFCCC (2021)</w:t>
            </w:r>
          </w:p>
          <w:p w14:paraId="608DEACE" w14:textId="22AEF998" w:rsidR="0090158F" w:rsidRPr="00D341ED" w:rsidRDefault="0090158F" w:rsidP="00475B8F">
            <w:pPr>
              <w:rPr>
                <w:bCs/>
                <w:color w:val="000000" w:themeColor="text1"/>
                <w:sz w:val="16"/>
                <w:szCs w:val="16"/>
                <w:lang w:val="en-GB"/>
              </w:rPr>
            </w:pPr>
          </w:p>
        </w:tc>
        <w:tc>
          <w:tcPr>
            <w:tcW w:w="1178" w:type="pct"/>
            <w:vMerge w:val="restart"/>
            <w:shd w:val="clear" w:color="auto" w:fill="FFFFFF" w:themeFill="background1"/>
          </w:tcPr>
          <w:p w14:paraId="2BAC6FC9" w14:textId="772F2C42" w:rsidR="0090158F" w:rsidRPr="00D341ED" w:rsidRDefault="0090158F" w:rsidP="00BF2C3E">
            <w:pPr>
              <w:pStyle w:val="ListParagraph"/>
              <w:numPr>
                <w:ilvl w:val="0"/>
                <w:numId w:val="1"/>
              </w:numPr>
              <w:ind w:hanging="279"/>
              <w:rPr>
                <w:color w:val="000000" w:themeColor="text1"/>
                <w:sz w:val="16"/>
                <w:szCs w:val="16"/>
                <w:lang w:val="en-GB"/>
              </w:rPr>
            </w:pPr>
            <w:r w:rsidRPr="00D341ED">
              <w:rPr>
                <w:color w:val="000000" w:themeColor="text1"/>
                <w:sz w:val="16"/>
                <w:szCs w:val="16"/>
                <w:lang w:val="en-GB"/>
              </w:rPr>
              <w:t xml:space="preserve">2.1. </w:t>
            </w:r>
            <w:r w:rsidR="00CB0B31" w:rsidRPr="00D341ED">
              <w:rPr>
                <w:color w:val="000000" w:themeColor="text1"/>
                <w:sz w:val="16"/>
                <w:szCs w:val="16"/>
                <w:lang w:val="en-GB"/>
              </w:rPr>
              <w:t>Ministry of Environmental Protection and Agriculture (</w:t>
            </w:r>
            <w:r w:rsidRPr="00D341ED">
              <w:rPr>
                <w:color w:val="000000" w:themeColor="text1"/>
                <w:sz w:val="16"/>
                <w:szCs w:val="16"/>
                <w:lang w:val="en-GB"/>
              </w:rPr>
              <w:t>MEPA</w:t>
            </w:r>
            <w:r w:rsidR="00CB0B31" w:rsidRPr="00D341ED">
              <w:rPr>
                <w:color w:val="000000" w:themeColor="text1"/>
                <w:sz w:val="16"/>
                <w:szCs w:val="16"/>
                <w:lang w:val="en-GB"/>
              </w:rPr>
              <w:t>)</w:t>
            </w:r>
            <w:r w:rsidRPr="00D341ED">
              <w:rPr>
                <w:color w:val="000000" w:themeColor="text1"/>
                <w:sz w:val="16"/>
                <w:szCs w:val="16"/>
                <w:lang w:val="en-GB"/>
              </w:rPr>
              <w:t>/UNFCCC websites, annually</w:t>
            </w:r>
          </w:p>
        </w:tc>
        <w:tc>
          <w:tcPr>
            <w:tcW w:w="1092" w:type="pct"/>
            <w:vMerge w:val="restart"/>
            <w:shd w:val="clear" w:color="auto" w:fill="FFFFFF" w:themeFill="background1"/>
            <w:tcMar>
              <w:top w:w="72" w:type="dxa"/>
              <w:left w:w="144" w:type="dxa"/>
              <w:bottom w:w="72" w:type="dxa"/>
              <w:right w:w="144" w:type="dxa"/>
            </w:tcMar>
          </w:tcPr>
          <w:p w14:paraId="5B181E3A" w14:textId="7B2CB42E" w:rsidR="0090158F" w:rsidRPr="00D341ED" w:rsidRDefault="0090158F" w:rsidP="00475B8F">
            <w:pPr>
              <w:pStyle w:val="NormalWeb"/>
              <w:spacing w:before="0" w:beforeAutospacing="0" w:after="0" w:afterAutospacing="0"/>
              <w:rPr>
                <w:color w:val="000000" w:themeColor="text1"/>
                <w:sz w:val="16"/>
                <w:szCs w:val="16"/>
                <w:lang w:val="en-GB"/>
              </w:rPr>
            </w:pPr>
            <w:r w:rsidRPr="00D341ED">
              <w:rPr>
                <w:b/>
                <w:bCs/>
                <w:color w:val="000000" w:themeColor="text1"/>
                <w:sz w:val="16"/>
                <w:szCs w:val="16"/>
                <w:lang w:val="en-GB"/>
              </w:rPr>
              <w:t>Output 2.1</w:t>
            </w:r>
            <w:r w:rsidR="00CB0B31" w:rsidRPr="00D341ED">
              <w:rPr>
                <w:b/>
                <w:bCs/>
                <w:color w:val="000000" w:themeColor="text1"/>
                <w:sz w:val="16"/>
                <w:szCs w:val="16"/>
                <w:lang w:val="en-GB"/>
              </w:rPr>
              <w:t>.</w:t>
            </w:r>
            <w:r w:rsidRPr="00D341ED">
              <w:rPr>
                <w:color w:val="000000" w:themeColor="text1"/>
                <w:sz w:val="16"/>
                <w:szCs w:val="16"/>
                <w:lang w:val="en-GB"/>
              </w:rPr>
              <w:t xml:space="preserve"> </w:t>
            </w:r>
            <w:r w:rsidRPr="00D341ED">
              <w:rPr>
                <w:bCs/>
                <w:color w:val="000000" w:themeColor="text1"/>
                <w:sz w:val="16"/>
                <w:szCs w:val="16"/>
                <w:lang w:val="en-GB"/>
              </w:rPr>
              <w:t>E</w:t>
            </w:r>
            <w:r w:rsidRPr="00D341ED">
              <w:rPr>
                <w:color w:val="000000" w:themeColor="text1"/>
                <w:sz w:val="16"/>
                <w:szCs w:val="16"/>
                <w:lang w:val="en-GB"/>
              </w:rPr>
              <w:t>nvironmental governance and institutional capacity enhanced to enable rational, equitable and sustainable use of natural/land resources, to ensure conservation of ecosystems, use of innovative and climate-friendly technologies for inclusive green economy, energy efficiency and clean energy production, and make communities more resilient to environmental shocks.</w:t>
            </w:r>
          </w:p>
          <w:p w14:paraId="474C6C6A" w14:textId="77777777" w:rsidR="0090158F" w:rsidRPr="00D341ED" w:rsidRDefault="0090158F" w:rsidP="00475B8F">
            <w:pPr>
              <w:rPr>
                <w:color w:val="000000" w:themeColor="text1"/>
                <w:sz w:val="16"/>
                <w:szCs w:val="16"/>
                <w:lang w:val="en-GB"/>
              </w:rPr>
            </w:pPr>
          </w:p>
          <w:p w14:paraId="59E7F413" w14:textId="5E943F35" w:rsidR="0090158F" w:rsidRPr="00D341ED" w:rsidRDefault="0090158F" w:rsidP="00475B8F">
            <w:pPr>
              <w:pStyle w:val="ListParagraph"/>
              <w:numPr>
                <w:ilvl w:val="0"/>
                <w:numId w:val="1"/>
              </w:numPr>
              <w:rPr>
                <w:color w:val="000000" w:themeColor="text1"/>
                <w:sz w:val="16"/>
                <w:szCs w:val="16"/>
                <w:lang w:val="en-GB"/>
              </w:rPr>
            </w:pPr>
            <w:r w:rsidRPr="00D341ED">
              <w:rPr>
                <w:b/>
                <w:color w:val="000000" w:themeColor="text1"/>
                <w:sz w:val="16"/>
                <w:szCs w:val="16"/>
                <w:lang w:val="en-GB"/>
              </w:rPr>
              <w:t>Indicator 2.1.1</w:t>
            </w:r>
            <w:r w:rsidR="003C79BE" w:rsidRPr="00D341ED">
              <w:rPr>
                <w:b/>
                <w:color w:val="000000" w:themeColor="text1"/>
                <w:sz w:val="16"/>
                <w:szCs w:val="16"/>
                <w:lang w:val="en-GB"/>
              </w:rPr>
              <w:t>.</w:t>
            </w:r>
            <w:r w:rsidRPr="00D341ED">
              <w:rPr>
                <w:color w:val="000000" w:themeColor="text1"/>
                <w:sz w:val="16"/>
                <w:szCs w:val="16"/>
                <w:lang w:val="en-GB"/>
              </w:rPr>
              <w:t xml:space="preserve"> Targeted protected areas under improved management and annual long-term funding </w:t>
            </w:r>
          </w:p>
          <w:p w14:paraId="328B6760" w14:textId="7849C851" w:rsidR="0090158F" w:rsidRPr="00D341ED" w:rsidRDefault="0090158F" w:rsidP="00475B8F">
            <w:pPr>
              <w:pStyle w:val="ListParagraph"/>
              <w:ind w:left="360"/>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(2017): 0 ha, $650,000</w:t>
            </w:r>
          </w:p>
          <w:p w14:paraId="2909ABFD" w14:textId="4196B320" w:rsidR="0090158F" w:rsidRPr="00D341ED" w:rsidRDefault="0090158F" w:rsidP="00475B8F">
            <w:pPr>
              <w:pStyle w:val="ListParagraph"/>
              <w:ind w:left="360"/>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(2023): 431,872</w:t>
            </w:r>
            <w:r w:rsidR="00CB0B31" w:rsidRPr="00D341ED">
              <w:rPr>
                <w:color w:val="000000" w:themeColor="text1"/>
                <w:sz w:val="16"/>
                <w:szCs w:val="16"/>
                <w:lang w:val="en-GB"/>
              </w:rPr>
              <w:t xml:space="preserve"> </w:t>
            </w:r>
            <w:r w:rsidRPr="00D341ED">
              <w:rPr>
                <w:color w:val="000000" w:themeColor="text1"/>
                <w:sz w:val="16"/>
                <w:szCs w:val="16"/>
                <w:lang w:val="en-GB"/>
              </w:rPr>
              <w:t xml:space="preserve">has, $950,000 </w:t>
            </w:r>
          </w:p>
          <w:p w14:paraId="7317C1C7" w14:textId="186D8B71" w:rsidR="0090158F" w:rsidRPr="00D341ED" w:rsidRDefault="0090158F" w:rsidP="00475B8F">
            <w:pPr>
              <w:pStyle w:val="ListParagraph"/>
              <w:ind w:left="360"/>
              <w:rPr>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xml:space="preserve">: MEPA </w:t>
            </w:r>
            <w:r w:rsidR="00CB0B31" w:rsidRPr="00D341ED">
              <w:rPr>
                <w:color w:val="000000" w:themeColor="text1"/>
                <w:sz w:val="16"/>
                <w:szCs w:val="16"/>
                <w:lang w:val="en-GB"/>
              </w:rPr>
              <w:t>p</w:t>
            </w:r>
            <w:r w:rsidRPr="00D341ED">
              <w:rPr>
                <w:color w:val="000000" w:themeColor="text1"/>
                <w:sz w:val="16"/>
                <w:szCs w:val="16"/>
                <w:lang w:val="en-GB"/>
              </w:rPr>
              <w:t xml:space="preserve">rotected </w:t>
            </w:r>
            <w:r w:rsidR="00CB0B31" w:rsidRPr="00D341ED">
              <w:rPr>
                <w:color w:val="000000" w:themeColor="text1"/>
                <w:sz w:val="16"/>
                <w:szCs w:val="16"/>
                <w:lang w:val="en-GB"/>
              </w:rPr>
              <w:t>a</w:t>
            </w:r>
            <w:r w:rsidRPr="00D341ED">
              <w:rPr>
                <w:color w:val="000000" w:themeColor="text1"/>
                <w:sz w:val="16"/>
                <w:szCs w:val="16"/>
                <w:lang w:val="en-GB"/>
              </w:rPr>
              <w:t xml:space="preserve">reas </w:t>
            </w:r>
            <w:r w:rsidR="00CB0B31" w:rsidRPr="00D341ED">
              <w:rPr>
                <w:color w:val="000000" w:themeColor="text1"/>
                <w:sz w:val="16"/>
                <w:szCs w:val="16"/>
                <w:lang w:val="en-GB"/>
              </w:rPr>
              <w:t>d</w:t>
            </w:r>
            <w:r w:rsidRPr="00D341ED">
              <w:rPr>
                <w:color w:val="000000" w:themeColor="text1"/>
                <w:sz w:val="16"/>
                <w:szCs w:val="16"/>
                <w:lang w:val="en-GB"/>
              </w:rPr>
              <w:t>atabase, 2023</w:t>
            </w:r>
          </w:p>
          <w:p w14:paraId="7171EA53" w14:textId="77777777" w:rsidR="0090158F" w:rsidRPr="00D341ED" w:rsidRDefault="0090158F" w:rsidP="00475B8F">
            <w:pPr>
              <w:pStyle w:val="ListParagraph"/>
              <w:ind w:left="360"/>
              <w:rPr>
                <w:color w:val="000000" w:themeColor="text1"/>
                <w:sz w:val="16"/>
                <w:szCs w:val="16"/>
                <w:lang w:val="en-GB"/>
              </w:rPr>
            </w:pPr>
          </w:p>
          <w:p w14:paraId="3A3755E2" w14:textId="7C9FAEC1" w:rsidR="0090158F" w:rsidRPr="00D341ED" w:rsidRDefault="0090158F" w:rsidP="00475B8F">
            <w:pPr>
              <w:pStyle w:val="ListParagraph"/>
              <w:numPr>
                <w:ilvl w:val="0"/>
                <w:numId w:val="1"/>
              </w:numPr>
              <w:rPr>
                <w:color w:val="000000" w:themeColor="text1"/>
                <w:sz w:val="16"/>
                <w:szCs w:val="16"/>
                <w:lang w:val="en-GB"/>
              </w:rPr>
            </w:pPr>
            <w:r w:rsidRPr="00D341ED">
              <w:rPr>
                <w:b/>
                <w:bCs/>
                <w:color w:val="000000" w:themeColor="text1"/>
                <w:sz w:val="16"/>
                <w:szCs w:val="16"/>
                <w:lang w:val="en-GB"/>
              </w:rPr>
              <w:t>Indicator 2.1.2</w:t>
            </w:r>
            <w:r w:rsidR="003C79BE" w:rsidRPr="00D341ED">
              <w:rPr>
                <w:b/>
                <w:bCs/>
                <w:color w:val="000000" w:themeColor="text1"/>
                <w:sz w:val="16"/>
                <w:szCs w:val="16"/>
                <w:lang w:val="en-GB"/>
              </w:rPr>
              <w:t>.</w:t>
            </w:r>
            <w:r w:rsidRPr="00D341ED">
              <w:rPr>
                <w:color w:val="000000" w:themeColor="text1"/>
                <w:sz w:val="16"/>
                <w:szCs w:val="16"/>
                <w:lang w:val="en-GB"/>
              </w:rPr>
              <w:t xml:space="preserve"> [N</w:t>
            </w:r>
            <w:r w:rsidR="00CB0B31" w:rsidRPr="00D341ED">
              <w:rPr>
                <w:color w:val="000000" w:themeColor="text1"/>
                <w:sz w:val="16"/>
                <w:szCs w:val="16"/>
                <w:lang w:val="en-GB"/>
              </w:rPr>
              <w:t xml:space="preserve">ational </w:t>
            </w:r>
            <w:r w:rsidRPr="00D341ED">
              <w:rPr>
                <w:color w:val="000000" w:themeColor="text1"/>
                <w:sz w:val="16"/>
                <w:szCs w:val="16"/>
                <w:lang w:val="en-GB"/>
              </w:rPr>
              <w:t>SDG</w:t>
            </w:r>
            <w:r w:rsidR="00CB0B31" w:rsidRPr="00D341ED">
              <w:rPr>
                <w:color w:val="000000" w:themeColor="text1"/>
                <w:sz w:val="16"/>
                <w:szCs w:val="16"/>
                <w:lang w:val="en-GB"/>
              </w:rPr>
              <w:t> </w:t>
            </w:r>
            <w:r w:rsidRPr="00D341ED">
              <w:rPr>
                <w:color w:val="000000" w:themeColor="text1"/>
                <w:sz w:val="16"/>
                <w:szCs w:val="16"/>
                <w:lang w:val="en-GB"/>
              </w:rPr>
              <w:t xml:space="preserve">1.5.4]: Number of local governments that adopt and implement local </w:t>
            </w:r>
            <w:r w:rsidR="00CB0B31" w:rsidRPr="00D341ED">
              <w:rPr>
                <w:color w:val="000000" w:themeColor="text1"/>
                <w:sz w:val="16"/>
                <w:szCs w:val="16"/>
                <w:lang w:val="en-GB"/>
              </w:rPr>
              <w:t>d</w:t>
            </w:r>
            <w:r w:rsidRPr="00D341ED">
              <w:rPr>
                <w:color w:val="000000" w:themeColor="text1"/>
                <w:sz w:val="16"/>
                <w:szCs w:val="16"/>
                <w:lang w:val="en-GB"/>
              </w:rPr>
              <w:t xml:space="preserve">isaster </w:t>
            </w:r>
            <w:r w:rsidR="00CB0B31" w:rsidRPr="00D341ED">
              <w:rPr>
                <w:color w:val="000000" w:themeColor="text1"/>
                <w:sz w:val="16"/>
                <w:szCs w:val="16"/>
                <w:lang w:val="en-GB"/>
              </w:rPr>
              <w:t>r</w:t>
            </w:r>
            <w:r w:rsidRPr="00D341ED">
              <w:rPr>
                <w:color w:val="000000" w:themeColor="text1"/>
                <w:sz w:val="16"/>
                <w:szCs w:val="16"/>
                <w:lang w:val="en-GB"/>
              </w:rPr>
              <w:t xml:space="preserve">isk </w:t>
            </w:r>
            <w:r w:rsidR="00CB0B31" w:rsidRPr="00D341ED">
              <w:rPr>
                <w:color w:val="000000" w:themeColor="text1"/>
                <w:sz w:val="16"/>
                <w:szCs w:val="16"/>
                <w:lang w:val="en-GB"/>
              </w:rPr>
              <w:t>r</w:t>
            </w:r>
            <w:r w:rsidRPr="00D341ED">
              <w:rPr>
                <w:color w:val="000000" w:themeColor="text1"/>
                <w:sz w:val="16"/>
                <w:szCs w:val="16"/>
                <w:lang w:val="en-GB"/>
              </w:rPr>
              <w:t>eduction (DRR) strategies in line with national DRR strategy</w:t>
            </w:r>
          </w:p>
          <w:p w14:paraId="77E68FF2" w14:textId="77777777" w:rsidR="0090158F" w:rsidRPr="00D341ED" w:rsidRDefault="0090158F" w:rsidP="00475B8F">
            <w:pPr>
              <w:pStyle w:val="ListParagraph"/>
              <w:ind w:left="360"/>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(2020): 0</w:t>
            </w:r>
          </w:p>
          <w:p w14:paraId="632D36BD" w14:textId="77777777" w:rsidR="0090158F" w:rsidRPr="00D341ED" w:rsidRDefault="0090158F" w:rsidP="00475B8F">
            <w:pPr>
              <w:pStyle w:val="ListParagraph"/>
              <w:ind w:left="360"/>
              <w:rPr>
                <w:color w:val="000000" w:themeColor="text1"/>
                <w:sz w:val="16"/>
                <w:szCs w:val="16"/>
                <w:lang w:val="en-GB"/>
              </w:rPr>
            </w:pPr>
            <w:r w:rsidRPr="00D341ED">
              <w:rPr>
                <w:rFonts w:eastAsia="Calibri"/>
                <w:b/>
                <w:color w:val="000000" w:themeColor="text1"/>
                <w:sz w:val="16"/>
                <w:szCs w:val="16"/>
                <w:lang w:val="en-GB"/>
              </w:rPr>
              <w:t>Target</w:t>
            </w:r>
            <w:r w:rsidRPr="00D341ED">
              <w:rPr>
                <w:rFonts w:eastAsia="Calibri"/>
                <w:bCs/>
                <w:color w:val="000000" w:themeColor="text1"/>
                <w:sz w:val="16"/>
                <w:szCs w:val="16"/>
                <w:lang w:val="en-GB"/>
              </w:rPr>
              <w:t xml:space="preserve"> (2025</w:t>
            </w:r>
            <w:r w:rsidRPr="00D341ED">
              <w:rPr>
                <w:color w:val="000000" w:themeColor="text1"/>
                <w:sz w:val="16"/>
                <w:szCs w:val="16"/>
                <w:lang w:val="en-GB"/>
              </w:rPr>
              <w:t xml:space="preserve">): 10 local governments have local DRR strategies, including gender-sensitive disaster preparedness and response plans for multiple climate-induced hazards </w:t>
            </w:r>
          </w:p>
          <w:p w14:paraId="5899EC5E" w14:textId="77777777" w:rsidR="0090158F" w:rsidRPr="00D341ED" w:rsidRDefault="0090158F" w:rsidP="00475B8F">
            <w:pPr>
              <w:pStyle w:val="ListParagraph"/>
              <w:ind w:left="360"/>
              <w:rPr>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UNDP, annually</w:t>
            </w:r>
          </w:p>
          <w:p w14:paraId="240DA7B8" w14:textId="77777777" w:rsidR="0090158F" w:rsidRPr="00D341ED" w:rsidRDefault="0090158F" w:rsidP="00475B8F">
            <w:pPr>
              <w:pStyle w:val="ListParagraph"/>
              <w:ind w:left="360"/>
              <w:rPr>
                <w:color w:val="000000" w:themeColor="text1"/>
                <w:sz w:val="16"/>
                <w:szCs w:val="16"/>
                <w:lang w:val="en-GB"/>
              </w:rPr>
            </w:pPr>
          </w:p>
          <w:p w14:paraId="3AE801F4" w14:textId="77777777" w:rsidR="0090158F" w:rsidRPr="00D341ED" w:rsidRDefault="0090158F" w:rsidP="00475B8F">
            <w:pPr>
              <w:pStyle w:val="ListParagraph"/>
              <w:numPr>
                <w:ilvl w:val="0"/>
                <w:numId w:val="1"/>
              </w:numPr>
              <w:rPr>
                <w:color w:val="000000" w:themeColor="text1"/>
                <w:sz w:val="16"/>
                <w:szCs w:val="16"/>
                <w:lang w:val="en-GB"/>
              </w:rPr>
            </w:pPr>
            <w:r w:rsidRPr="00D341ED">
              <w:rPr>
                <w:b/>
                <w:bCs/>
                <w:color w:val="000000" w:themeColor="text1"/>
                <w:sz w:val="16"/>
                <w:szCs w:val="16"/>
                <w:lang w:val="en-GB"/>
              </w:rPr>
              <w:t>Indicator 2.1.3</w:t>
            </w:r>
            <w:r w:rsidRPr="00D341ED">
              <w:rPr>
                <w:color w:val="000000" w:themeColor="text1"/>
                <w:sz w:val="16"/>
                <w:szCs w:val="16"/>
                <w:lang w:val="en-GB"/>
              </w:rPr>
              <w:t xml:space="preserve">: Number of initiatives aimed at capacity-building for government and other stakeholders in mainstreaming gender in formulating, monitoring and implementing national climate change policies and plans </w:t>
            </w:r>
            <w:r w:rsidRPr="00D341ED">
              <w:rPr>
                <w:b/>
                <w:bCs/>
                <w:color w:val="000000" w:themeColor="text1"/>
                <w:sz w:val="16"/>
                <w:szCs w:val="16"/>
                <w:lang w:val="en-GB"/>
              </w:rPr>
              <w:t>Baseline</w:t>
            </w:r>
            <w:r w:rsidRPr="00D341ED">
              <w:rPr>
                <w:color w:val="000000" w:themeColor="text1"/>
                <w:sz w:val="16"/>
                <w:szCs w:val="16"/>
                <w:lang w:val="en-GB"/>
              </w:rPr>
              <w:t xml:space="preserve"> (2020): 0</w:t>
            </w:r>
          </w:p>
          <w:p w14:paraId="719FCBBF" w14:textId="150024DE" w:rsidR="0090158F" w:rsidRPr="00D341ED" w:rsidRDefault="0090158F" w:rsidP="00475B8F">
            <w:pPr>
              <w:pStyle w:val="ListParagraph"/>
              <w:ind w:left="360"/>
              <w:rPr>
                <w:color w:val="000000" w:themeColor="text1"/>
                <w:sz w:val="16"/>
                <w:szCs w:val="16"/>
                <w:lang w:val="en-GB"/>
              </w:rPr>
            </w:pPr>
            <w:r w:rsidRPr="00D341ED">
              <w:rPr>
                <w:color w:val="000000" w:themeColor="text1"/>
                <w:sz w:val="16"/>
                <w:szCs w:val="16"/>
                <w:lang w:val="en-GB"/>
              </w:rPr>
              <w:t xml:space="preserve">2.1.3a. Gender-sensitive socioeconomic vulnerability assessment methodology developed/applied </w:t>
            </w:r>
          </w:p>
          <w:p w14:paraId="1A5863FD" w14:textId="41930AC7" w:rsidR="0090158F" w:rsidRPr="00D341ED" w:rsidRDefault="0090158F" w:rsidP="00475B8F">
            <w:pPr>
              <w:pStyle w:val="ListParagraph"/>
              <w:ind w:left="360"/>
              <w:rPr>
                <w:color w:val="000000" w:themeColor="text1"/>
                <w:sz w:val="16"/>
                <w:szCs w:val="16"/>
                <w:lang w:val="en-GB"/>
              </w:rPr>
            </w:pPr>
            <w:r w:rsidRPr="00D341ED">
              <w:rPr>
                <w:color w:val="000000" w:themeColor="text1"/>
                <w:sz w:val="16"/>
                <w:szCs w:val="16"/>
                <w:lang w:val="en-GB"/>
              </w:rPr>
              <w:t xml:space="preserve">2.1.3b. Standardized methodologies and </w:t>
            </w:r>
            <w:r w:rsidR="00B85A18" w:rsidRPr="00D341ED">
              <w:rPr>
                <w:color w:val="000000" w:themeColor="text1"/>
                <w:sz w:val="16"/>
                <w:szCs w:val="16"/>
                <w:lang w:val="en-GB"/>
              </w:rPr>
              <w:t xml:space="preserve">standard operating procedures </w:t>
            </w:r>
            <w:r w:rsidRPr="00D341ED">
              <w:rPr>
                <w:color w:val="000000" w:themeColor="text1"/>
                <w:sz w:val="16"/>
                <w:szCs w:val="16"/>
                <w:lang w:val="en-GB"/>
              </w:rPr>
              <w:t>for multi-hazard risk-informed, preparedness and response plans developed considering gender and vulnerable groups</w:t>
            </w:r>
          </w:p>
          <w:p w14:paraId="4C008F4A" w14:textId="4D293FF7" w:rsidR="0090158F" w:rsidRPr="00D341ED" w:rsidRDefault="0090158F" w:rsidP="00475B8F">
            <w:pPr>
              <w:pStyle w:val="ListParagraph"/>
              <w:ind w:left="360"/>
              <w:rPr>
                <w:color w:val="000000" w:themeColor="text1"/>
                <w:sz w:val="16"/>
                <w:szCs w:val="16"/>
                <w:lang w:val="en-GB"/>
              </w:rPr>
            </w:pPr>
            <w:r w:rsidRPr="00D341ED">
              <w:rPr>
                <w:color w:val="000000" w:themeColor="text1"/>
                <w:sz w:val="16"/>
                <w:szCs w:val="16"/>
                <w:lang w:val="en-GB"/>
              </w:rPr>
              <w:t>2.1.3c. Gender</w:t>
            </w:r>
            <w:r w:rsidR="00B85A18" w:rsidRPr="00D341ED">
              <w:rPr>
                <w:color w:val="000000" w:themeColor="text1"/>
                <w:sz w:val="16"/>
                <w:szCs w:val="16"/>
                <w:lang w:val="en-GB"/>
              </w:rPr>
              <w:t>-s</w:t>
            </w:r>
            <w:r w:rsidRPr="00D341ED">
              <w:rPr>
                <w:color w:val="000000" w:themeColor="text1"/>
                <w:sz w:val="16"/>
                <w:szCs w:val="16"/>
                <w:lang w:val="en-GB"/>
              </w:rPr>
              <w:t>ensitive institutional and legal frameworks in place to roll-out standardized multi-hazard mapping and risk assessment methodology</w:t>
            </w:r>
          </w:p>
          <w:p w14:paraId="4C85F46E" w14:textId="4287D493" w:rsidR="0090158F" w:rsidRPr="00D341ED" w:rsidRDefault="0090158F" w:rsidP="00475B8F">
            <w:pPr>
              <w:pStyle w:val="ListParagraph"/>
              <w:ind w:left="360"/>
              <w:rPr>
                <w:color w:val="000000" w:themeColor="text1"/>
                <w:sz w:val="16"/>
                <w:szCs w:val="16"/>
                <w:lang w:val="en-GB"/>
              </w:rPr>
            </w:pPr>
            <w:r w:rsidRPr="00D341ED">
              <w:rPr>
                <w:color w:val="000000" w:themeColor="text1"/>
                <w:sz w:val="16"/>
                <w:szCs w:val="16"/>
                <w:lang w:val="en-GB"/>
              </w:rPr>
              <w:t>2.1.3d. Gender</w:t>
            </w:r>
            <w:r w:rsidR="00B85A18" w:rsidRPr="00D341ED">
              <w:rPr>
                <w:color w:val="000000" w:themeColor="text1"/>
                <w:sz w:val="16"/>
                <w:szCs w:val="16"/>
                <w:lang w:val="en-GB"/>
              </w:rPr>
              <w:t>-</w:t>
            </w:r>
            <w:r w:rsidRPr="00D341ED">
              <w:rPr>
                <w:color w:val="000000" w:themeColor="text1"/>
                <w:sz w:val="16"/>
                <w:szCs w:val="16"/>
                <w:lang w:val="en-GB"/>
              </w:rPr>
              <w:t>sensitive capacity development plans put in place to enhance knowledge on nation-wide multi-hazard mapping and risk assessment</w:t>
            </w:r>
          </w:p>
          <w:p w14:paraId="49FF050A" w14:textId="77777777" w:rsidR="0090158F" w:rsidRPr="00D341ED" w:rsidRDefault="0090158F" w:rsidP="00475B8F">
            <w:pPr>
              <w:pStyle w:val="ListParagraph"/>
              <w:ind w:left="360"/>
              <w:rPr>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xml:space="preserve">: UNDP, annually </w:t>
            </w:r>
          </w:p>
          <w:p w14:paraId="57712BBF" w14:textId="77777777" w:rsidR="0090158F" w:rsidRPr="00D341ED" w:rsidRDefault="0090158F" w:rsidP="00475B8F">
            <w:pPr>
              <w:rPr>
                <w:color w:val="000000" w:themeColor="text1"/>
                <w:sz w:val="16"/>
                <w:szCs w:val="16"/>
                <w:lang w:val="en-GB"/>
              </w:rPr>
            </w:pPr>
          </w:p>
          <w:p w14:paraId="2BA8136F" w14:textId="117F2296" w:rsidR="0090158F" w:rsidRPr="00D341ED" w:rsidRDefault="0090158F" w:rsidP="00475B8F">
            <w:pPr>
              <w:pStyle w:val="NormalWeb"/>
              <w:spacing w:before="0" w:beforeAutospacing="0" w:after="0" w:afterAutospacing="0"/>
              <w:rPr>
                <w:color w:val="000000" w:themeColor="text1"/>
                <w:sz w:val="16"/>
                <w:szCs w:val="16"/>
                <w:lang w:val="en-GB"/>
              </w:rPr>
            </w:pPr>
            <w:r w:rsidRPr="00D341ED">
              <w:rPr>
                <w:b/>
                <w:bCs/>
                <w:color w:val="000000" w:themeColor="text1"/>
                <w:sz w:val="16"/>
                <w:szCs w:val="16"/>
                <w:lang w:val="en-GB"/>
              </w:rPr>
              <w:t>Output 2.2</w:t>
            </w:r>
            <w:r w:rsidR="00B85A18" w:rsidRPr="00D341ED">
              <w:rPr>
                <w:b/>
                <w:bCs/>
                <w:color w:val="000000" w:themeColor="text1"/>
                <w:sz w:val="16"/>
                <w:szCs w:val="16"/>
                <w:lang w:val="en-GB"/>
              </w:rPr>
              <w:t>.</w:t>
            </w:r>
            <w:r w:rsidRPr="00D341ED">
              <w:rPr>
                <w:color w:val="000000" w:themeColor="text1"/>
                <w:sz w:val="16"/>
                <w:szCs w:val="16"/>
                <w:lang w:val="en-GB"/>
              </w:rPr>
              <w:t xml:space="preserve"> Climate-sensitive, resilient and risk-informed development promoted across all sectors in rural and urban areas to increase adaptive capacities and mitigate climate change impact </w:t>
            </w:r>
          </w:p>
          <w:p w14:paraId="69FE4304" w14:textId="77777777" w:rsidR="0090158F" w:rsidRPr="00D341ED" w:rsidRDefault="0090158F" w:rsidP="00475B8F">
            <w:pPr>
              <w:jc w:val="both"/>
              <w:rPr>
                <w:color w:val="000000" w:themeColor="text1"/>
                <w:sz w:val="16"/>
                <w:szCs w:val="16"/>
                <w:lang w:val="en-GB"/>
              </w:rPr>
            </w:pPr>
          </w:p>
          <w:p w14:paraId="5A5DEB69" w14:textId="6FF2F02E" w:rsidR="0090158F" w:rsidRPr="00D341ED" w:rsidRDefault="0090158F" w:rsidP="00475B8F">
            <w:pPr>
              <w:pStyle w:val="ListParagraph"/>
              <w:numPr>
                <w:ilvl w:val="0"/>
                <w:numId w:val="1"/>
              </w:numPr>
              <w:rPr>
                <w:color w:val="000000" w:themeColor="text1"/>
                <w:sz w:val="16"/>
                <w:szCs w:val="16"/>
                <w:lang w:val="en-GB"/>
              </w:rPr>
            </w:pPr>
            <w:r w:rsidRPr="00D341ED">
              <w:rPr>
                <w:b/>
                <w:color w:val="000000" w:themeColor="text1"/>
                <w:sz w:val="16"/>
                <w:szCs w:val="16"/>
                <w:lang w:val="en-GB"/>
              </w:rPr>
              <w:t>Indicator 2.2.1</w:t>
            </w:r>
            <w:r w:rsidR="00B85A18" w:rsidRPr="00D341ED">
              <w:rPr>
                <w:b/>
                <w:color w:val="000000" w:themeColor="text1"/>
                <w:sz w:val="16"/>
                <w:szCs w:val="16"/>
                <w:lang w:val="en-GB"/>
              </w:rPr>
              <w:t>.</w:t>
            </w:r>
            <w:r w:rsidRPr="00D341ED">
              <w:rPr>
                <w:bCs/>
                <w:color w:val="000000" w:themeColor="text1"/>
                <w:sz w:val="16"/>
                <w:szCs w:val="16"/>
                <w:lang w:val="en-GB"/>
              </w:rPr>
              <w:t xml:space="preserve"> Adaptation and mitigation capacities are increased through enhanced use of climate information, products and services and well-established multi-hazard early warning systems (MHEWS), including </w:t>
            </w:r>
            <w:r w:rsidR="00B85A18" w:rsidRPr="00D341ED">
              <w:rPr>
                <w:bCs/>
                <w:color w:val="000000" w:themeColor="text1"/>
                <w:sz w:val="16"/>
                <w:szCs w:val="16"/>
                <w:lang w:val="en-GB"/>
              </w:rPr>
              <w:t xml:space="preserve">at </w:t>
            </w:r>
            <w:r w:rsidRPr="00D341ED">
              <w:rPr>
                <w:bCs/>
                <w:color w:val="000000" w:themeColor="text1"/>
                <w:sz w:val="16"/>
                <w:szCs w:val="16"/>
                <w:lang w:val="en-GB"/>
              </w:rPr>
              <w:t>community level.</w:t>
            </w:r>
          </w:p>
          <w:p w14:paraId="5259946F" w14:textId="77777777" w:rsidR="0090158F" w:rsidRPr="00D341ED" w:rsidRDefault="0090158F" w:rsidP="00475B8F">
            <w:pPr>
              <w:pStyle w:val="ListParagraph"/>
              <w:ind w:left="360"/>
              <w:rPr>
                <w:bCs/>
                <w:color w:val="000000" w:themeColor="text1"/>
                <w:sz w:val="16"/>
                <w:szCs w:val="16"/>
                <w:lang w:val="en-GB"/>
              </w:rPr>
            </w:pPr>
            <w:r w:rsidRPr="00D341ED">
              <w:rPr>
                <w:b/>
                <w:color w:val="000000" w:themeColor="text1"/>
                <w:sz w:val="16"/>
                <w:szCs w:val="16"/>
                <w:lang w:val="en-GB"/>
              </w:rPr>
              <w:t>Baseline:</w:t>
            </w:r>
            <w:r w:rsidRPr="00D341ED">
              <w:rPr>
                <w:bCs/>
                <w:color w:val="000000" w:themeColor="text1"/>
                <w:sz w:val="16"/>
                <w:szCs w:val="16"/>
                <w:lang w:val="en-GB"/>
              </w:rPr>
              <w:t xml:space="preserve"> </w:t>
            </w:r>
          </w:p>
          <w:p w14:paraId="51A040B0" w14:textId="77777777" w:rsidR="0090158F" w:rsidRPr="00D341ED" w:rsidRDefault="0090158F" w:rsidP="00475B8F">
            <w:pPr>
              <w:pStyle w:val="ListParagraph"/>
              <w:ind w:left="360"/>
              <w:rPr>
                <w:bCs/>
                <w:color w:val="000000" w:themeColor="text1"/>
                <w:sz w:val="16"/>
                <w:szCs w:val="16"/>
                <w:lang w:val="en-GB"/>
              </w:rPr>
            </w:pPr>
            <w:r w:rsidRPr="00D341ED">
              <w:rPr>
                <w:bCs/>
                <w:color w:val="000000" w:themeColor="text1"/>
                <w:sz w:val="16"/>
                <w:szCs w:val="16"/>
                <w:lang w:val="en-GB"/>
              </w:rPr>
              <w:lastRenderedPageBreak/>
              <w:t xml:space="preserve">2.2.1a. Hydrometric monitoring network outdated/inadequate; </w:t>
            </w:r>
          </w:p>
          <w:p w14:paraId="0BDE7C07" w14:textId="77777777" w:rsidR="0090158F" w:rsidRPr="00D341ED" w:rsidRDefault="0090158F" w:rsidP="00475B8F">
            <w:pPr>
              <w:pStyle w:val="ListParagraph"/>
              <w:ind w:left="360"/>
              <w:rPr>
                <w:bCs/>
                <w:color w:val="000000" w:themeColor="text1"/>
                <w:sz w:val="16"/>
                <w:szCs w:val="16"/>
                <w:lang w:val="en-GB"/>
              </w:rPr>
            </w:pPr>
            <w:r w:rsidRPr="00D341ED">
              <w:rPr>
                <w:bCs/>
                <w:color w:val="000000" w:themeColor="text1"/>
                <w:sz w:val="16"/>
                <w:szCs w:val="16"/>
                <w:lang w:val="en-GB"/>
              </w:rPr>
              <w:t xml:space="preserve">2.2.1b. 0 multi-hazard and risk maps; </w:t>
            </w:r>
          </w:p>
          <w:p w14:paraId="7148D515" w14:textId="55F4FA50" w:rsidR="0090158F" w:rsidRPr="00D341ED" w:rsidRDefault="0090158F" w:rsidP="00475B8F">
            <w:pPr>
              <w:pStyle w:val="ListParagraph"/>
              <w:ind w:left="360"/>
              <w:rPr>
                <w:bCs/>
                <w:color w:val="000000" w:themeColor="text1"/>
                <w:sz w:val="16"/>
                <w:szCs w:val="16"/>
                <w:lang w:val="en-GB"/>
              </w:rPr>
            </w:pPr>
            <w:r w:rsidRPr="00D341ED">
              <w:rPr>
                <w:bCs/>
                <w:color w:val="000000" w:themeColor="text1"/>
                <w:sz w:val="16"/>
                <w:szCs w:val="16"/>
                <w:lang w:val="en-GB"/>
              </w:rPr>
              <w:t xml:space="preserve">2.2.1c. MHEWS and </w:t>
            </w:r>
            <w:r w:rsidR="00D924AD" w:rsidRPr="00D341ED">
              <w:rPr>
                <w:bCs/>
                <w:color w:val="000000" w:themeColor="text1"/>
                <w:sz w:val="16"/>
                <w:szCs w:val="16"/>
                <w:lang w:val="en-GB"/>
              </w:rPr>
              <w:t>f</w:t>
            </w:r>
            <w:r w:rsidRPr="00D341ED">
              <w:rPr>
                <w:bCs/>
                <w:color w:val="000000" w:themeColor="text1"/>
                <w:sz w:val="16"/>
                <w:szCs w:val="16"/>
                <w:lang w:val="en-GB"/>
              </w:rPr>
              <w:t>orecasting for climate-induced hazards does not exist;</w:t>
            </w:r>
          </w:p>
          <w:p w14:paraId="12237DD8" w14:textId="77777777" w:rsidR="0090158F" w:rsidRPr="00D341ED" w:rsidRDefault="0090158F" w:rsidP="00475B8F">
            <w:pPr>
              <w:pStyle w:val="ListParagraph"/>
              <w:ind w:left="360"/>
              <w:rPr>
                <w:bCs/>
                <w:color w:val="000000" w:themeColor="text1"/>
                <w:sz w:val="16"/>
                <w:szCs w:val="16"/>
                <w:lang w:val="en-GB"/>
              </w:rPr>
            </w:pPr>
            <w:r w:rsidRPr="00D341ED">
              <w:rPr>
                <w:bCs/>
                <w:color w:val="000000" w:themeColor="text1"/>
                <w:sz w:val="16"/>
                <w:szCs w:val="16"/>
                <w:lang w:val="en-GB"/>
              </w:rPr>
              <w:t xml:space="preserve">2.2.1d. 0 risk reduction measures, based on multi-hazard risk maps, in high-risk areas; </w:t>
            </w:r>
          </w:p>
          <w:p w14:paraId="769F7AA4" w14:textId="3233B497" w:rsidR="0090158F" w:rsidRPr="00D341ED" w:rsidRDefault="0090158F" w:rsidP="00475B8F">
            <w:pPr>
              <w:pStyle w:val="ListParagraph"/>
              <w:ind w:left="360"/>
              <w:rPr>
                <w:bCs/>
                <w:color w:val="000000" w:themeColor="text1"/>
                <w:sz w:val="16"/>
                <w:szCs w:val="16"/>
                <w:lang w:val="en-GB"/>
              </w:rPr>
            </w:pPr>
            <w:r w:rsidRPr="00D341ED">
              <w:rPr>
                <w:bCs/>
                <w:color w:val="000000" w:themeColor="text1"/>
                <w:sz w:val="16"/>
                <w:szCs w:val="16"/>
                <w:lang w:val="en-GB"/>
              </w:rPr>
              <w:t xml:space="preserve">2.2.1e. 0 </w:t>
            </w:r>
            <w:r w:rsidR="00D924AD" w:rsidRPr="00D341ED">
              <w:rPr>
                <w:bCs/>
                <w:color w:val="000000" w:themeColor="text1"/>
                <w:sz w:val="16"/>
                <w:szCs w:val="16"/>
                <w:lang w:val="en-GB"/>
              </w:rPr>
              <w:t>c</w:t>
            </w:r>
            <w:r w:rsidRPr="00D341ED">
              <w:rPr>
                <w:bCs/>
                <w:color w:val="000000" w:themeColor="text1"/>
                <w:sz w:val="16"/>
                <w:szCs w:val="16"/>
                <w:lang w:val="en-GB"/>
              </w:rPr>
              <w:t>ommunity-based climate risk management/EWS</w:t>
            </w:r>
          </w:p>
          <w:p w14:paraId="5F30E81A" w14:textId="77777777" w:rsidR="0090158F" w:rsidRPr="00D341ED" w:rsidRDefault="0090158F" w:rsidP="00475B8F">
            <w:pPr>
              <w:pStyle w:val="ListParagraph"/>
              <w:ind w:left="360"/>
              <w:rPr>
                <w:b/>
                <w:color w:val="000000" w:themeColor="text1"/>
                <w:sz w:val="16"/>
                <w:szCs w:val="16"/>
                <w:lang w:val="en-GB"/>
              </w:rPr>
            </w:pPr>
            <w:r w:rsidRPr="00D341ED">
              <w:rPr>
                <w:b/>
                <w:color w:val="000000" w:themeColor="text1"/>
                <w:sz w:val="16"/>
                <w:szCs w:val="16"/>
                <w:lang w:val="en-GB"/>
              </w:rPr>
              <w:t xml:space="preserve">Target:  </w:t>
            </w:r>
          </w:p>
          <w:p w14:paraId="72451777" w14:textId="04A3E36B" w:rsidR="0090158F" w:rsidRPr="00D341ED" w:rsidRDefault="0090158F" w:rsidP="00475B8F">
            <w:pPr>
              <w:pStyle w:val="ListParagraph"/>
              <w:ind w:left="360"/>
              <w:rPr>
                <w:bCs/>
                <w:color w:val="000000" w:themeColor="text1"/>
                <w:sz w:val="16"/>
                <w:szCs w:val="16"/>
                <w:lang w:val="en-GB"/>
              </w:rPr>
            </w:pPr>
            <w:r w:rsidRPr="00D341ED">
              <w:rPr>
                <w:bCs/>
                <w:color w:val="000000" w:themeColor="text1"/>
                <w:sz w:val="16"/>
                <w:szCs w:val="16"/>
                <w:lang w:val="en-GB"/>
              </w:rPr>
              <w:t>2.2.1a</w:t>
            </w:r>
            <w:r w:rsidR="00D924AD" w:rsidRPr="00D341ED">
              <w:rPr>
                <w:bCs/>
                <w:color w:val="000000" w:themeColor="text1"/>
                <w:sz w:val="16"/>
                <w:szCs w:val="16"/>
                <w:lang w:val="en-GB"/>
              </w:rPr>
              <w:t>.</w:t>
            </w:r>
            <w:r w:rsidRPr="00D341ED">
              <w:rPr>
                <w:bCs/>
                <w:color w:val="000000" w:themeColor="text1"/>
                <w:sz w:val="16"/>
                <w:szCs w:val="16"/>
                <w:lang w:val="en-GB"/>
              </w:rPr>
              <w:t xml:space="preserve"> Improved hydro and agrometeorological network; </w:t>
            </w:r>
          </w:p>
          <w:p w14:paraId="5FA23141" w14:textId="77777777" w:rsidR="0090158F" w:rsidRPr="00D341ED" w:rsidRDefault="0090158F" w:rsidP="00475B8F">
            <w:pPr>
              <w:pStyle w:val="ListParagraph"/>
              <w:ind w:left="360"/>
              <w:rPr>
                <w:bCs/>
                <w:color w:val="000000" w:themeColor="text1"/>
                <w:sz w:val="16"/>
                <w:szCs w:val="16"/>
                <w:lang w:val="en-GB"/>
              </w:rPr>
            </w:pPr>
            <w:r w:rsidRPr="00D341ED">
              <w:rPr>
                <w:bCs/>
                <w:color w:val="000000" w:themeColor="text1"/>
                <w:sz w:val="16"/>
                <w:szCs w:val="16"/>
                <w:lang w:val="en-GB"/>
              </w:rPr>
              <w:t xml:space="preserve">2.2.1b. maps for 11 river basins; </w:t>
            </w:r>
          </w:p>
          <w:p w14:paraId="6C4882B9" w14:textId="77777777" w:rsidR="0090158F" w:rsidRPr="00D341ED" w:rsidRDefault="0090158F" w:rsidP="00475B8F">
            <w:pPr>
              <w:pStyle w:val="ListParagraph"/>
              <w:ind w:left="360"/>
              <w:rPr>
                <w:bCs/>
                <w:color w:val="000000" w:themeColor="text1"/>
                <w:sz w:val="16"/>
                <w:szCs w:val="16"/>
                <w:lang w:val="en-GB"/>
              </w:rPr>
            </w:pPr>
            <w:r w:rsidRPr="00D341ED">
              <w:rPr>
                <w:bCs/>
                <w:color w:val="000000" w:themeColor="text1"/>
                <w:sz w:val="16"/>
                <w:szCs w:val="16"/>
                <w:lang w:val="en-GB"/>
              </w:rPr>
              <w:t xml:space="preserve">2.2.1c. established and functional; </w:t>
            </w:r>
          </w:p>
          <w:p w14:paraId="34CBD391" w14:textId="77777777" w:rsidR="0090158F" w:rsidRPr="00D341ED" w:rsidRDefault="0090158F" w:rsidP="00475B8F">
            <w:pPr>
              <w:pStyle w:val="ListParagraph"/>
              <w:ind w:left="360"/>
              <w:rPr>
                <w:bCs/>
                <w:color w:val="000000" w:themeColor="text1"/>
                <w:sz w:val="16"/>
                <w:szCs w:val="16"/>
                <w:lang w:val="en-GB"/>
              </w:rPr>
            </w:pPr>
            <w:r w:rsidRPr="00D341ED">
              <w:rPr>
                <w:bCs/>
                <w:color w:val="000000" w:themeColor="text1"/>
                <w:sz w:val="16"/>
                <w:szCs w:val="16"/>
                <w:lang w:val="en-GB"/>
              </w:rPr>
              <w:t xml:space="preserve">2.2.1d. 12 measures implemented; </w:t>
            </w:r>
          </w:p>
          <w:p w14:paraId="0A802BEF" w14:textId="77777777" w:rsidR="0090158F" w:rsidRPr="00D341ED" w:rsidRDefault="0090158F" w:rsidP="00475B8F">
            <w:pPr>
              <w:pStyle w:val="ListParagraph"/>
              <w:ind w:left="360"/>
              <w:rPr>
                <w:bCs/>
                <w:color w:val="000000" w:themeColor="text1"/>
                <w:sz w:val="16"/>
                <w:szCs w:val="16"/>
                <w:lang w:val="en-GB"/>
              </w:rPr>
            </w:pPr>
            <w:r w:rsidRPr="00D341ED">
              <w:rPr>
                <w:bCs/>
                <w:color w:val="000000" w:themeColor="text1"/>
                <w:sz w:val="16"/>
                <w:szCs w:val="16"/>
                <w:lang w:val="en-GB"/>
              </w:rPr>
              <w:t xml:space="preserve">2.2.1e. applied in 100 communities </w:t>
            </w:r>
          </w:p>
          <w:p w14:paraId="72222386" w14:textId="77777777" w:rsidR="0090158F" w:rsidRPr="00D341ED" w:rsidRDefault="0090158F" w:rsidP="00475B8F">
            <w:pPr>
              <w:pStyle w:val="ListParagraph"/>
              <w:ind w:left="360"/>
              <w:rPr>
                <w:color w:val="000000" w:themeColor="text1"/>
                <w:sz w:val="16"/>
                <w:szCs w:val="16"/>
                <w:lang w:val="en-GB"/>
              </w:rPr>
            </w:pPr>
            <w:r w:rsidRPr="00D341ED">
              <w:rPr>
                <w:b/>
                <w:color w:val="000000" w:themeColor="text1"/>
                <w:sz w:val="16"/>
                <w:szCs w:val="16"/>
                <w:lang w:val="en-GB"/>
              </w:rPr>
              <w:t xml:space="preserve">Source: </w:t>
            </w:r>
            <w:r w:rsidRPr="00D341ED">
              <w:rPr>
                <w:rStyle w:val="normaltextrun"/>
                <w:color w:val="000000" w:themeColor="text1"/>
                <w:sz w:val="16"/>
                <w:szCs w:val="16"/>
                <w:lang w:val="en-GB"/>
              </w:rPr>
              <w:t>UNDP, annually</w:t>
            </w:r>
          </w:p>
          <w:p w14:paraId="22B9B242" w14:textId="77777777" w:rsidR="0090158F" w:rsidRPr="00D341ED" w:rsidRDefault="0090158F" w:rsidP="00475B8F">
            <w:pPr>
              <w:rPr>
                <w:color w:val="000000" w:themeColor="text1"/>
                <w:sz w:val="16"/>
                <w:szCs w:val="16"/>
                <w:lang w:val="en-GB"/>
              </w:rPr>
            </w:pPr>
          </w:p>
          <w:p w14:paraId="48F85B14" w14:textId="1E583C31" w:rsidR="0090158F" w:rsidRPr="00D341ED" w:rsidRDefault="0090158F" w:rsidP="00475B8F">
            <w:pPr>
              <w:pStyle w:val="ListParagraph"/>
              <w:numPr>
                <w:ilvl w:val="0"/>
                <w:numId w:val="1"/>
              </w:numPr>
              <w:rPr>
                <w:color w:val="000000" w:themeColor="text1"/>
                <w:sz w:val="16"/>
                <w:szCs w:val="16"/>
                <w:lang w:val="en-GB"/>
              </w:rPr>
            </w:pPr>
            <w:r w:rsidRPr="00D341ED">
              <w:rPr>
                <w:b/>
                <w:color w:val="000000" w:themeColor="text1"/>
                <w:sz w:val="16"/>
                <w:szCs w:val="16"/>
                <w:lang w:val="en-GB"/>
              </w:rPr>
              <w:t>Indicator 2.2.2</w:t>
            </w:r>
            <w:r w:rsidR="00D924AD" w:rsidRPr="00D341ED">
              <w:rPr>
                <w:b/>
                <w:color w:val="000000" w:themeColor="text1"/>
                <w:sz w:val="16"/>
                <w:szCs w:val="16"/>
                <w:lang w:val="en-GB"/>
              </w:rPr>
              <w:t>.</w:t>
            </w:r>
            <w:r w:rsidRPr="00D341ED">
              <w:rPr>
                <w:color w:val="000000" w:themeColor="text1"/>
                <w:sz w:val="16"/>
                <w:szCs w:val="16"/>
                <w:lang w:val="en-GB"/>
              </w:rPr>
              <w:t xml:space="preserve"> Number of gender-responsive technological solutions, initiatives/projects, per LTLEDS in place/applied</w:t>
            </w:r>
          </w:p>
          <w:p w14:paraId="7ACAE494" w14:textId="77777777" w:rsidR="0090158F" w:rsidRPr="00D341ED" w:rsidRDefault="0090158F" w:rsidP="00475B8F">
            <w:pPr>
              <w:pStyle w:val="ListParagraph"/>
              <w:ind w:left="360"/>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LTLEDS under elaboration, 0 projects/initiatives</w:t>
            </w:r>
          </w:p>
          <w:p w14:paraId="54B00B8F" w14:textId="77777777" w:rsidR="0090158F" w:rsidRPr="00D341ED" w:rsidRDefault="0090158F" w:rsidP="00475B8F">
            <w:pPr>
              <w:pStyle w:val="ListParagraph"/>
              <w:ind w:left="360"/>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3 </w:t>
            </w:r>
          </w:p>
          <w:p w14:paraId="00B8484A" w14:textId="77777777" w:rsidR="0090158F" w:rsidRPr="00D341ED" w:rsidRDefault="0090158F" w:rsidP="00475B8F">
            <w:pPr>
              <w:pStyle w:val="ListParagraph"/>
              <w:ind w:left="360"/>
              <w:rPr>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LTLEDS implementation report, 2023, 2025</w:t>
            </w:r>
          </w:p>
          <w:p w14:paraId="5BE93A62" w14:textId="77777777" w:rsidR="0090158F" w:rsidRPr="00D341ED" w:rsidRDefault="0090158F" w:rsidP="00475B8F">
            <w:pPr>
              <w:pStyle w:val="ListParagraph"/>
              <w:ind w:left="360"/>
              <w:rPr>
                <w:color w:val="000000" w:themeColor="text1"/>
                <w:sz w:val="16"/>
                <w:szCs w:val="16"/>
                <w:lang w:val="en-GB"/>
              </w:rPr>
            </w:pPr>
          </w:p>
        </w:tc>
        <w:tc>
          <w:tcPr>
            <w:tcW w:w="675" w:type="pct"/>
            <w:vMerge w:val="restart"/>
            <w:shd w:val="clear" w:color="auto" w:fill="FFFFFF" w:themeFill="background1"/>
          </w:tcPr>
          <w:p w14:paraId="52FD894A" w14:textId="77777777" w:rsidR="0090158F" w:rsidRPr="00D341ED" w:rsidRDefault="0090158F" w:rsidP="00475B8F">
            <w:pPr>
              <w:rPr>
                <w:color w:val="000000" w:themeColor="text1"/>
                <w:sz w:val="16"/>
                <w:szCs w:val="16"/>
                <w:lang w:val="en-GB"/>
              </w:rPr>
            </w:pPr>
            <w:r w:rsidRPr="00D341ED">
              <w:rPr>
                <w:color w:val="000000" w:themeColor="text1"/>
                <w:sz w:val="16"/>
                <w:szCs w:val="16"/>
                <w:lang w:val="en-GB"/>
              </w:rPr>
              <w:lastRenderedPageBreak/>
              <w:t xml:space="preserve">MEPA, MRDI, MIA, National Security Council Apparatus, </w:t>
            </w:r>
          </w:p>
          <w:p w14:paraId="28E4CE94" w14:textId="3A09DFBE" w:rsidR="0090158F" w:rsidRPr="00D341ED" w:rsidRDefault="0090158F" w:rsidP="00475B8F">
            <w:pPr>
              <w:rPr>
                <w:bCs/>
                <w:color w:val="000000" w:themeColor="text1"/>
                <w:sz w:val="16"/>
                <w:szCs w:val="16"/>
                <w:lang w:val="en-GB"/>
              </w:rPr>
            </w:pPr>
            <w:r w:rsidRPr="00D341ED">
              <w:rPr>
                <w:color w:val="000000" w:themeColor="text1"/>
                <w:sz w:val="16"/>
                <w:szCs w:val="16"/>
                <w:lang w:val="en-GB"/>
              </w:rPr>
              <w:t>National Environmental Agency, National Food Agency, Agriculture-Scientific Research Centre, Environmental Information and Education Centr</w:t>
            </w:r>
            <w:r w:rsidR="00CB0B31" w:rsidRPr="00D341ED">
              <w:rPr>
                <w:color w:val="000000" w:themeColor="text1"/>
                <w:sz w:val="16"/>
                <w:szCs w:val="16"/>
                <w:lang w:val="en-GB"/>
              </w:rPr>
              <w:t>e</w:t>
            </w:r>
            <w:r w:rsidRPr="00D341ED">
              <w:rPr>
                <w:color w:val="000000" w:themeColor="text1"/>
                <w:sz w:val="16"/>
                <w:szCs w:val="16"/>
                <w:lang w:val="en-GB"/>
              </w:rPr>
              <w:t>, Emergency Management Service, Caucasus Nature Fund, NGOs</w:t>
            </w:r>
          </w:p>
        </w:tc>
        <w:tc>
          <w:tcPr>
            <w:tcW w:w="958" w:type="pct"/>
            <w:shd w:val="clear" w:color="auto" w:fill="FFFFFF" w:themeFill="background1"/>
            <w:tcMar>
              <w:top w:w="15" w:type="dxa"/>
              <w:left w:w="108" w:type="dxa"/>
              <w:bottom w:w="0" w:type="dxa"/>
              <w:right w:w="108" w:type="dxa"/>
            </w:tcMar>
            <w:vAlign w:val="center"/>
          </w:tcPr>
          <w:p w14:paraId="219D0D8C" w14:textId="7E79ED4B" w:rsidR="0090158F" w:rsidRPr="00D341ED" w:rsidRDefault="0090158F" w:rsidP="00475B8F">
            <w:pPr>
              <w:rPr>
                <w:b/>
                <w:bCs/>
                <w:color w:val="000000" w:themeColor="text1"/>
                <w:sz w:val="16"/>
                <w:szCs w:val="16"/>
                <w:lang w:val="en-GB"/>
              </w:rPr>
            </w:pPr>
            <w:r w:rsidRPr="00D341ED">
              <w:rPr>
                <w:b/>
                <w:color w:val="000000" w:themeColor="text1"/>
                <w:sz w:val="16"/>
                <w:szCs w:val="16"/>
                <w:lang w:val="en-GB"/>
              </w:rPr>
              <w:t>Regular</w:t>
            </w:r>
            <w:r w:rsidR="00CB0B31" w:rsidRPr="00D341ED">
              <w:rPr>
                <w:b/>
                <w:color w:val="000000" w:themeColor="text1"/>
                <w:sz w:val="16"/>
                <w:szCs w:val="16"/>
                <w:lang w:val="en-GB"/>
              </w:rPr>
              <w:t>:</w:t>
            </w:r>
            <w:r w:rsidRPr="00D341ED">
              <w:rPr>
                <w:b/>
                <w:color w:val="000000" w:themeColor="text1"/>
                <w:sz w:val="16"/>
                <w:szCs w:val="16"/>
                <w:lang w:val="en-GB"/>
              </w:rPr>
              <w:t xml:space="preserve"> $437,500</w:t>
            </w:r>
          </w:p>
        </w:tc>
      </w:tr>
      <w:tr w:rsidR="0090158F" w:rsidRPr="00D341ED" w14:paraId="23317161" w14:textId="77777777" w:rsidTr="00BF2C3E">
        <w:trPr>
          <w:tblHeader/>
        </w:trPr>
        <w:tc>
          <w:tcPr>
            <w:tcW w:w="1097" w:type="pct"/>
            <w:vMerge/>
            <w:tcBorders>
              <w:bottom w:val="single" w:sz="4" w:space="0" w:color="auto"/>
            </w:tcBorders>
            <w:tcMar>
              <w:top w:w="72" w:type="dxa"/>
              <w:left w:w="144" w:type="dxa"/>
              <w:bottom w:w="72" w:type="dxa"/>
              <w:right w:w="144" w:type="dxa"/>
            </w:tcMar>
          </w:tcPr>
          <w:p w14:paraId="384BA73E" w14:textId="77777777" w:rsidR="0090158F" w:rsidRPr="00D341ED" w:rsidRDefault="0090158F" w:rsidP="00475B8F">
            <w:pPr>
              <w:jc w:val="center"/>
              <w:rPr>
                <w:b/>
                <w:bCs/>
                <w:color w:val="000000" w:themeColor="text1"/>
                <w:sz w:val="16"/>
                <w:szCs w:val="16"/>
                <w:lang w:val="en-GB"/>
              </w:rPr>
            </w:pPr>
          </w:p>
        </w:tc>
        <w:tc>
          <w:tcPr>
            <w:tcW w:w="1178" w:type="pct"/>
            <w:vMerge/>
            <w:tcBorders>
              <w:bottom w:val="single" w:sz="4" w:space="0" w:color="auto"/>
            </w:tcBorders>
          </w:tcPr>
          <w:p w14:paraId="34B3F2EB" w14:textId="77777777" w:rsidR="0090158F" w:rsidRPr="00D341ED" w:rsidRDefault="0090158F" w:rsidP="00475B8F">
            <w:pPr>
              <w:pStyle w:val="ListParagraph"/>
              <w:numPr>
                <w:ilvl w:val="0"/>
                <w:numId w:val="1"/>
              </w:numPr>
              <w:rPr>
                <w:b/>
                <w:color w:val="000000" w:themeColor="text1"/>
                <w:sz w:val="16"/>
                <w:szCs w:val="16"/>
                <w:lang w:val="en-GB"/>
              </w:rPr>
            </w:pPr>
          </w:p>
        </w:tc>
        <w:tc>
          <w:tcPr>
            <w:tcW w:w="1092" w:type="pct"/>
            <w:vMerge/>
            <w:tcBorders>
              <w:bottom w:val="single" w:sz="4" w:space="0" w:color="auto"/>
            </w:tcBorders>
            <w:tcMar>
              <w:top w:w="72" w:type="dxa"/>
              <w:left w:w="144" w:type="dxa"/>
              <w:bottom w:w="72" w:type="dxa"/>
              <w:right w:w="144" w:type="dxa"/>
            </w:tcMar>
          </w:tcPr>
          <w:p w14:paraId="7D34F5C7" w14:textId="77777777" w:rsidR="0090158F" w:rsidRPr="00D341ED" w:rsidRDefault="0090158F" w:rsidP="00475B8F">
            <w:pPr>
              <w:jc w:val="center"/>
              <w:rPr>
                <w:b/>
                <w:bCs/>
                <w:color w:val="000000" w:themeColor="text1"/>
                <w:sz w:val="16"/>
                <w:szCs w:val="16"/>
                <w:lang w:val="en-GB"/>
              </w:rPr>
            </w:pPr>
          </w:p>
        </w:tc>
        <w:tc>
          <w:tcPr>
            <w:tcW w:w="675" w:type="pct"/>
            <w:vMerge/>
            <w:tcBorders>
              <w:bottom w:val="single" w:sz="4" w:space="0" w:color="auto"/>
            </w:tcBorders>
            <w:vAlign w:val="center"/>
          </w:tcPr>
          <w:p w14:paraId="0B4020A7" w14:textId="77777777" w:rsidR="0090158F" w:rsidRPr="00D341ED" w:rsidRDefault="0090158F" w:rsidP="00475B8F">
            <w:pPr>
              <w:jc w:val="center"/>
              <w:rPr>
                <w:b/>
                <w:bCs/>
                <w:color w:val="000000" w:themeColor="text1"/>
                <w:sz w:val="16"/>
                <w:szCs w:val="16"/>
                <w:lang w:val="en-GB"/>
              </w:rPr>
            </w:pPr>
          </w:p>
        </w:tc>
        <w:tc>
          <w:tcPr>
            <w:tcW w:w="958" w:type="pct"/>
            <w:tcBorders>
              <w:bottom w:val="single" w:sz="4" w:space="0" w:color="auto"/>
            </w:tcBorders>
            <w:shd w:val="clear" w:color="auto" w:fill="FFFFFF" w:themeFill="background1"/>
            <w:tcMar>
              <w:top w:w="15" w:type="dxa"/>
              <w:left w:w="108" w:type="dxa"/>
              <w:bottom w:w="0" w:type="dxa"/>
              <w:right w:w="108" w:type="dxa"/>
            </w:tcMar>
          </w:tcPr>
          <w:p w14:paraId="4F904CB7" w14:textId="549B7810" w:rsidR="0090158F" w:rsidRPr="00D341ED" w:rsidRDefault="0090158F" w:rsidP="00475B8F">
            <w:pPr>
              <w:rPr>
                <w:b/>
                <w:color w:val="000000" w:themeColor="text1"/>
                <w:sz w:val="16"/>
                <w:szCs w:val="16"/>
                <w:lang w:val="en-GB"/>
              </w:rPr>
            </w:pPr>
            <w:r w:rsidRPr="00D341ED">
              <w:rPr>
                <w:b/>
                <w:color w:val="000000" w:themeColor="text1"/>
                <w:sz w:val="16"/>
                <w:szCs w:val="16"/>
                <w:lang w:val="en-GB"/>
              </w:rPr>
              <w:t>Other</w:t>
            </w:r>
            <w:r w:rsidR="00CB0B31" w:rsidRPr="00D341ED">
              <w:rPr>
                <w:b/>
                <w:color w:val="000000" w:themeColor="text1"/>
                <w:sz w:val="16"/>
                <w:szCs w:val="16"/>
                <w:lang w:val="en-GB"/>
              </w:rPr>
              <w:t>:</w:t>
            </w:r>
            <w:r w:rsidRPr="00D341ED">
              <w:rPr>
                <w:b/>
                <w:color w:val="000000" w:themeColor="text1"/>
                <w:sz w:val="16"/>
                <w:szCs w:val="16"/>
                <w:lang w:val="en-GB"/>
              </w:rPr>
              <w:t xml:space="preserve"> $34,160,197</w:t>
            </w:r>
          </w:p>
        </w:tc>
      </w:tr>
      <w:tr w:rsidR="0002497E" w:rsidRPr="00D341ED" w14:paraId="18F766B6" w14:textId="77777777" w:rsidTr="00BF2C3E">
        <w:tc>
          <w:tcPr>
            <w:tcW w:w="5000" w:type="pct"/>
            <w:gridSpan w:val="5"/>
            <w:shd w:val="clear" w:color="auto" w:fill="auto"/>
            <w:tcMar>
              <w:top w:w="72" w:type="dxa"/>
              <w:left w:w="144" w:type="dxa"/>
              <w:bottom w:w="72" w:type="dxa"/>
              <w:right w:w="144" w:type="dxa"/>
            </w:tcMar>
          </w:tcPr>
          <w:p w14:paraId="6E2C17EB" w14:textId="60C24EE6" w:rsidR="0002497E" w:rsidRPr="00D341ED" w:rsidRDefault="0002497E" w:rsidP="00475B8F">
            <w:pPr>
              <w:rPr>
                <w:color w:val="000000" w:themeColor="text1"/>
                <w:sz w:val="16"/>
                <w:szCs w:val="16"/>
                <w:lang w:val="en-GB"/>
              </w:rPr>
            </w:pPr>
            <w:r w:rsidRPr="00D341ED">
              <w:rPr>
                <w:b/>
                <w:bCs/>
                <w:color w:val="000000" w:themeColor="text1"/>
                <w:sz w:val="16"/>
                <w:szCs w:val="16"/>
                <w:lang w:val="en-GB"/>
              </w:rPr>
              <w:lastRenderedPageBreak/>
              <w:t xml:space="preserve">NATIONAL PRIORITY OR GOAL: </w:t>
            </w:r>
            <w:r w:rsidRPr="00D341ED">
              <w:rPr>
                <w:bCs/>
                <w:color w:val="000000" w:themeColor="text1"/>
                <w:sz w:val="16"/>
                <w:szCs w:val="16"/>
                <w:lang w:val="en-GB"/>
              </w:rPr>
              <w:t>“Georgia 2020” priorities under strategic direction 1, improved competitiveness of private sector: 1.1. Improved investment and business environment; 1.2.</w:t>
            </w:r>
            <w:r w:rsidR="00382382" w:rsidRPr="00D341ED">
              <w:rPr>
                <w:bCs/>
                <w:color w:val="000000" w:themeColor="text1"/>
                <w:sz w:val="16"/>
                <w:szCs w:val="16"/>
                <w:lang w:val="en-GB"/>
              </w:rPr>
              <w:t> </w:t>
            </w:r>
            <w:r w:rsidRPr="00D341ED">
              <w:rPr>
                <w:bCs/>
                <w:color w:val="000000" w:themeColor="text1"/>
                <w:sz w:val="16"/>
                <w:szCs w:val="16"/>
                <w:lang w:val="en-GB"/>
              </w:rPr>
              <w:t>Support development of innovations and technologies; 1.3 Support export growth</w:t>
            </w:r>
            <w:r w:rsidR="00382382" w:rsidRPr="00D341ED">
              <w:rPr>
                <w:bCs/>
                <w:color w:val="000000" w:themeColor="text1"/>
                <w:sz w:val="16"/>
                <w:szCs w:val="16"/>
                <w:lang w:val="en-GB"/>
              </w:rPr>
              <w:t>.</w:t>
            </w:r>
            <w:r w:rsidRPr="00D341ED">
              <w:rPr>
                <w:bCs/>
                <w:color w:val="000000" w:themeColor="text1"/>
                <w:sz w:val="16"/>
                <w:szCs w:val="16"/>
                <w:lang w:val="en-GB"/>
              </w:rPr>
              <w:t xml:space="preserve"> </w:t>
            </w:r>
            <w:r w:rsidR="00382382" w:rsidRPr="00D341ED">
              <w:rPr>
                <w:bCs/>
                <w:color w:val="000000" w:themeColor="text1"/>
                <w:sz w:val="16"/>
                <w:szCs w:val="16"/>
                <w:lang w:val="en-GB"/>
              </w:rPr>
              <w:t>S</w:t>
            </w:r>
            <w:r w:rsidRPr="00D341ED">
              <w:rPr>
                <w:bCs/>
                <w:color w:val="000000" w:themeColor="text1"/>
                <w:sz w:val="16"/>
                <w:szCs w:val="16"/>
                <w:lang w:val="en-GB"/>
              </w:rPr>
              <w:t>trategic direction 2 prioritizes development of labour force according to labour market requirements and particularly</w:t>
            </w:r>
            <w:r w:rsidR="00382382" w:rsidRPr="00D341ED">
              <w:rPr>
                <w:bCs/>
                <w:color w:val="000000" w:themeColor="text1"/>
                <w:sz w:val="16"/>
                <w:szCs w:val="16"/>
                <w:lang w:val="en-GB"/>
              </w:rPr>
              <w:t>:</w:t>
            </w:r>
            <w:r w:rsidRPr="00D341ED">
              <w:rPr>
                <w:bCs/>
                <w:color w:val="000000" w:themeColor="text1"/>
                <w:sz w:val="16"/>
                <w:szCs w:val="16"/>
                <w:lang w:val="en-GB"/>
              </w:rPr>
              <w:t xml:space="preserve"> 2.1</w:t>
            </w:r>
            <w:r w:rsidR="00382382" w:rsidRPr="00D341ED">
              <w:rPr>
                <w:bCs/>
                <w:color w:val="000000" w:themeColor="text1"/>
                <w:sz w:val="16"/>
                <w:szCs w:val="16"/>
                <w:lang w:val="en-GB"/>
              </w:rPr>
              <w:t>.</w:t>
            </w:r>
            <w:r w:rsidRPr="00D341ED">
              <w:rPr>
                <w:bCs/>
                <w:color w:val="000000" w:themeColor="text1"/>
                <w:sz w:val="16"/>
                <w:szCs w:val="16"/>
                <w:lang w:val="en-GB"/>
              </w:rPr>
              <w:t xml:space="preserve"> Developing vocational education and training.</w:t>
            </w:r>
          </w:p>
        </w:tc>
      </w:tr>
      <w:tr w:rsidR="0002497E" w:rsidRPr="00D341ED" w14:paraId="28357B32" w14:textId="77777777" w:rsidTr="00BF2C3E">
        <w:tc>
          <w:tcPr>
            <w:tcW w:w="5000" w:type="pct"/>
            <w:gridSpan w:val="5"/>
            <w:shd w:val="clear" w:color="auto" w:fill="auto"/>
            <w:tcMar>
              <w:top w:w="72" w:type="dxa"/>
              <w:left w:w="144" w:type="dxa"/>
              <w:bottom w:w="72" w:type="dxa"/>
              <w:right w:w="144" w:type="dxa"/>
            </w:tcMar>
          </w:tcPr>
          <w:p w14:paraId="32F1AFAD" w14:textId="20F5EE2A" w:rsidR="0002497E" w:rsidRPr="00D341ED" w:rsidRDefault="00382382" w:rsidP="00475B8F">
            <w:pPr>
              <w:rPr>
                <w:color w:val="000000" w:themeColor="text1"/>
                <w:sz w:val="16"/>
                <w:szCs w:val="16"/>
                <w:lang w:val="en-GB"/>
              </w:rPr>
            </w:pPr>
            <w:r w:rsidRPr="00D341ED">
              <w:rPr>
                <w:b/>
                <w:bCs/>
                <w:color w:val="000000" w:themeColor="text1"/>
                <w:sz w:val="16"/>
                <w:szCs w:val="16"/>
                <w:lang w:val="en-GB"/>
              </w:rPr>
              <w:t xml:space="preserve">UNSDCF, </w:t>
            </w:r>
            <w:r w:rsidR="0002497E" w:rsidRPr="00D341ED">
              <w:rPr>
                <w:b/>
                <w:bCs/>
                <w:color w:val="000000" w:themeColor="text1"/>
                <w:sz w:val="16"/>
                <w:szCs w:val="16"/>
                <w:lang w:val="en-GB"/>
              </w:rPr>
              <w:t>2021-2025</w:t>
            </w:r>
            <w:r w:rsidRPr="00D341ED">
              <w:rPr>
                <w:b/>
                <w:bCs/>
                <w:color w:val="000000" w:themeColor="text1"/>
                <w:sz w:val="16"/>
                <w:szCs w:val="16"/>
                <w:lang w:val="en-GB"/>
              </w:rPr>
              <w:t>,</w:t>
            </w:r>
            <w:r w:rsidR="0002497E" w:rsidRPr="00D341ED">
              <w:rPr>
                <w:b/>
                <w:bCs/>
                <w:color w:val="000000" w:themeColor="text1"/>
                <w:sz w:val="16"/>
                <w:szCs w:val="16"/>
                <w:lang w:val="en-GB"/>
              </w:rPr>
              <w:t xml:space="preserve"> OUTCOME INVOLVING UNDP 3:</w:t>
            </w:r>
            <w:r w:rsidR="0002497E" w:rsidRPr="00D341ED">
              <w:rPr>
                <w:color w:val="000000" w:themeColor="text1"/>
                <w:sz w:val="16"/>
                <w:szCs w:val="16"/>
                <w:lang w:val="en-GB"/>
              </w:rPr>
              <w:t xml:space="preserve"> </w:t>
            </w:r>
            <w:r w:rsidR="0002497E" w:rsidRPr="00D341ED">
              <w:rPr>
                <w:bCs/>
                <w:color w:val="000000" w:themeColor="text1"/>
                <w:sz w:val="16"/>
                <w:szCs w:val="16"/>
                <w:lang w:val="en-GB"/>
              </w:rPr>
              <w:t>By 2025, all people without discrimination benefit from a sustainable, inclusive and resilient economy in Georgia</w:t>
            </w:r>
            <w:r w:rsidRPr="00D341ED">
              <w:rPr>
                <w:bCs/>
                <w:color w:val="000000" w:themeColor="text1"/>
                <w:sz w:val="16"/>
                <w:szCs w:val="16"/>
                <w:lang w:val="en-GB"/>
              </w:rPr>
              <w:t>.</w:t>
            </w:r>
          </w:p>
        </w:tc>
      </w:tr>
      <w:tr w:rsidR="0002497E" w:rsidRPr="00D341ED" w14:paraId="4C59A5B5" w14:textId="77777777" w:rsidTr="00BF2C3E">
        <w:tc>
          <w:tcPr>
            <w:tcW w:w="5000" w:type="pct"/>
            <w:gridSpan w:val="5"/>
            <w:shd w:val="clear" w:color="auto" w:fill="auto"/>
            <w:tcMar>
              <w:top w:w="72" w:type="dxa"/>
              <w:left w:w="144" w:type="dxa"/>
              <w:bottom w:w="72" w:type="dxa"/>
              <w:right w:w="144" w:type="dxa"/>
            </w:tcMar>
          </w:tcPr>
          <w:p w14:paraId="7CCC4D0E" w14:textId="4A99138A" w:rsidR="0002497E" w:rsidRPr="00D341ED" w:rsidRDefault="0002497E" w:rsidP="00475B8F">
            <w:pPr>
              <w:rPr>
                <w:b/>
                <w:bCs/>
                <w:color w:val="000000" w:themeColor="text1"/>
                <w:sz w:val="16"/>
                <w:szCs w:val="16"/>
                <w:lang w:val="en-GB"/>
              </w:rPr>
            </w:pPr>
            <w:r w:rsidRPr="00D341ED">
              <w:rPr>
                <w:b/>
                <w:bCs/>
                <w:color w:val="000000" w:themeColor="text1"/>
                <w:sz w:val="16"/>
                <w:szCs w:val="16"/>
                <w:lang w:val="en-GB"/>
              </w:rPr>
              <w:t xml:space="preserve">RELATED </w:t>
            </w:r>
            <w:r w:rsidR="00382382" w:rsidRPr="00D341ED">
              <w:rPr>
                <w:b/>
                <w:bCs/>
                <w:color w:val="000000" w:themeColor="text1"/>
                <w:sz w:val="16"/>
                <w:szCs w:val="16"/>
                <w:lang w:val="en-GB"/>
              </w:rPr>
              <w:t xml:space="preserve">UNDP </w:t>
            </w:r>
            <w:r w:rsidRPr="00D341ED">
              <w:rPr>
                <w:b/>
                <w:bCs/>
                <w:color w:val="000000" w:themeColor="text1"/>
                <w:sz w:val="16"/>
                <w:szCs w:val="16"/>
                <w:lang w:val="en-GB"/>
              </w:rPr>
              <w:t>STRATEGIC PLAN</w:t>
            </w:r>
            <w:r w:rsidR="00382382" w:rsidRPr="00D341ED">
              <w:rPr>
                <w:b/>
                <w:bCs/>
                <w:color w:val="000000" w:themeColor="text1"/>
                <w:sz w:val="16"/>
                <w:szCs w:val="16"/>
                <w:lang w:val="en-GB"/>
              </w:rPr>
              <w:t xml:space="preserve">, </w:t>
            </w:r>
            <w:r w:rsidRPr="00D341ED">
              <w:rPr>
                <w:b/>
                <w:bCs/>
                <w:color w:val="000000" w:themeColor="text1"/>
                <w:sz w:val="16"/>
                <w:szCs w:val="16"/>
                <w:lang w:val="en-GB"/>
              </w:rPr>
              <w:t>2018-2021</w:t>
            </w:r>
            <w:r w:rsidR="00382382" w:rsidRPr="00D341ED">
              <w:rPr>
                <w:b/>
                <w:bCs/>
                <w:color w:val="000000" w:themeColor="text1"/>
                <w:sz w:val="16"/>
                <w:szCs w:val="16"/>
                <w:lang w:val="en-GB"/>
              </w:rPr>
              <w:t>,</w:t>
            </w:r>
            <w:r w:rsidRPr="00D341ED">
              <w:rPr>
                <w:b/>
                <w:bCs/>
                <w:color w:val="000000" w:themeColor="text1"/>
                <w:sz w:val="16"/>
                <w:szCs w:val="16"/>
                <w:lang w:val="en-GB"/>
              </w:rPr>
              <w:t xml:space="preserve"> OUTCOME: </w:t>
            </w:r>
            <w:r w:rsidRPr="00D341ED">
              <w:rPr>
                <w:color w:val="000000" w:themeColor="text1"/>
                <w:sz w:val="16"/>
                <w:szCs w:val="16"/>
                <w:lang w:val="en-GB"/>
              </w:rPr>
              <w:t>Outcome 1</w:t>
            </w:r>
            <w:r w:rsidR="00382382" w:rsidRPr="00D341ED">
              <w:rPr>
                <w:color w:val="000000" w:themeColor="text1"/>
                <w:sz w:val="16"/>
                <w:szCs w:val="16"/>
                <w:lang w:val="en-GB"/>
              </w:rPr>
              <w:t xml:space="preserve">. </w:t>
            </w:r>
            <w:r w:rsidRPr="00D341ED">
              <w:rPr>
                <w:color w:val="000000" w:themeColor="text1"/>
                <w:sz w:val="16"/>
                <w:szCs w:val="16"/>
                <w:lang w:val="en-GB"/>
              </w:rPr>
              <w:t>Advance poverty eradication in all its forms and dimensions</w:t>
            </w:r>
            <w:r w:rsidR="00382382" w:rsidRPr="00D341ED">
              <w:rPr>
                <w:color w:val="000000" w:themeColor="text1"/>
                <w:sz w:val="16"/>
                <w:szCs w:val="16"/>
                <w:lang w:val="en-GB"/>
              </w:rPr>
              <w:t>.</w:t>
            </w:r>
          </w:p>
        </w:tc>
      </w:tr>
      <w:tr w:rsidR="0090158F" w:rsidRPr="00D341ED" w14:paraId="45F23AF9" w14:textId="77777777" w:rsidTr="005A353B">
        <w:trPr>
          <w:tblHeader/>
        </w:trPr>
        <w:tc>
          <w:tcPr>
            <w:tcW w:w="1097" w:type="pct"/>
            <w:vMerge w:val="restart"/>
            <w:shd w:val="clear" w:color="auto" w:fill="FFFFFF" w:themeFill="background1"/>
            <w:tcMar>
              <w:top w:w="72" w:type="dxa"/>
              <w:left w:w="144" w:type="dxa"/>
              <w:bottom w:w="72" w:type="dxa"/>
              <w:right w:w="144" w:type="dxa"/>
            </w:tcMar>
          </w:tcPr>
          <w:p w14:paraId="0558406E" w14:textId="3510DC11" w:rsidR="0090158F" w:rsidRPr="00D341ED" w:rsidRDefault="0090158F" w:rsidP="00475B8F">
            <w:pPr>
              <w:rPr>
                <w:rStyle w:val="Hyperlink"/>
                <w:color w:val="000000" w:themeColor="text1"/>
                <w:sz w:val="16"/>
                <w:szCs w:val="16"/>
                <w:lang w:val="en-GB"/>
              </w:rPr>
            </w:pPr>
            <w:r w:rsidRPr="00D341ED">
              <w:rPr>
                <w:rStyle w:val="Hyperlink"/>
                <w:b/>
                <w:bCs/>
                <w:color w:val="000000" w:themeColor="text1"/>
                <w:sz w:val="16"/>
                <w:szCs w:val="16"/>
                <w:lang w:val="en-GB"/>
              </w:rPr>
              <w:t>3.1.</w:t>
            </w:r>
            <w:r w:rsidRPr="00D341ED">
              <w:rPr>
                <w:rStyle w:val="Hyperlink"/>
                <w:color w:val="000000" w:themeColor="text1"/>
                <w:sz w:val="16"/>
                <w:szCs w:val="16"/>
                <w:lang w:val="en-GB"/>
              </w:rPr>
              <w:t xml:space="preserve"> </w:t>
            </w:r>
            <w:r w:rsidRPr="00D341ED">
              <w:rPr>
                <w:color w:val="000000" w:themeColor="text1"/>
                <w:sz w:val="16"/>
                <w:szCs w:val="16"/>
                <w:lang w:val="en-GB"/>
              </w:rPr>
              <w:t>(</w:t>
            </w:r>
            <w:r w:rsidR="00D25565" w:rsidRPr="00D341ED">
              <w:rPr>
                <w:color w:val="000000" w:themeColor="text1"/>
                <w:sz w:val="16"/>
                <w:szCs w:val="16"/>
                <w:lang w:val="en-GB"/>
              </w:rPr>
              <w:t>UNSD</w:t>
            </w:r>
            <w:r w:rsidRPr="00D341ED">
              <w:rPr>
                <w:color w:val="000000" w:themeColor="text1"/>
                <w:sz w:val="16"/>
                <w:szCs w:val="16"/>
                <w:lang w:val="en-GB"/>
              </w:rPr>
              <w:t xml:space="preserve">CF </w:t>
            </w:r>
            <w:r w:rsidR="00D25565" w:rsidRPr="00D341ED">
              <w:rPr>
                <w:color w:val="000000" w:themeColor="text1"/>
                <w:sz w:val="16"/>
                <w:szCs w:val="16"/>
                <w:lang w:val="en-GB"/>
              </w:rPr>
              <w:t>i</w:t>
            </w:r>
            <w:r w:rsidRPr="00D341ED">
              <w:rPr>
                <w:color w:val="000000" w:themeColor="text1"/>
                <w:sz w:val="16"/>
                <w:szCs w:val="16"/>
                <w:lang w:val="en-GB"/>
              </w:rPr>
              <w:t>ndicator 3.1)</w:t>
            </w:r>
            <w:r w:rsidR="00D25565" w:rsidRPr="00D341ED">
              <w:rPr>
                <w:color w:val="000000" w:themeColor="text1"/>
                <w:sz w:val="16"/>
                <w:szCs w:val="16"/>
                <w:lang w:val="en-GB"/>
              </w:rPr>
              <w:t xml:space="preserve"> </w:t>
            </w:r>
            <w:r w:rsidRPr="00D341ED">
              <w:rPr>
                <w:rStyle w:val="Hyperlink"/>
                <w:color w:val="000000" w:themeColor="text1"/>
                <w:sz w:val="16"/>
                <w:szCs w:val="16"/>
                <w:lang w:val="en-GB"/>
              </w:rPr>
              <w:t>[</w:t>
            </w:r>
            <w:r w:rsidRPr="00D341ED">
              <w:rPr>
                <w:rStyle w:val="Hyperlink"/>
                <w:color w:val="auto"/>
                <w:sz w:val="16"/>
                <w:szCs w:val="16"/>
                <w:lang w:val="en-GB"/>
              </w:rPr>
              <w:t>N</w:t>
            </w:r>
            <w:r w:rsidR="00D25565" w:rsidRPr="00D341ED">
              <w:rPr>
                <w:rStyle w:val="Hyperlink"/>
                <w:color w:val="auto"/>
                <w:sz w:val="16"/>
                <w:szCs w:val="16"/>
                <w:lang w:val="en-GB"/>
              </w:rPr>
              <w:t>ational</w:t>
            </w:r>
            <w:r w:rsidR="00D25565" w:rsidRPr="00D341ED">
              <w:rPr>
                <w:rStyle w:val="Hyperlink"/>
                <w:color w:val="auto"/>
                <w:lang w:val="en-GB"/>
              </w:rPr>
              <w:t xml:space="preserve"> </w:t>
            </w:r>
            <w:r w:rsidRPr="00D341ED">
              <w:rPr>
                <w:rStyle w:val="Hyperlink"/>
                <w:color w:val="000000" w:themeColor="text1"/>
                <w:sz w:val="16"/>
                <w:szCs w:val="16"/>
                <w:lang w:val="en-GB"/>
              </w:rPr>
              <w:t>SDG 1.2.1] Proportion of population, including children, living below national poverty line, by location and sex</w:t>
            </w:r>
          </w:p>
          <w:p w14:paraId="25AC744F" w14:textId="5E4694AA" w:rsidR="0090158F" w:rsidRPr="00D341ED" w:rsidRDefault="0090158F" w:rsidP="00475B8F">
            <w:pPr>
              <w:rPr>
                <w:rStyle w:val="Hyperlink"/>
                <w:color w:val="000000" w:themeColor="text1"/>
                <w:sz w:val="16"/>
                <w:szCs w:val="16"/>
                <w:lang w:val="en-GB"/>
              </w:rPr>
            </w:pPr>
            <w:r w:rsidRPr="00D341ED">
              <w:rPr>
                <w:rStyle w:val="Hyperlink"/>
                <w:b/>
                <w:bCs/>
                <w:color w:val="000000" w:themeColor="text1"/>
                <w:sz w:val="16"/>
                <w:szCs w:val="16"/>
                <w:lang w:val="en-GB"/>
              </w:rPr>
              <w:t>Baseline</w:t>
            </w:r>
            <w:r w:rsidRPr="00D341ED">
              <w:rPr>
                <w:rStyle w:val="Hyperlink"/>
                <w:color w:val="000000" w:themeColor="text1"/>
                <w:sz w:val="16"/>
                <w:szCs w:val="16"/>
                <w:lang w:val="en-GB"/>
              </w:rPr>
              <w:t xml:space="preserve"> (2015): Georgia: 21.6% Urban: 18%, Rural: 26.4%; Age Groups: 0-17: 24.2%, 18-64: 22%, 65 </w:t>
            </w:r>
            <w:r w:rsidRPr="00D341ED">
              <w:rPr>
                <w:rStyle w:val="Hyperlink"/>
                <w:color w:val="000000" w:themeColor="text1"/>
                <w:sz w:val="16"/>
                <w:szCs w:val="16"/>
                <w:lang w:val="en-GB"/>
              </w:rPr>
              <w:lastRenderedPageBreak/>
              <w:t>and above: 16.4%</w:t>
            </w:r>
            <w:r w:rsidR="005178E7" w:rsidRPr="00D341ED">
              <w:rPr>
                <w:rStyle w:val="Hyperlink"/>
                <w:color w:val="000000" w:themeColor="text1"/>
                <w:sz w:val="16"/>
                <w:szCs w:val="16"/>
                <w:lang w:val="en-GB"/>
              </w:rPr>
              <w:t xml:space="preserve">; </w:t>
            </w:r>
            <w:r w:rsidRPr="00D341ED">
              <w:rPr>
                <w:rStyle w:val="Hyperlink"/>
                <w:color w:val="000000" w:themeColor="text1"/>
                <w:sz w:val="16"/>
                <w:szCs w:val="16"/>
                <w:lang w:val="en-GB"/>
              </w:rPr>
              <w:t>Female:  21.3% Male: 22%</w:t>
            </w:r>
          </w:p>
          <w:p w14:paraId="63F6C4F4" w14:textId="77777777" w:rsidR="0090158F" w:rsidRPr="00D341ED" w:rsidRDefault="0090158F" w:rsidP="00475B8F">
            <w:pPr>
              <w:rPr>
                <w:rStyle w:val="Hyperlink"/>
                <w:color w:val="000000" w:themeColor="text1"/>
                <w:sz w:val="16"/>
                <w:szCs w:val="16"/>
                <w:lang w:val="en-GB"/>
              </w:rPr>
            </w:pPr>
            <w:r w:rsidRPr="00D341ED">
              <w:rPr>
                <w:b/>
                <w:color w:val="000000" w:themeColor="text1"/>
                <w:sz w:val="16"/>
                <w:szCs w:val="16"/>
                <w:lang w:val="en-GB"/>
              </w:rPr>
              <w:t>Target</w:t>
            </w:r>
            <w:r w:rsidRPr="00D341ED">
              <w:rPr>
                <w:bCs/>
                <w:color w:val="000000" w:themeColor="text1"/>
                <w:sz w:val="16"/>
                <w:szCs w:val="16"/>
                <w:lang w:val="en-GB"/>
              </w:rPr>
              <w:t xml:space="preserve"> (2030): </w:t>
            </w:r>
            <w:r w:rsidRPr="00D341ED">
              <w:rPr>
                <w:rStyle w:val="Hyperlink"/>
                <w:color w:val="000000" w:themeColor="text1"/>
                <w:sz w:val="16"/>
                <w:szCs w:val="16"/>
                <w:lang w:val="en-GB"/>
              </w:rPr>
              <w:t>Reduce by 20%</w:t>
            </w:r>
          </w:p>
          <w:p w14:paraId="0CEE9EB5" w14:textId="77777777" w:rsidR="0090158F" w:rsidRPr="00D341ED" w:rsidRDefault="0090158F" w:rsidP="00475B8F">
            <w:pPr>
              <w:rPr>
                <w:bCs/>
                <w:color w:val="000000" w:themeColor="text1"/>
                <w:sz w:val="16"/>
                <w:szCs w:val="16"/>
                <w:lang w:val="en-GB"/>
              </w:rPr>
            </w:pPr>
          </w:p>
          <w:p w14:paraId="394B45F8" w14:textId="779ACA55" w:rsidR="0090158F" w:rsidRPr="00D341ED" w:rsidRDefault="0090158F" w:rsidP="00475B8F">
            <w:pPr>
              <w:pStyle w:val="NormalWeb"/>
              <w:spacing w:before="0" w:beforeAutospacing="0" w:after="0" w:afterAutospacing="0"/>
              <w:rPr>
                <w:color w:val="000000" w:themeColor="text1"/>
                <w:sz w:val="16"/>
                <w:szCs w:val="16"/>
                <w:lang w:val="en-GB"/>
              </w:rPr>
            </w:pPr>
            <w:r w:rsidRPr="00D341ED">
              <w:rPr>
                <w:rStyle w:val="Hyperlink"/>
                <w:b/>
                <w:color w:val="000000" w:themeColor="text1"/>
                <w:sz w:val="16"/>
                <w:szCs w:val="16"/>
                <w:lang w:val="en-GB"/>
              </w:rPr>
              <w:t>3.2.</w:t>
            </w:r>
            <w:r w:rsidRPr="00D341ED">
              <w:rPr>
                <w:rStyle w:val="Hyperlink"/>
                <w:bCs/>
                <w:color w:val="000000" w:themeColor="text1"/>
                <w:sz w:val="16"/>
                <w:szCs w:val="16"/>
                <w:lang w:val="en-GB"/>
              </w:rPr>
              <w:t xml:space="preserve"> </w:t>
            </w:r>
            <w:r w:rsidRPr="00D341ED">
              <w:rPr>
                <w:color w:val="000000" w:themeColor="text1"/>
                <w:sz w:val="16"/>
                <w:szCs w:val="16"/>
                <w:lang w:val="en-GB"/>
              </w:rPr>
              <w:t>(</w:t>
            </w:r>
            <w:r w:rsidR="00D25565" w:rsidRPr="00D341ED">
              <w:rPr>
                <w:color w:val="000000" w:themeColor="text1"/>
                <w:sz w:val="16"/>
                <w:szCs w:val="16"/>
                <w:lang w:val="en-GB"/>
              </w:rPr>
              <w:t>UNSD</w:t>
            </w:r>
            <w:r w:rsidRPr="00D341ED">
              <w:rPr>
                <w:color w:val="000000" w:themeColor="text1"/>
                <w:sz w:val="16"/>
                <w:szCs w:val="16"/>
                <w:lang w:val="en-GB"/>
              </w:rPr>
              <w:t xml:space="preserve">CF </w:t>
            </w:r>
            <w:r w:rsidR="00D25565" w:rsidRPr="00D341ED">
              <w:rPr>
                <w:color w:val="000000" w:themeColor="text1"/>
                <w:sz w:val="16"/>
                <w:szCs w:val="16"/>
                <w:lang w:val="en-GB"/>
              </w:rPr>
              <w:t>i</w:t>
            </w:r>
            <w:r w:rsidRPr="00D341ED">
              <w:rPr>
                <w:color w:val="000000" w:themeColor="text1"/>
                <w:sz w:val="16"/>
                <w:szCs w:val="16"/>
                <w:lang w:val="en-GB"/>
              </w:rPr>
              <w:t xml:space="preserve">ndicator 3.2) </w:t>
            </w:r>
            <w:r w:rsidRPr="00D341ED">
              <w:rPr>
                <w:rStyle w:val="Hyperlink"/>
                <w:bCs/>
                <w:color w:val="000000" w:themeColor="text1"/>
                <w:sz w:val="16"/>
                <w:szCs w:val="16"/>
                <w:lang w:val="en-GB"/>
              </w:rPr>
              <w:t>[</w:t>
            </w:r>
            <w:r w:rsidRPr="00D341ED">
              <w:rPr>
                <w:rStyle w:val="Hyperlink"/>
                <w:color w:val="000000" w:themeColor="text1"/>
                <w:sz w:val="16"/>
                <w:szCs w:val="16"/>
                <w:lang w:val="en-GB"/>
              </w:rPr>
              <w:t>N</w:t>
            </w:r>
            <w:r w:rsidR="00E4380C" w:rsidRPr="00D341ED">
              <w:rPr>
                <w:rStyle w:val="Hyperlink"/>
                <w:color w:val="000000" w:themeColor="text1"/>
                <w:sz w:val="16"/>
                <w:szCs w:val="16"/>
                <w:lang w:val="en-GB"/>
              </w:rPr>
              <w:t xml:space="preserve">ational </w:t>
            </w:r>
            <w:r w:rsidRPr="00D341ED">
              <w:rPr>
                <w:rStyle w:val="Hyperlink"/>
                <w:color w:val="000000" w:themeColor="text1"/>
                <w:sz w:val="16"/>
                <w:szCs w:val="16"/>
                <w:lang w:val="en-GB"/>
              </w:rPr>
              <w:t>SDG 8.5.2] Unemployment rate, by sex, age and</w:t>
            </w:r>
            <w:r w:rsidR="00E4380C" w:rsidRPr="00D341ED">
              <w:rPr>
                <w:rStyle w:val="Hyperlink"/>
                <w:color w:val="000000" w:themeColor="text1"/>
                <w:sz w:val="16"/>
                <w:szCs w:val="16"/>
                <w:lang w:val="en-GB"/>
              </w:rPr>
              <w:t xml:space="preserve"> </w:t>
            </w:r>
            <w:r w:rsidR="00E4380C" w:rsidRPr="00D341ED">
              <w:rPr>
                <w:rStyle w:val="Hyperlink"/>
                <w:color w:val="auto"/>
                <w:sz w:val="16"/>
                <w:szCs w:val="16"/>
                <w:lang w:val="en-GB"/>
              </w:rPr>
              <w:t>persons with disabilities</w:t>
            </w:r>
            <w:r w:rsidRPr="00D341ED">
              <w:rPr>
                <w:color w:val="000000" w:themeColor="text1"/>
                <w:sz w:val="16"/>
                <w:szCs w:val="16"/>
                <w:lang w:val="en-GB"/>
              </w:rPr>
              <w:t xml:space="preserve"> </w:t>
            </w:r>
          </w:p>
          <w:p w14:paraId="47474876" w14:textId="77777777" w:rsidR="005178E7" w:rsidRPr="00D341ED" w:rsidRDefault="0090158F" w:rsidP="00475B8F">
            <w:pPr>
              <w:pStyle w:val="NormalWeb"/>
              <w:spacing w:before="0" w:beforeAutospacing="0" w:after="0" w:afterAutospacing="0"/>
              <w:rPr>
                <w:rStyle w:val="Hyperlink"/>
                <w:color w:val="000000" w:themeColor="text1"/>
                <w:sz w:val="16"/>
                <w:szCs w:val="16"/>
                <w:lang w:val="en-GB"/>
              </w:rPr>
            </w:pPr>
            <w:r w:rsidRPr="00D341ED">
              <w:rPr>
                <w:rStyle w:val="Hyperlink"/>
                <w:b/>
                <w:bCs/>
                <w:color w:val="000000" w:themeColor="text1"/>
                <w:sz w:val="16"/>
                <w:szCs w:val="16"/>
                <w:lang w:val="en-GB"/>
              </w:rPr>
              <w:t>Baseline</w:t>
            </w:r>
            <w:r w:rsidRPr="00D341ED">
              <w:rPr>
                <w:rStyle w:val="Hyperlink"/>
                <w:color w:val="000000" w:themeColor="text1"/>
                <w:sz w:val="16"/>
                <w:szCs w:val="16"/>
                <w:lang w:val="en-GB"/>
              </w:rPr>
              <w:t xml:space="preserve"> (2015): All: 14.1%; Female: 12.4%; Male: 15.6%; Age Groups: </w:t>
            </w:r>
          </w:p>
          <w:p w14:paraId="05BC6495" w14:textId="77777777" w:rsidR="005178E7" w:rsidRPr="00D341ED" w:rsidRDefault="0090158F" w:rsidP="00475B8F">
            <w:pPr>
              <w:pStyle w:val="NormalWeb"/>
              <w:spacing w:before="0" w:beforeAutospacing="0" w:after="0" w:afterAutospacing="0"/>
              <w:rPr>
                <w:rStyle w:val="Hyperlink"/>
                <w:color w:val="000000" w:themeColor="text1"/>
                <w:sz w:val="16"/>
                <w:szCs w:val="16"/>
                <w:lang w:val="en-GB"/>
              </w:rPr>
            </w:pPr>
            <w:r w:rsidRPr="00D341ED">
              <w:rPr>
                <w:rStyle w:val="Hyperlink"/>
                <w:color w:val="000000" w:themeColor="text1"/>
                <w:sz w:val="16"/>
                <w:szCs w:val="16"/>
                <w:lang w:val="en-GB"/>
              </w:rPr>
              <w:t>15-24: 33.8%, 25-34: 20.3%, 35-44: 15.2%, 45-54: 12.0%, 55-64: 8.2%,</w:t>
            </w:r>
          </w:p>
          <w:p w14:paraId="17C8081F" w14:textId="1437AB95" w:rsidR="0090158F" w:rsidRPr="00D341ED" w:rsidRDefault="005178E7" w:rsidP="00475B8F">
            <w:pPr>
              <w:pStyle w:val="NormalWeb"/>
              <w:spacing w:before="0" w:beforeAutospacing="0" w:after="0" w:afterAutospacing="0"/>
              <w:rPr>
                <w:rStyle w:val="Hyperlink"/>
                <w:color w:val="000000" w:themeColor="text1"/>
                <w:sz w:val="16"/>
                <w:szCs w:val="16"/>
                <w:lang w:val="en-GB"/>
              </w:rPr>
            </w:pPr>
            <w:r w:rsidRPr="00D341ED">
              <w:rPr>
                <w:rStyle w:val="Hyperlink"/>
                <w:color w:val="000000" w:themeColor="text1"/>
                <w:sz w:val="16"/>
                <w:szCs w:val="16"/>
                <w:lang w:val="en-GB"/>
              </w:rPr>
              <w:t xml:space="preserve">&gt; </w:t>
            </w:r>
            <w:r w:rsidR="0090158F" w:rsidRPr="00D341ED">
              <w:rPr>
                <w:rStyle w:val="Hyperlink"/>
                <w:color w:val="000000" w:themeColor="text1"/>
                <w:sz w:val="16"/>
                <w:szCs w:val="16"/>
                <w:lang w:val="en-GB"/>
              </w:rPr>
              <w:t xml:space="preserve">65: 1.1% </w:t>
            </w:r>
          </w:p>
          <w:p w14:paraId="6FEC5C9C" w14:textId="513A6832" w:rsidR="0090158F" w:rsidRPr="00D341ED" w:rsidRDefault="0090158F" w:rsidP="00475B8F">
            <w:pPr>
              <w:pStyle w:val="NormalWeb"/>
              <w:spacing w:before="0" w:beforeAutospacing="0" w:after="0" w:afterAutospacing="0"/>
              <w:rPr>
                <w:rStyle w:val="Hyperlink"/>
                <w:color w:val="000000" w:themeColor="text1"/>
                <w:sz w:val="16"/>
                <w:szCs w:val="16"/>
                <w:lang w:val="en-GB"/>
              </w:rPr>
            </w:pPr>
            <w:r w:rsidRPr="00D341ED">
              <w:rPr>
                <w:rStyle w:val="Hyperlink"/>
                <w:b/>
                <w:color w:val="000000" w:themeColor="text1"/>
                <w:sz w:val="16"/>
                <w:szCs w:val="16"/>
                <w:lang w:val="en-GB"/>
              </w:rPr>
              <w:t>Target</w:t>
            </w:r>
            <w:r w:rsidRPr="00D341ED">
              <w:rPr>
                <w:rStyle w:val="Hyperlink"/>
                <w:bCs/>
                <w:color w:val="000000" w:themeColor="text1"/>
                <w:sz w:val="16"/>
                <w:szCs w:val="16"/>
                <w:lang w:val="en-GB"/>
              </w:rPr>
              <w:t xml:space="preserve"> (</w:t>
            </w:r>
            <w:r w:rsidRPr="00D341ED">
              <w:rPr>
                <w:rStyle w:val="Hyperlink"/>
                <w:color w:val="000000" w:themeColor="text1"/>
                <w:sz w:val="16"/>
                <w:szCs w:val="16"/>
                <w:lang w:val="en-GB"/>
              </w:rPr>
              <w:t>2030): All: 9.5%</w:t>
            </w:r>
          </w:p>
          <w:p w14:paraId="59A9B439" w14:textId="77777777" w:rsidR="0090158F" w:rsidRPr="00D341ED" w:rsidRDefault="0090158F" w:rsidP="00475B8F">
            <w:pPr>
              <w:rPr>
                <w:rStyle w:val="Hyperlink"/>
                <w:bCs/>
                <w:color w:val="000000" w:themeColor="text1"/>
                <w:sz w:val="16"/>
                <w:szCs w:val="16"/>
                <w:lang w:val="en-GB"/>
              </w:rPr>
            </w:pPr>
          </w:p>
          <w:p w14:paraId="5E73C9BE" w14:textId="08510FF3" w:rsidR="0090158F" w:rsidRPr="00D341ED" w:rsidRDefault="0090158F" w:rsidP="00475B8F">
            <w:pPr>
              <w:rPr>
                <w:rStyle w:val="Hyperlink"/>
                <w:color w:val="000000" w:themeColor="text1"/>
                <w:sz w:val="16"/>
                <w:szCs w:val="16"/>
                <w:lang w:val="en-GB"/>
              </w:rPr>
            </w:pPr>
            <w:r w:rsidRPr="00D341ED">
              <w:rPr>
                <w:rStyle w:val="Hyperlink"/>
                <w:b/>
                <w:bCs/>
                <w:color w:val="000000" w:themeColor="text1"/>
                <w:sz w:val="16"/>
                <w:szCs w:val="16"/>
                <w:lang w:val="en-GB"/>
              </w:rPr>
              <w:t>3.3.</w:t>
            </w:r>
            <w:r w:rsidRPr="00D341ED">
              <w:rPr>
                <w:rStyle w:val="Hyperlink"/>
                <w:color w:val="000000" w:themeColor="text1"/>
                <w:sz w:val="16"/>
                <w:szCs w:val="16"/>
                <w:lang w:val="en-GB"/>
              </w:rPr>
              <w:t xml:space="preserve"> </w:t>
            </w:r>
            <w:r w:rsidRPr="00D341ED">
              <w:rPr>
                <w:color w:val="000000" w:themeColor="text1"/>
                <w:sz w:val="16"/>
                <w:szCs w:val="16"/>
                <w:lang w:val="en-GB"/>
              </w:rPr>
              <w:t>(</w:t>
            </w:r>
            <w:r w:rsidR="00E4380C" w:rsidRPr="00D341ED">
              <w:rPr>
                <w:color w:val="000000" w:themeColor="text1"/>
                <w:sz w:val="16"/>
                <w:szCs w:val="16"/>
                <w:lang w:val="en-GB"/>
              </w:rPr>
              <w:t>UNSD</w:t>
            </w:r>
            <w:r w:rsidRPr="00D341ED">
              <w:rPr>
                <w:color w:val="000000" w:themeColor="text1"/>
                <w:sz w:val="16"/>
                <w:szCs w:val="16"/>
                <w:lang w:val="en-GB"/>
              </w:rPr>
              <w:t xml:space="preserve">CF </w:t>
            </w:r>
            <w:r w:rsidR="00E4380C" w:rsidRPr="00D341ED">
              <w:rPr>
                <w:color w:val="000000" w:themeColor="text1"/>
                <w:sz w:val="16"/>
                <w:szCs w:val="16"/>
                <w:lang w:val="en-GB"/>
              </w:rPr>
              <w:t>i</w:t>
            </w:r>
            <w:r w:rsidRPr="00D341ED">
              <w:rPr>
                <w:color w:val="000000" w:themeColor="text1"/>
                <w:sz w:val="16"/>
                <w:szCs w:val="16"/>
                <w:lang w:val="en-GB"/>
              </w:rPr>
              <w:t xml:space="preserve">ndicator 3.3.1) </w:t>
            </w:r>
            <w:r w:rsidRPr="00D341ED">
              <w:rPr>
                <w:rStyle w:val="Hyperlink"/>
                <w:color w:val="000000" w:themeColor="text1"/>
                <w:sz w:val="16"/>
                <w:szCs w:val="16"/>
                <w:lang w:val="en-GB"/>
              </w:rPr>
              <w:t>[N</w:t>
            </w:r>
            <w:r w:rsidR="00E4380C" w:rsidRPr="00D341ED">
              <w:rPr>
                <w:rStyle w:val="Hyperlink"/>
                <w:color w:val="000000" w:themeColor="text1"/>
                <w:sz w:val="16"/>
                <w:szCs w:val="16"/>
                <w:lang w:val="en-GB"/>
              </w:rPr>
              <w:t xml:space="preserve">ational </w:t>
            </w:r>
            <w:r w:rsidRPr="00D341ED">
              <w:rPr>
                <w:rStyle w:val="Hyperlink"/>
                <w:color w:val="000000" w:themeColor="text1"/>
                <w:sz w:val="16"/>
                <w:szCs w:val="16"/>
                <w:lang w:val="en-GB"/>
              </w:rPr>
              <w:t>SDG 8.6.1] Proportion of youth (15-24 years) not in education, employment or training (NEET), by sex</w:t>
            </w:r>
          </w:p>
          <w:p w14:paraId="1B0F7277" w14:textId="0EAFD43C" w:rsidR="0090158F" w:rsidRPr="00D341ED" w:rsidRDefault="0090158F" w:rsidP="00475B8F">
            <w:pPr>
              <w:rPr>
                <w:rStyle w:val="Hyperlink"/>
                <w:color w:val="000000" w:themeColor="text1"/>
                <w:sz w:val="16"/>
                <w:szCs w:val="16"/>
                <w:lang w:val="en-GB"/>
              </w:rPr>
            </w:pPr>
            <w:r w:rsidRPr="00D341ED">
              <w:rPr>
                <w:rStyle w:val="Hyperlink"/>
                <w:b/>
                <w:bCs/>
                <w:color w:val="000000" w:themeColor="text1"/>
                <w:sz w:val="16"/>
                <w:szCs w:val="16"/>
                <w:lang w:val="en-GB"/>
              </w:rPr>
              <w:t>Baseline</w:t>
            </w:r>
            <w:r w:rsidRPr="00D341ED">
              <w:rPr>
                <w:rStyle w:val="Hyperlink"/>
                <w:color w:val="000000" w:themeColor="text1"/>
                <w:sz w:val="16"/>
                <w:szCs w:val="16"/>
                <w:lang w:val="en-GB"/>
              </w:rPr>
              <w:t xml:space="preserve"> (201</w:t>
            </w:r>
            <w:r w:rsidR="00441700" w:rsidRPr="00D341ED">
              <w:rPr>
                <w:rStyle w:val="Hyperlink"/>
                <w:color w:val="000000" w:themeColor="text1"/>
                <w:sz w:val="16"/>
                <w:szCs w:val="16"/>
                <w:lang w:val="en-GB"/>
              </w:rPr>
              <w:t>9</w:t>
            </w:r>
            <w:r w:rsidRPr="00D341ED">
              <w:rPr>
                <w:rStyle w:val="Hyperlink"/>
                <w:color w:val="000000" w:themeColor="text1"/>
                <w:sz w:val="16"/>
                <w:szCs w:val="16"/>
                <w:lang w:val="en-GB"/>
              </w:rPr>
              <w:t xml:space="preserve">): </w:t>
            </w:r>
            <w:r w:rsidR="00441700" w:rsidRPr="00D341ED">
              <w:rPr>
                <w:rStyle w:val="Hyperlink"/>
                <w:color w:val="000000" w:themeColor="text1"/>
                <w:sz w:val="16"/>
                <w:szCs w:val="16"/>
                <w:lang w:val="en-GB"/>
              </w:rPr>
              <w:t>30.6</w:t>
            </w:r>
            <w:r w:rsidRPr="00D341ED">
              <w:rPr>
                <w:rStyle w:val="Hyperlink"/>
                <w:color w:val="000000" w:themeColor="text1"/>
                <w:sz w:val="16"/>
                <w:szCs w:val="16"/>
                <w:lang w:val="en-GB"/>
              </w:rPr>
              <w:t>%</w:t>
            </w:r>
          </w:p>
          <w:p w14:paraId="3AA6FD0C" w14:textId="77777777" w:rsidR="0090158F" w:rsidRPr="00D341ED" w:rsidRDefault="0090158F" w:rsidP="00475B8F">
            <w:pPr>
              <w:rPr>
                <w:rStyle w:val="Hyperlink"/>
                <w:color w:val="000000" w:themeColor="text1"/>
                <w:sz w:val="16"/>
                <w:szCs w:val="16"/>
                <w:lang w:val="en-GB"/>
              </w:rPr>
            </w:pPr>
            <w:r w:rsidRPr="00D341ED">
              <w:rPr>
                <w:rStyle w:val="Hyperlink"/>
                <w:b/>
                <w:bCs/>
                <w:color w:val="000000" w:themeColor="text1"/>
                <w:sz w:val="16"/>
                <w:szCs w:val="16"/>
                <w:lang w:val="en-GB"/>
              </w:rPr>
              <w:t>Target</w:t>
            </w:r>
            <w:r w:rsidRPr="00D341ED">
              <w:rPr>
                <w:rStyle w:val="Hyperlink"/>
                <w:color w:val="000000" w:themeColor="text1"/>
                <w:sz w:val="16"/>
                <w:szCs w:val="16"/>
                <w:lang w:val="en-GB"/>
              </w:rPr>
              <w:t>: Reduce by 8%</w:t>
            </w:r>
          </w:p>
          <w:p w14:paraId="5B95CD12" w14:textId="77777777" w:rsidR="0090158F" w:rsidRPr="00D341ED" w:rsidRDefault="0090158F" w:rsidP="00475B8F">
            <w:pPr>
              <w:pStyle w:val="NormalWeb"/>
              <w:spacing w:before="0" w:beforeAutospacing="0" w:after="0" w:afterAutospacing="0"/>
              <w:rPr>
                <w:bCs/>
                <w:color w:val="000000" w:themeColor="text1"/>
                <w:sz w:val="16"/>
                <w:szCs w:val="16"/>
                <w:lang w:val="en-GB"/>
              </w:rPr>
            </w:pPr>
          </w:p>
        </w:tc>
        <w:tc>
          <w:tcPr>
            <w:tcW w:w="1178" w:type="pct"/>
            <w:vMerge w:val="restart"/>
            <w:shd w:val="clear" w:color="auto" w:fill="FFFFFF" w:themeFill="background1"/>
          </w:tcPr>
          <w:p w14:paraId="13CB595B" w14:textId="2DA1F956" w:rsidR="0090158F" w:rsidRPr="00D341ED" w:rsidRDefault="0090158F" w:rsidP="00BF2C3E">
            <w:pPr>
              <w:pStyle w:val="ListParagraph"/>
              <w:numPr>
                <w:ilvl w:val="0"/>
                <w:numId w:val="1"/>
              </w:numPr>
              <w:ind w:hanging="279"/>
              <w:rPr>
                <w:color w:val="000000" w:themeColor="text1"/>
                <w:sz w:val="16"/>
                <w:szCs w:val="16"/>
                <w:lang w:val="en-GB"/>
              </w:rPr>
            </w:pPr>
            <w:r w:rsidRPr="00D341ED">
              <w:rPr>
                <w:color w:val="000000" w:themeColor="text1"/>
                <w:sz w:val="16"/>
                <w:szCs w:val="16"/>
                <w:lang w:val="en-GB"/>
              </w:rPr>
              <w:lastRenderedPageBreak/>
              <w:t>3.1-3.3: GEOSTAT</w:t>
            </w:r>
          </w:p>
        </w:tc>
        <w:tc>
          <w:tcPr>
            <w:tcW w:w="1092" w:type="pct"/>
            <w:vMerge w:val="restart"/>
            <w:shd w:val="clear" w:color="auto" w:fill="FFFFFF" w:themeFill="background1"/>
            <w:tcMar>
              <w:top w:w="72" w:type="dxa"/>
              <w:left w:w="144" w:type="dxa"/>
              <w:bottom w:w="72" w:type="dxa"/>
              <w:right w:w="144" w:type="dxa"/>
            </w:tcMar>
          </w:tcPr>
          <w:p w14:paraId="388C613D" w14:textId="54B0BF08" w:rsidR="0090158F" w:rsidRPr="00D341ED" w:rsidRDefault="0090158F" w:rsidP="00475B8F">
            <w:pPr>
              <w:rPr>
                <w:color w:val="000000" w:themeColor="text1"/>
                <w:sz w:val="16"/>
                <w:szCs w:val="16"/>
                <w:lang w:val="en-GB"/>
              </w:rPr>
            </w:pPr>
            <w:bookmarkStart w:id="4" w:name="_Hlk54275411"/>
            <w:r w:rsidRPr="00D341ED">
              <w:rPr>
                <w:b/>
                <w:bCs/>
                <w:color w:val="000000" w:themeColor="text1"/>
                <w:sz w:val="16"/>
                <w:szCs w:val="16"/>
                <w:lang w:val="en-GB"/>
              </w:rPr>
              <w:t>Output 3.1</w:t>
            </w:r>
            <w:r w:rsidR="00E4380C" w:rsidRPr="00D341ED">
              <w:rPr>
                <w:b/>
                <w:bCs/>
                <w:color w:val="000000" w:themeColor="text1"/>
                <w:sz w:val="16"/>
                <w:szCs w:val="16"/>
                <w:lang w:val="en-GB"/>
              </w:rPr>
              <w:t>.</w:t>
            </w:r>
            <w:r w:rsidRPr="00D341ED">
              <w:rPr>
                <w:color w:val="000000" w:themeColor="text1"/>
                <w:sz w:val="16"/>
                <w:szCs w:val="16"/>
                <w:lang w:val="en-GB"/>
              </w:rPr>
              <w:t xml:space="preserve"> Improved competitiveness of private sector and labour force, especially youth and vulnerable </w:t>
            </w:r>
            <w:r w:rsidRPr="00D341ED">
              <w:rPr>
                <w:bCs/>
                <w:color w:val="000000" w:themeColor="text1"/>
                <w:sz w:val="16"/>
                <w:szCs w:val="16"/>
                <w:lang w:val="en-GB"/>
              </w:rPr>
              <w:t xml:space="preserve">groups </w:t>
            </w:r>
            <w:r w:rsidRPr="00D341ED">
              <w:rPr>
                <w:color w:val="000000" w:themeColor="text1"/>
                <w:sz w:val="16"/>
                <w:szCs w:val="16"/>
                <w:lang w:val="en-GB"/>
              </w:rPr>
              <w:t>through labour policy, private sector development, social responsibility and skills development</w:t>
            </w:r>
            <w:r w:rsidRPr="00D341ED">
              <w:rPr>
                <w:bCs/>
                <w:color w:val="000000" w:themeColor="text1"/>
                <w:sz w:val="16"/>
                <w:szCs w:val="16"/>
                <w:lang w:val="en-GB"/>
              </w:rPr>
              <w:t>.</w:t>
            </w:r>
            <w:r w:rsidRPr="00D341ED">
              <w:rPr>
                <w:color w:val="000000" w:themeColor="text1"/>
                <w:sz w:val="16"/>
                <w:szCs w:val="16"/>
                <w:lang w:val="en-GB"/>
              </w:rPr>
              <w:t xml:space="preserve"> </w:t>
            </w:r>
          </w:p>
          <w:bookmarkEnd w:id="4"/>
          <w:p w14:paraId="7C7B28A3" w14:textId="77777777" w:rsidR="0090158F" w:rsidRPr="00D341ED" w:rsidRDefault="0090158F" w:rsidP="00475B8F">
            <w:pPr>
              <w:rPr>
                <w:color w:val="000000" w:themeColor="text1"/>
                <w:sz w:val="16"/>
                <w:szCs w:val="16"/>
                <w:lang w:val="en-GB"/>
              </w:rPr>
            </w:pPr>
          </w:p>
          <w:p w14:paraId="1BD3005C" w14:textId="03035D7D" w:rsidR="0090158F" w:rsidRPr="00D341ED" w:rsidRDefault="0090158F" w:rsidP="00475B8F">
            <w:pPr>
              <w:pStyle w:val="ListParagraph"/>
              <w:numPr>
                <w:ilvl w:val="0"/>
                <w:numId w:val="12"/>
              </w:numPr>
              <w:ind w:left="417"/>
              <w:rPr>
                <w:bCs/>
                <w:color w:val="000000" w:themeColor="text1"/>
                <w:sz w:val="16"/>
                <w:szCs w:val="16"/>
                <w:lang w:val="en-GB"/>
              </w:rPr>
            </w:pPr>
            <w:r w:rsidRPr="00D341ED">
              <w:rPr>
                <w:b/>
                <w:color w:val="000000" w:themeColor="text1"/>
                <w:sz w:val="16"/>
                <w:szCs w:val="16"/>
                <w:lang w:val="en-GB"/>
              </w:rPr>
              <w:t>Indicator 3.1.1</w:t>
            </w:r>
            <w:r w:rsidR="00E4380C" w:rsidRPr="00D341ED">
              <w:rPr>
                <w:b/>
                <w:color w:val="000000" w:themeColor="text1"/>
                <w:sz w:val="16"/>
                <w:szCs w:val="16"/>
                <w:lang w:val="en-GB"/>
              </w:rPr>
              <w:t>.</w:t>
            </w:r>
            <w:r w:rsidRPr="00D341ED">
              <w:rPr>
                <w:bCs/>
                <w:color w:val="000000" w:themeColor="text1"/>
                <w:sz w:val="16"/>
                <w:szCs w:val="16"/>
                <w:lang w:val="en-GB"/>
              </w:rPr>
              <w:t xml:space="preserve"> Number of new services (advisory, finance </w:t>
            </w:r>
            <w:r w:rsidRPr="00D341ED">
              <w:rPr>
                <w:bCs/>
                <w:color w:val="000000" w:themeColor="text1"/>
                <w:sz w:val="16"/>
                <w:szCs w:val="16"/>
                <w:lang w:val="en-GB"/>
              </w:rPr>
              <w:lastRenderedPageBreak/>
              <w:t>instruments) introduced by public and private business development providers within business development and innovations ecosystem</w:t>
            </w:r>
            <w:r w:rsidR="00E4380C" w:rsidRPr="00D341ED">
              <w:rPr>
                <w:bCs/>
                <w:color w:val="000000" w:themeColor="text1"/>
                <w:sz w:val="16"/>
                <w:szCs w:val="16"/>
                <w:lang w:val="en-GB"/>
              </w:rPr>
              <w:t>,</w:t>
            </w:r>
            <w:r w:rsidRPr="00D341ED">
              <w:rPr>
                <w:bCs/>
                <w:color w:val="000000" w:themeColor="text1"/>
                <w:sz w:val="16"/>
                <w:szCs w:val="16"/>
                <w:lang w:val="en-GB"/>
              </w:rPr>
              <w:t xml:space="preserve"> including in regions          </w:t>
            </w:r>
          </w:p>
          <w:p w14:paraId="08C188BD" w14:textId="77777777" w:rsidR="0090158F" w:rsidRPr="00D341ED" w:rsidRDefault="0090158F" w:rsidP="00475B8F">
            <w:pPr>
              <w:pStyle w:val="ListParagraph"/>
              <w:ind w:left="417"/>
              <w:rPr>
                <w:bCs/>
                <w:color w:val="000000" w:themeColor="text1"/>
                <w:sz w:val="16"/>
                <w:szCs w:val="16"/>
                <w:lang w:val="en-GB"/>
              </w:rPr>
            </w:pPr>
            <w:r w:rsidRPr="00D341ED">
              <w:rPr>
                <w:b/>
                <w:color w:val="000000" w:themeColor="text1"/>
                <w:sz w:val="16"/>
                <w:szCs w:val="16"/>
                <w:lang w:val="en-GB"/>
              </w:rPr>
              <w:t>Baseline</w:t>
            </w:r>
            <w:r w:rsidRPr="00D341ED">
              <w:rPr>
                <w:bCs/>
                <w:color w:val="000000" w:themeColor="text1"/>
                <w:sz w:val="16"/>
                <w:szCs w:val="16"/>
                <w:lang w:val="en-GB"/>
              </w:rPr>
              <w:t xml:space="preserve"> (2020): Limited number of services </w:t>
            </w:r>
          </w:p>
          <w:p w14:paraId="03A780CC" w14:textId="77777777" w:rsidR="0090158F" w:rsidRPr="00D341ED" w:rsidRDefault="0090158F" w:rsidP="00475B8F">
            <w:pPr>
              <w:pStyle w:val="ListParagraph"/>
              <w:ind w:left="417"/>
              <w:rPr>
                <w:bCs/>
                <w:color w:val="000000" w:themeColor="text1"/>
                <w:sz w:val="16"/>
                <w:szCs w:val="16"/>
                <w:lang w:val="en-GB"/>
              </w:rPr>
            </w:pPr>
            <w:r w:rsidRPr="00D341ED">
              <w:rPr>
                <w:b/>
                <w:color w:val="000000" w:themeColor="text1"/>
                <w:sz w:val="16"/>
                <w:szCs w:val="16"/>
                <w:lang w:val="en-GB"/>
              </w:rPr>
              <w:t>Target</w:t>
            </w:r>
            <w:r w:rsidRPr="00D341ED">
              <w:rPr>
                <w:bCs/>
                <w:color w:val="000000" w:themeColor="text1"/>
                <w:sz w:val="16"/>
                <w:szCs w:val="16"/>
                <w:lang w:val="en-GB"/>
              </w:rPr>
              <w:t xml:space="preserve"> (2025): 4 new services </w:t>
            </w:r>
          </w:p>
          <w:p w14:paraId="4C04C62F" w14:textId="59E20C2B" w:rsidR="0090158F" w:rsidRPr="00D341ED" w:rsidRDefault="00E4380C" w:rsidP="00475B8F">
            <w:pPr>
              <w:pStyle w:val="ListParagraph"/>
              <w:ind w:left="417"/>
              <w:rPr>
                <w:bCs/>
                <w:color w:val="000000" w:themeColor="text1"/>
                <w:sz w:val="16"/>
                <w:szCs w:val="16"/>
                <w:lang w:val="en-GB"/>
              </w:rPr>
            </w:pPr>
            <w:r w:rsidRPr="00D341ED">
              <w:rPr>
                <w:b/>
                <w:color w:val="000000" w:themeColor="text1"/>
                <w:sz w:val="16"/>
                <w:szCs w:val="16"/>
                <w:lang w:val="en-GB"/>
              </w:rPr>
              <w:t>S</w:t>
            </w:r>
            <w:r w:rsidR="0090158F" w:rsidRPr="00D341ED">
              <w:rPr>
                <w:b/>
                <w:color w:val="000000" w:themeColor="text1"/>
                <w:sz w:val="16"/>
                <w:szCs w:val="16"/>
                <w:lang w:val="en-GB"/>
              </w:rPr>
              <w:t>ource</w:t>
            </w:r>
            <w:r w:rsidR="0090158F" w:rsidRPr="00D341ED">
              <w:rPr>
                <w:bCs/>
                <w:color w:val="000000" w:themeColor="text1"/>
                <w:sz w:val="16"/>
                <w:szCs w:val="16"/>
                <w:lang w:val="en-GB"/>
              </w:rPr>
              <w:t>: UNDP, annually</w:t>
            </w:r>
          </w:p>
          <w:p w14:paraId="6E33DC20" w14:textId="77777777" w:rsidR="0090158F" w:rsidRPr="00D341ED" w:rsidRDefault="0090158F" w:rsidP="00475B8F">
            <w:pPr>
              <w:ind w:left="417"/>
              <w:rPr>
                <w:bCs/>
                <w:color w:val="000000" w:themeColor="text1"/>
                <w:sz w:val="16"/>
                <w:szCs w:val="16"/>
                <w:lang w:val="en-GB"/>
              </w:rPr>
            </w:pPr>
          </w:p>
          <w:p w14:paraId="5690BCC6" w14:textId="4FF9A8F5" w:rsidR="0090158F" w:rsidRPr="00D341ED" w:rsidRDefault="0090158F" w:rsidP="00475B8F">
            <w:pPr>
              <w:pStyle w:val="ListParagraph"/>
              <w:numPr>
                <w:ilvl w:val="0"/>
                <w:numId w:val="12"/>
              </w:numPr>
              <w:ind w:left="417"/>
              <w:rPr>
                <w:rFonts w:eastAsia="Calibri"/>
                <w:bCs/>
                <w:color w:val="000000" w:themeColor="text1"/>
                <w:sz w:val="16"/>
                <w:szCs w:val="16"/>
                <w:lang w:val="en-GB"/>
              </w:rPr>
            </w:pPr>
            <w:r w:rsidRPr="00D341ED">
              <w:rPr>
                <w:b/>
                <w:color w:val="000000" w:themeColor="text1"/>
                <w:sz w:val="16"/>
                <w:szCs w:val="16"/>
                <w:lang w:val="en-GB"/>
              </w:rPr>
              <w:t>Indicator 3.1.2</w:t>
            </w:r>
            <w:r w:rsidR="00E4380C" w:rsidRPr="00D341ED">
              <w:rPr>
                <w:b/>
                <w:color w:val="000000" w:themeColor="text1"/>
                <w:sz w:val="16"/>
                <w:szCs w:val="16"/>
                <w:lang w:val="en-GB"/>
              </w:rPr>
              <w:t>.</w:t>
            </w:r>
            <w:r w:rsidRPr="00D341ED">
              <w:rPr>
                <w:color w:val="000000" w:themeColor="text1"/>
                <w:sz w:val="16"/>
                <w:szCs w:val="16"/>
                <w:lang w:val="en-GB"/>
              </w:rPr>
              <w:t xml:space="preserve"> </w:t>
            </w:r>
            <w:r w:rsidRPr="00D341ED">
              <w:rPr>
                <w:bCs/>
                <w:color w:val="000000" w:themeColor="text1"/>
                <w:sz w:val="16"/>
                <w:szCs w:val="16"/>
                <w:lang w:val="en-GB"/>
              </w:rPr>
              <w:t>Percent</w:t>
            </w:r>
            <w:r w:rsidR="00E4380C" w:rsidRPr="00D341ED">
              <w:rPr>
                <w:bCs/>
                <w:color w:val="000000" w:themeColor="text1"/>
                <w:sz w:val="16"/>
                <w:szCs w:val="16"/>
                <w:lang w:val="en-GB"/>
              </w:rPr>
              <w:t>age</w:t>
            </w:r>
            <w:r w:rsidRPr="00D341ED">
              <w:rPr>
                <w:bCs/>
                <w:color w:val="000000" w:themeColor="text1"/>
                <w:sz w:val="16"/>
                <w:szCs w:val="16"/>
                <w:lang w:val="en-GB"/>
              </w:rPr>
              <w:t xml:space="preserve"> of supported companies in selected sectors demonstrating at least 20% increased turnover or exports</w:t>
            </w:r>
            <w:r w:rsidRPr="00D341ED">
              <w:rPr>
                <w:rFonts w:eastAsia="Calibri"/>
                <w:bCs/>
                <w:color w:val="000000" w:themeColor="text1"/>
                <w:sz w:val="16"/>
                <w:szCs w:val="16"/>
                <w:lang w:val="en-GB"/>
              </w:rPr>
              <w:t xml:space="preserve"> </w:t>
            </w:r>
          </w:p>
          <w:p w14:paraId="09A6C93B"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 xml:space="preserve">Baseline </w:t>
            </w:r>
            <w:r w:rsidRPr="00D341ED">
              <w:rPr>
                <w:color w:val="000000" w:themeColor="text1"/>
                <w:sz w:val="16"/>
                <w:szCs w:val="16"/>
                <w:lang w:val="en-GB"/>
              </w:rPr>
              <w:t>(2020): 0%;</w:t>
            </w:r>
          </w:p>
          <w:p w14:paraId="5E8292FB"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50%;</w:t>
            </w:r>
          </w:p>
          <w:p w14:paraId="524D8A03" w14:textId="4E056C56" w:rsidR="0090158F" w:rsidRPr="00D341ED" w:rsidRDefault="00E4380C" w:rsidP="00475B8F">
            <w:pPr>
              <w:pStyle w:val="ListParagraph"/>
              <w:ind w:left="417"/>
              <w:rPr>
                <w:color w:val="000000" w:themeColor="text1"/>
                <w:sz w:val="16"/>
                <w:szCs w:val="16"/>
                <w:lang w:val="en-GB"/>
              </w:rPr>
            </w:pPr>
            <w:r w:rsidRPr="00D341ED">
              <w:rPr>
                <w:b/>
                <w:bCs/>
                <w:color w:val="000000" w:themeColor="text1"/>
                <w:sz w:val="16"/>
                <w:szCs w:val="16"/>
                <w:lang w:val="en-GB"/>
              </w:rPr>
              <w:t>S</w:t>
            </w:r>
            <w:r w:rsidR="0090158F" w:rsidRPr="00D341ED">
              <w:rPr>
                <w:b/>
                <w:bCs/>
                <w:color w:val="000000" w:themeColor="text1"/>
                <w:sz w:val="16"/>
                <w:szCs w:val="16"/>
                <w:lang w:val="en-GB"/>
              </w:rPr>
              <w:t>ource</w:t>
            </w:r>
            <w:r w:rsidR="0090158F" w:rsidRPr="00D341ED">
              <w:rPr>
                <w:color w:val="000000" w:themeColor="text1"/>
                <w:sz w:val="16"/>
                <w:szCs w:val="16"/>
                <w:lang w:val="en-GB"/>
              </w:rPr>
              <w:t>: UNDP, annually</w:t>
            </w:r>
          </w:p>
          <w:p w14:paraId="03B48556" w14:textId="77777777" w:rsidR="0090158F" w:rsidRPr="00D341ED" w:rsidRDefault="0090158F" w:rsidP="00475B8F">
            <w:pPr>
              <w:ind w:left="417"/>
              <w:rPr>
                <w:color w:val="000000" w:themeColor="text1"/>
                <w:sz w:val="16"/>
                <w:szCs w:val="16"/>
                <w:lang w:val="en-GB"/>
              </w:rPr>
            </w:pPr>
          </w:p>
          <w:p w14:paraId="3F6BEB77" w14:textId="7690F666" w:rsidR="0090158F" w:rsidRPr="00D341ED" w:rsidRDefault="0090158F" w:rsidP="00475B8F">
            <w:pPr>
              <w:pStyle w:val="ListParagraph"/>
              <w:numPr>
                <w:ilvl w:val="0"/>
                <w:numId w:val="12"/>
              </w:numPr>
              <w:ind w:left="417"/>
              <w:rPr>
                <w:color w:val="000000" w:themeColor="text1"/>
                <w:sz w:val="16"/>
                <w:szCs w:val="16"/>
                <w:lang w:val="en-GB"/>
              </w:rPr>
            </w:pPr>
            <w:r w:rsidRPr="00D341ED">
              <w:rPr>
                <w:b/>
                <w:color w:val="000000" w:themeColor="text1"/>
                <w:sz w:val="16"/>
                <w:szCs w:val="16"/>
                <w:lang w:val="en-GB"/>
              </w:rPr>
              <w:t>Indicator 3.1.3</w:t>
            </w:r>
            <w:r w:rsidR="00E4380C" w:rsidRPr="00D341ED">
              <w:rPr>
                <w:b/>
                <w:color w:val="000000" w:themeColor="text1"/>
                <w:sz w:val="16"/>
                <w:szCs w:val="16"/>
                <w:lang w:val="en-GB"/>
              </w:rPr>
              <w:t>.</w:t>
            </w:r>
            <w:r w:rsidRPr="00D341ED">
              <w:rPr>
                <w:bCs/>
                <w:color w:val="000000" w:themeColor="text1"/>
                <w:sz w:val="16"/>
                <w:szCs w:val="16"/>
                <w:lang w:val="en-GB"/>
              </w:rPr>
              <w:t xml:space="preserve"> </w:t>
            </w:r>
            <w:r w:rsidRPr="00D341ED">
              <w:rPr>
                <w:color w:val="000000" w:themeColor="text1"/>
                <w:sz w:val="16"/>
                <w:szCs w:val="16"/>
                <w:lang w:val="en-GB"/>
              </w:rPr>
              <w:t xml:space="preserve">Number of public-private partnerships providing </w:t>
            </w:r>
            <w:r w:rsidR="00E4380C" w:rsidRPr="00D341ED">
              <w:rPr>
                <w:color w:val="000000" w:themeColor="text1"/>
                <w:sz w:val="16"/>
                <w:szCs w:val="16"/>
                <w:lang w:val="en-GB"/>
              </w:rPr>
              <w:t>l</w:t>
            </w:r>
            <w:r w:rsidRPr="00D341ED">
              <w:rPr>
                <w:color w:val="000000" w:themeColor="text1"/>
                <w:sz w:val="16"/>
                <w:szCs w:val="16"/>
                <w:lang w:val="en-GB"/>
              </w:rPr>
              <w:t>ife</w:t>
            </w:r>
            <w:r w:rsidR="00E4380C" w:rsidRPr="00D341ED">
              <w:rPr>
                <w:color w:val="000000" w:themeColor="text1"/>
                <w:sz w:val="16"/>
                <w:szCs w:val="16"/>
                <w:lang w:val="en-GB"/>
              </w:rPr>
              <w:t>-l</w:t>
            </w:r>
            <w:r w:rsidRPr="00D341ED">
              <w:rPr>
                <w:color w:val="000000" w:themeColor="text1"/>
                <w:sz w:val="16"/>
                <w:szCs w:val="16"/>
                <w:lang w:val="en-GB"/>
              </w:rPr>
              <w:t xml:space="preserve">ong </w:t>
            </w:r>
            <w:r w:rsidR="00E4380C" w:rsidRPr="00D341ED">
              <w:rPr>
                <w:color w:val="000000" w:themeColor="text1"/>
                <w:sz w:val="16"/>
                <w:szCs w:val="16"/>
                <w:lang w:val="en-GB"/>
              </w:rPr>
              <w:t>l</w:t>
            </w:r>
            <w:r w:rsidRPr="00D341ED">
              <w:rPr>
                <w:color w:val="000000" w:themeColor="text1"/>
                <w:sz w:val="16"/>
                <w:szCs w:val="16"/>
                <w:lang w:val="en-GB"/>
              </w:rPr>
              <w:t>earning established</w:t>
            </w:r>
            <w:r w:rsidR="00E4380C" w:rsidRPr="00D341ED">
              <w:rPr>
                <w:color w:val="000000" w:themeColor="text1"/>
                <w:sz w:val="16"/>
                <w:szCs w:val="16"/>
                <w:lang w:val="en-GB"/>
              </w:rPr>
              <w:t>,</w:t>
            </w:r>
            <w:r w:rsidRPr="00D341ED">
              <w:rPr>
                <w:color w:val="000000" w:themeColor="text1"/>
                <w:sz w:val="16"/>
                <w:szCs w:val="16"/>
                <w:lang w:val="en-GB"/>
              </w:rPr>
              <w:t xml:space="preserve"> targeting vocational soft, digital/future and other skills</w:t>
            </w:r>
          </w:p>
          <w:p w14:paraId="2A35090D"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(2020): 0</w:t>
            </w:r>
          </w:p>
          <w:p w14:paraId="4FA902E0"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5 </w:t>
            </w:r>
          </w:p>
          <w:p w14:paraId="21E02C56"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UNDP, annually</w:t>
            </w:r>
          </w:p>
          <w:p w14:paraId="3011945E" w14:textId="77777777" w:rsidR="0090158F" w:rsidRPr="00D341ED" w:rsidRDefault="0090158F" w:rsidP="00475B8F">
            <w:pPr>
              <w:ind w:left="417"/>
              <w:rPr>
                <w:color w:val="000000" w:themeColor="text1"/>
                <w:sz w:val="16"/>
                <w:szCs w:val="16"/>
                <w:lang w:val="en-GB"/>
              </w:rPr>
            </w:pPr>
          </w:p>
          <w:p w14:paraId="2D75ABAC" w14:textId="48A09997" w:rsidR="0090158F" w:rsidRPr="00D341ED" w:rsidRDefault="0090158F" w:rsidP="00475B8F">
            <w:pPr>
              <w:pStyle w:val="ListParagraph"/>
              <w:numPr>
                <w:ilvl w:val="0"/>
                <w:numId w:val="12"/>
              </w:numPr>
              <w:ind w:left="417"/>
              <w:rPr>
                <w:color w:val="000000" w:themeColor="text1"/>
                <w:sz w:val="16"/>
                <w:szCs w:val="16"/>
                <w:lang w:val="en-GB"/>
              </w:rPr>
            </w:pPr>
            <w:bookmarkStart w:id="5" w:name="_Hlk54270239"/>
            <w:r w:rsidRPr="00D341ED">
              <w:rPr>
                <w:b/>
                <w:color w:val="000000" w:themeColor="text1"/>
                <w:sz w:val="16"/>
                <w:szCs w:val="16"/>
                <w:lang w:val="en-GB"/>
              </w:rPr>
              <w:t>Indicator 3.1.4</w:t>
            </w:r>
            <w:r w:rsidR="00E4380C" w:rsidRPr="00D341ED">
              <w:rPr>
                <w:b/>
                <w:color w:val="000000" w:themeColor="text1"/>
                <w:sz w:val="16"/>
                <w:szCs w:val="16"/>
                <w:lang w:val="en-GB"/>
              </w:rPr>
              <w:t>.</w:t>
            </w:r>
            <w:r w:rsidRPr="00D341ED">
              <w:rPr>
                <w:bCs/>
                <w:color w:val="000000" w:themeColor="text1"/>
                <w:sz w:val="16"/>
                <w:szCs w:val="16"/>
                <w:lang w:val="en-GB"/>
              </w:rPr>
              <w:t xml:space="preserve"> </w:t>
            </w:r>
            <w:r w:rsidRPr="00D341ED">
              <w:rPr>
                <w:color w:val="000000" w:themeColor="text1"/>
                <w:sz w:val="16"/>
                <w:szCs w:val="16"/>
                <w:lang w:val="en-GB"/>
              </w:rPr>
              <w:t>Number of targeted farmers receiving extension services that increase income by 15%</w:t>
            </w:r>
          </w:p>
          <w:p w14:paraId="1647B0F1"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(2020): 5,040 (30% women) </w:t>
            </w:r>
          </w:p>
          <w:p w14:paraId="575BBDA7" w14:textId="0216D9B3"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(2022) (incl. baseline): 9,200</w:t>
            </w:r>
            <w:r w:rsidR="005F4402" w:rsidRPr="00D341ED">
              <w:rPr>
                <w:color w:val="000000" w:themeColor="text1"/>
                <w:sz w:val="16"/>
                <w:szCs w:val="16"/>
                <w:lang w:val="en-GB"/>
              </w:rPr>
              <w:t xml:space="preserve"> </w:t>
            </w:r>
            <w:r w:rsidRPr="00D341ED">
              <w:rPr>
                <w:color w:val="000000" w:themeColor="text1"/>
                <w:sz w:val="16"/>
                <w:szCs w:val="16"/>
                <w:lang w:val="en-GB"/>
              </w:rPr>
              <w:t>(30% women).</w:t>
            </w:r>
          </w:p>
          <w:p w14:paraId="7587A108"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UNDP, annually</w:t>
            </w:r>
          </w:p>
          <w:bookmarkEnd w:id="5"/>
          <w:p w14:paraId="6F39A94A" w14:textId="77777777" w:rsidR="0090158F" w:rsidRPr="00D341ED" w:rsidRDefault="0090158F" w:rsidP="00475B8F">
            <w:pPr>
              <w:ind w:left="417"/>
              <w:rPr>
                <w:color w:val="000000" w:themeColor="text1"/>
                <w:sz w:val="16"/>
                <w:szCs w:val="16"/>
                <w:lang w:val="en-GB"/>
              </w:rPr>
            </w:pPr>
          </w:p>
          <w:p w14:paraId="12205F9E" w14:textId="78C9C813" w:rsidR="0090158F" w:rsidRPr="00D341ED" w:rsidRDefault="0090158F" w:rsidP="00475B8F">
            <w:pPr>
              <w:pStyle w:val="ListParagraph"/>
              <w:numPr>
                <w:ilvl w:val="0"/>
                <w:numId w:val="12"/>
              </w:numPr>
              <w:ind w:left="417"/>
              <w:rPr>
                <w:color w:val="000000" w:themeColor="text1"/>
                <w:sz w:val="16"/>
                <w:szCs w:val="16"/>
                <w:lang w:val="en-GB"/>
              </w:rPr>
            </w:pPr>
            <w:r w:rsidRPr="00D341ED">
              <w:rPr>
                <w:b/>
                <w:color w:val="000000" w:themeColor="text1"/>
                <w:sz w:val="16"/>
                <w:szCs w:val="16"/>
                <w:lang w:val="en-GB"/>
              </w:rPr>
              <w:t>Indicator 3.1.5</w:t>
            </w:r>
            <w:r w:rsidR="00E4380C" w:rsidRPr="00D341ED">
              <w:rPr>
                <w:b/>
                <w:color w:val="000000" w:themeColor="text1"/>
                <w:sz w:val="16"/>
                <w:szCs w:val="16"/>
                <w:lang w:val="en-GB"/>
              </w:rPr>
              <w:t>.</w:t>
            </w:r>
            <w:r w:rsidRPr="00D341ED">
              <w:rPr>
                <w:bCs/>
                <w:color w:val="000000" w:themeColor="text1"/>
                <w:sz w:val="16"/>
                <w:szCs w:val="16"/>
                <w:lang w:val="en-GB"/>
              </w:rPr>
              <w:t xml:space="preserve"> </w:t>
            </w:r>
            <w:r w:rsidRPr="00D341ED">
              <w:rPr>
                <w:color w:val="000000" w:themeColor="text1"/>
                <w:sz w:val="16"/>
                <w:szCs w:val="16"/>
                <w:lang w:val="en-GB"/>
              </w:rPr>
              <w:t>Percent</w:t>
            </w:r>
            <w:r w:rsidR="00E4380C" w:rsidRPr="00D341ED">
              <w:rPr>
                <w:color w:val="000000" w:themeColor="text1"/>
                <w:sz w:val="16"/>
                <w:szCs w:val="16"/>
                <w:lang w:val="en-GB"/>
              </w:rPr>
              <w:t>age</w:t>
            </w:r>
            <w:r w:rsidRPr="00D341ED">
              <w:rPr>
                <w:color w:val="000000" w:themeColor="text1"/>
                <w:sz w:val="16"/>
                <w:szCs w:val="16"/>
                <w:lang w:val="en-GB"/>
              </w:rPr>
              <w:t xml:space="preserve"> of public </w:t>
            </w:r>
            <w:r w:rsidR="00E4380C" w:rsidRPr="00D341ED">
              <w:rPr>
                <w:color w:val="000000" w:themeColor="text1"/>
                <w:sz w:val="16"/>
                <w:szCs w:val="16"/>
                <w:lang w:val="en-GB"/>
              </w:rPr>
              <w:t>vocational education and training (</w:t>
            </w:r>
            <w:r w:rsidRPr="00D341ED">
              <w:rPr>
                <w:color w:val="000000" w:themeColor="text1"/>
                <w:sz w:val="16"/>
                <w:szCs w:val="16"/>
                <w:lang w:val="en-GB"/>
              </w:rPr>
              <w:t>VET</w:t>
            </w:r>
            <w:r w:rsidR="00E4380C" w:rsidRPr="00D341ED">
              <w:rPr>
                <w:color w:val="000000" w:themeColor="text1"/>
                <w:sz w:val="16"/>
                <w:szCs w:val="16"/>
                <w:lang w:val="en-GB"/>
              </w:rPr>
              <w:t>)</w:t>
            </w:r>
            <w:r w:rsidRPr="00D341ED">
              <w:rPr>
                <w:color w:val="000000" w:themeColor="text1"/>
                <w:sz w:val="16"/>
                <w:szCs w:val="16"/>
                <w:lang w:val="en-GB"/>
              </w:rPr>
              <w:t xml:space="preserve"> college graduates employed/self-employed </w:t>
            </w:r>
          </w:p>
          <w:p w14:paraId="7F00DAE1"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(2018): 62%</w:t>
            </w:r>
          </w:p>
          <w:p w14:paraId="5ED9E990"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67%</w:t>
            </w:r>
          </w:p>
          <w:p w14:paraId="68E23504" w14:textId="51D6B24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xml:space="preserve">: </w:t>
            </w:r>
            <w:r w:rsidRPr="00D341ED">
              <w:rPr>
                <w:bCs/>
                <w:color w:val="000000" w:themeColor="text1"/>
                <w:sz w:val="16"/>
                <w:szCs w:val="16"/>
                <w:lang w:val="en-GB"/>
              </w:rPr>
              <w:t>MESCS</w:t>
            </w:r>
            <w:r w:rsidRPr="00D341ED">
              <w:rPr>
                <w:color w:val="000000" w:themeColor="text1"/>
                <w:sz w:val="16"/>
                <w:szCs w:val="16"/>
                <w:lang w:val="en-GB"/>
              </w:rPr>
              <w:t xml:space="preserve"> </w:t>
            </w:r>
            <w:r w:rsidR="008A0F78" w:rsidRPr="00D341ED">
              <w:rPr>
                <w:color w:val="000000" w:themeColor="text1"/>
                <w:sz w:val="16"/>
                <w:szCs w:val="16"/>
                <w:lang w:val="en-GB"/>
              </w:rPr>
              <w:t>t</w:t>
            </w:r>
            <w:r w:rsidRPr="00D341ED">
              <w:rPr>
                <w:color w:val="000000" w:themeColor="text1"/>
                <w:sz w:val="16"/>
                <w:szCs w:val="16"/>
                <w:lang w:val="en-GB"/>
              </w:rPr>
              <w:t xml:space="preserve">racer </w:t>
            </w:r>
            <w:r w:rsidR="008A0F78" w:rsidRPr="00D341ED">
              <w:rPr>
                <w:color w:val="000000" w:themeColor="text1"/>
                <w:sz w:val="16"/>
                <w:szCs w:val="16"/>
                <w:lang w:val="en-GB"/>
              </w:rPr>
              <w:t>s</w:t>
            </w:r>
            <w:r w:rsidRPr="00D341ED">
              <w:rPr>
                <w:color w:val="000000" w:themeColor="text1"/>
                <w:sz w:val="16"/>
                <w:szCs w:val="16"/>
                <w:lang w:val="en-GB"/>
              </w:rPr>
              <w:t>tudy, annually</w:t>
            </w:r>
          </w:p>
          <w:p w14:paraId="58E55813" w14:textId="7963DDDA" w:rsidR="0090158F" w:rsidRPr="00D341ED" w:rsidRDefault="0090158F" w:rsidP="00475B8F">
            <w:pPr>
              <w:pStyle w:val="ListParagraph"/>
              <w:numPr>
                <w:ilvl w:val="0"/>
                <w:numId w:val="12"/>
              </w:numPr>
              <w:ind w:left="421"/>
              <w:rPr>
                <w:color w:val="000000" w:themeColor="text1"/>
                <w:sz w:val="16"/>
                <w:szCs w:val="16"/>
                <w:lang w:val="en-GB"/>
              </w:rPr>
            </w:pPr>
            <w:bookmarkStart w:id="6" w:name="_Hlk54275298"/>
            <w:r w:rsidRPr="00D341ED">
              <w:rPr>
                <w:b/>
                <w:bCs/>
                <w:color w:val="000000" w:themeColor="text1"/>
                <w:sz w:val="16"/>
                <w:szCs w:val="16"/>
                <w:lang w:val="en-GB"/>
              </w:rPr>
              <w:lastRenderedPageBreak/>
              <w:t>Indicator 3.1.6</w:t>
            </w:r>
            <w:r w:rsidR="008A0F78" w:rsidRPr="00D341ED">
              <w:rPr>
                <w:b/>
                <w:bCs/>
                <w:color w:val="000000" w:themeColor="text1"/>
                <w:sz w:val="16"/>
                <w:szCs w:val="16"/>
                <w:lang w:val="en-GB"/>
              </w:rPr>
              <w:t>.</w:t>
            </w:r>
            <w:r w:rsidRPr="00D341ED">
              <w:rPr>
                <w:color w:val="000000" w:themeColor="text1"/>
                <w:sz w:val="16"/>
                <w:szCs w:val="16"/>
                <w:lang w:val="en-GB"/>
              </w:rPr>
              <w:t xml:space="preserve"> Number of companies supported to mitigate impact and recover from COVID-19 crisis </w:t>
            </w:r>
          </w:p>
          <w:p w14:paraId="7170AF02" w14:textId="77777777" w:rsidR="0090158F" w:rsidRPr="00D341ED" w:rsidRDefault="0090158F" w:rsidP="00475B8F">
            <w:pPr>
              <w:pStyle w:val="ListParagraph"/>
              <w:ind w:left="421"/>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(2020): 0</w:t>
            </w:r>
          </w:p>
          <w:p w14:paraId="0AF6E554" w14:textId="77777777" w:rsidR="0090158F" w:rsidRPr="00D341ED" w:rsidRDefault="0090158F" w:rsidP="00475B8F">
            <w:pPr>
              <w:pStyle w:val="ListParagraph"/>
              <w:ind w:left="421"/>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(2023): 60 companies </w:t>
            </w:r>
          </w:p>
          <w:p w14:paraId="3CC875E6" w14:textId="77777777" w:rsidR="0090158F" w:rsidRPr="00D341ED" w:rsidRDefault="0090158F" w:rsidP="00475B8F">
            <w:pPr>
              <w:pStyle w:val="NormalWeb"/>
              <w:spacing w:before="0" w:beforeAutospacing="0" w:after="0" w:afterAutospacing="0"/>
              <w:ind w:left="421"/>
              <w:rPr>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UNDP, annually</w:t>
            </w:r>
          </w:p>
          <w:bookmarkEnd w:id="6"/>
          <w:p w14:paraId="715FBCBD" w14:textId="77777777" w:rsidR="0090158F" w:rsidRPr="00D341ED" w:rsidRDefault="0090158F" w:rsidP="00475B8F">
            <w:pPr>
              <w:pStyle w:val="ListParagraph"/>
              <w:ind w:left="417"/>
              <w:rPr>
                <w:color w:val="000000" w:themeColor="text1"/>
                <w:sz w:val="16"/>
                <w:szCs w:val="16"/>
                <w:lang w:val="en-GB"/>
              </w:rPr>
            </w:pPr>
          </w:p>
          <w:p w14:paraId="0D42C4DA" w14:textId="77912FAF" w:rsidR="0090158F" w:rsidRPr="00D341ED" w:rsidRDefault="0090158F" w:rsidP="00475B8F">
            <w:pPr>
              <w:rPr>
                <w:bCs/>
                <w:color w:val="000000" w:themeColor="text1"/>
                <w:sz w:val="16"/>
                <w:szCs w:val="16"/>
                <w:lang w:val="en-GB"/>
              </w:rPr>
            </w:pPr>
            <w:bookmarkStart w:id="7" w:name="_Hlk54275460"/>
            <w:r w:rsidRPr="00D341ED">
              <w:rPr>
                <w:b/>
                <w:color w:val="000000" w:themeColor="text1"/>
                <w:sz w:val="16"/>
                <w:szCs w:val="16"/>
                <w:lang w:val="en-GB"/>
              </w:rPr>
              <w:t>Output 3.2</w:t>
            </w:r>
            <w:r w:rsidR="008A0F78" w:rsidRPr="00D341ED">
              <w:rPr>
                <w:b/>
                <w:color w:val="000000" w:themeColor="text1"/>
                <w:sz w:val="16"/>
                <w:szCs w:val="16"/>
                <w:lang w:val="en-GB"/>
              </w:rPr>
              <w:t>.</w:t>
            </w:r>
            <w:r w:rsidRPr="00D341ED">
              <w:rPr>
                <w:bCs/>
                <w:color w:val="000000" w:themeColor="text1"/>
                <w:sz w:val="16"/>
                <w:szCs w:val="16"/>
                <w:lang w:val="en-GB"/>
              </w:rPr>
              <w:t xml:space="preserve"> Sustainable and inclusive rural and agriculture development and improved livelihoods.</w:t>
            </w:r>
          </w:p>
          <w:bookmarkEnd w:id="7"/>
          <w:p w14:paraId="558694D8" w14:textId="77777777" w:rsidR="0090158F" w:rsidRPr="00D341ED" w:rsidRDefault="0090158F" w:rsidP="00475B8F">
            <w:pPr>
              <w:pStyle w:val="ListParagraph"/>
              <w:ind w:left="417"/>
              <w:rPr>
                <w:bCs/>
                <w:color w:val="000000" w:themeColor="text1"/>
                <w:sz w:val="16"/>
                <w:szCs w:val="16"/>
                <w:lang w:val="en-GB"/>
              </w:rPr>
            </w:pPr>
          </w:p>
          <w:p w14:paraId="270909E9" w14:textId="4BA80FDB" w:rsidR="0090158F" w:rsidRPr="00D341ED" w:rsidRDefault="0090158F" w:rsidP="00475B8F">
            <w:pPr>
              <w:pStyle w:val="ListParagraph"/>
              <w:numPr>
                <w:ilvl w:val="0"/>
                <w:numId w:val="12"/>
              </w:numPr>
              <w:ind w:left="417"/>
              <w:rPr>
                <w:color w:val="000000" w:themeColor="text1"/>
                <w:sz w:val="16"/>
                <w:szCs w:val="16"/>
                <w:lang w:val="en-GB"/>
              </w:rPr>
            </w:pPr>
            <w:r w:rsidRPr="00D341ED">
              <w:rPr>
                <w:b/>
                <w:color w:val="000000" w:themeColor="text1"/>
                <w:sz w:val="16"/>
                <w:szCs w:val="16"/>
                <w:lang w:val="en-GB"/>
              </w:rPr>
              <w:t>Indicator 3.2.1</w:t>
            </w:r>
            <w:r w:rsidR="008A0F78" w:rsidRPr="00D341ED">
              <w:rPr>
                <w:b/>
                <w:color w:val="000000" w:themeColor="text1"/>
                <w:sz w:val="16"/>
                <w:szCs w:val="16"/>
                <w:lang w:val="en-GB"/>
              </w:rPr>
              <w:t>.</w:t>
            </w:r>
            <w:r w:rsidRPr="00D341ED">
              <w:rPr>
                <w:color w:val="000000" w:themeColor="text1"/>
                <w:sz w:val="16"/>
                <w:szCs w:val="16"/>
                <w:lang w:val="en-GB"/>
              </w:rPr>
              <w:t xml:space="preserve"> Annual </w:t>
            </w:r>
            <w:r w:rsidR="008A0F78" w:rsidRPr="00D341ED">
              <w:rPr>
                <w:color w:val="000000" w:themeColor="text1"/>
                <w:sz w:val="16"/>
                <w:szCs w:val="16"/>
                <w:lang w:val="en-GB"/>
              </w:rPr>
              <w:t>a</w:t>
            </w:r>
            <w:r w:rsidRPr="00D341ED">
              <w:rPr>
                <w:color w:val="000000" w:themeColor="text1"/>
                <w:sz w:val="16"/>
                <w:szCs w:val="16"/>
                <w:lang w:val="en-GB"/>
              </w:rPr>
              <w:t xml:space="preserve">ction </w:t>
            </w:r>
            <w:r w:rsidR="008A0F78" w:rsidRPr="00D341ED">
              <w:rPr>
                <w:color w:val="000000" w:themeColor="text1"/>
                <w:sz w:val="16"/>
                <w:szCs w:val="16"/>
                <w:lang w:val="en-GB"/>
              </w:rPr>
              <w:t>p</w:t>
            </w:r>
            <w:r w:rsidRPr="00D341ED">
              <w:rPr>
                <w:color w:val="000000" w:themeColor="text1"/>
                <w:sz w:val="16"/>
                <w:szCs w:val="16"/>
                <w:lang w:val="en-GB"/>
              </w:rPr>
              <w:t xml:space="preserve">lans of </w:t>
            </w:r>
            <w:r w:rsidR="008A0F78" w:rsidRPr="00D341ED">
              <w:rPr>
                <w:color w:val="000000" w:themeColor="text1"/>
                <w:sz w:val="16"/>
                <w:szCs w:val="16"/>
                <w:lang w:val="en-GB"/>
              </w:rPr>
              <w:t>a</w:t>
            </w:r>
            <w:r w:rsidRPr="00D341ED">
              <w:rPr>
                <w:color w:val="000000" w:themeColor="text1"/>
                <w:sz w:val="16"/>
                <w:szCs w:val="16"/>
                <w:lang w:val="en-GB"/>
              </w:rPr>
              <w:t xml:space="preserve">griculture and </w:t>
            </w:r>
            <w:r w:rsidR="008A0F78" w:rsidRPr="00D341ED">
              <w:rPr>
                <w:color w:val="000000" w:themeColor="text1"/>
                <w:sz w:val="16"/>
                <w:szCs w:val="16"/>
                <w:lang w:val="en-GB"/>
              </w:rPr>
              <w:t>r</w:t>
            </w:r>
            <w:r w:rsidRPr="00D341ED">
              <w:rPr>
                <w:color w:val="000000" w:themeColor="text1"/>
                <w:sz w:val="16"/>
                <w:szCs w:val="16"/>
                <w:lang w:val="en-GB"/>
              </w:rPr>
              <w:t xml:space="preserve">ural </w:t>
            </w:r>
            <w:r w:rsidR="008A0F78" w:rsidRPr="00D341ED">
              <w:rPr>
                <w:color w:val="000000" w:themeColor="text1"/>
                <w:sz w:val="16"/>
                <w:szCs w:val="16"/>
                <w:lang w:val="en-GB"/>
              </w:rPr>
              <w:t>d</w:t>
            </w:r>
            <w:r w:rsidRPr="00D341ED">
              <w:rPr>
                <w:color w:val="000000" w:themeColor="text1"/>
                <w:sz w:val="16"/>
                <w:szCs w:val="16"/>
                <w:lang w:val="en-GB"/>
              </w:rPr>
              <w:t xml:space="preserve">evelopment </w:t>
            </w:r>
            <w:r w:rsidR="008A0F78" w:rsidRPr="00D341ED">
              <w:rPr>
                <w:color w:val="000000" w:themeColor="text1"/>
                <w:sz w:val="16"/>
                <w:szCs w:val="16"/>
                <w:lang w:val="en-GB"/>
              </w:rPr>
              <w:t>s</w:t>
            </w:r>
            <w:r w:rsidRPr="00D341ED">
              <w:rPr>
                <w:color w:val="000000" w:themeColor="text1"/>
                <w:sz w:val="16"/>
                <w:szCs w:val="16"/>
                <w:lang w:val="en-GB"/>
              </w:rPr>
              <w:t>trategy (ARDS)</w:t>
            </w:r>
            <w:r w:rsidR="008A0F78" w:rsidRPr="00D341ED">
              <w:rPr>
                <w:color w:val="000000" w:themeColor="text1"/>
                <w:sz w:val="16"/>
                <w:szCs w:val="16"/>
                <w:lang w:val="en-GB"/>
              </w:rPr>
              <w:t>,</w:t>
            </w:r>
            <w:r w:rsidRPr="00D341ED">
              <w:rPr>
                <w:color w:val="000000" w:themeColor="text1"/>
                <w:sz w:val="16"/>
                <w:szCs w:val="16"/>
                <w:lang w:val="en-GB"/>
              </w:rPr>
              <w:t xml:space="preserve"> 2021-2027</w:t>
            </w:r>
            <w:r w:rsidR="008A0F78" w:rsidRPr="00D341ED">
              <w:rPr>
                <w:color w:val="000000" w:themeColor="text1"/>
                <w:sz w:val="16"/>
                <w:szCs w:val="16"/>
                <w:lang w:val="en-GB"/>
              </w:rPr>
              <w:t>,</w:t>
            </w:r>
            <w:r w:rsidRPr="00D341ED">
              <w:rPr>
                <w:color w:val="000000" w:themeColor="text1"/>
                <w:sz w:val="16"/>
                <w:szCs w:val="16"/>
                <w:lang w:val="en-GB"/>
              </w:rPr>
              <w:t xml:space="preserve"> per</w:t>
            </w:r>
            <w:r w:rsidR="008A0F78" w:rsidRPr="00D341ED">
              <w:rPr>
                <w:color w:val="000000" w:themeColor="text1"/>
                <w:sz w:val="16"/>
                <w:szCs w:val="16"/>
                <w:lang w:val="en-GB"/>
              </w:rPr>
              <w:t xml:space="preserve"> </w:t>
            </w:r>
            <w:r w:rsidRPr="00D341ED">
              <w:rPr>
                <w:color w:val="000000" w:themeColor="text1"/>
                <w:sz w:val="16"/>
                <w:szCs w:val="16"/>
                <w:lang w:val="en-GB"/>
              </w:rPr>
              <w:t>cent implemented</w:t>
            </w:r>
          </w:p>
          <w:p w14:paraId="20CDECF0" w14:textId="130B3904"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0</w:t>
            </w:r>
            <w:r w:rsidR="00F514FC" w:rsidRPr="00D341ED">
              <w:rPr>
                <w:color w:val="000000" w:themeColor="text1"/>
                <w:sz w:val="16"/>
                <w:szCs w:val="16"/>
                <w:lang w:val="en-GB"/>
              </w:rPr>
              <w:t>%</w:t>
            </w:r>
          </w:p>
          <w:p w14:paraId="17077CFF"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70% annually</w:t>
            </w:r>
          </w:p>
          <w:p w14:paraId="1552F2E5" w14:textId="700A3EF8" w:rsidR="0090158F" w:rsidRPr="00D341ED" w:rsidRDefault="0090158F" w:rsidP="00475B8F">
            <w:pPr>
              <w:pStyle w:val="ListParagraph"/>
              <w:ind w:left="417"/>
              <w:rPr>
                <w:bCs/>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xml:space="preserve">: Annual </w:t>
            </w:r>
            <w:r w:rsidR="008A0F78" w:rsidRPr="00D341ED">
              <w:rPr>
                <w:color w:val="000000" w:themeColor="text1"/>
                <w:sz w:val="16"/>
                <w:szCs w:val="16"/>
                <w:lang w:val="en-GB"/>
              </w:rPr>
              <w:t>i</w:t>
            </w:r>
            <w:r w:rsidRPr="00D341ED">
              <w:rPr>
                <w:color w:val="000000" w:themeColor="text1"/>
                <w:sz w:val="16"/>
                <w:szCs w:val="16"/>
                <w:lang w:val="en-GB"/>
              </w:rPr>
              <w:t xml:space="preserve">mplementation </w:t>
            </w:r>
            <w:r w:rsidR="008A0F78" w:rsidRPr="00D341ED">
              <w:rPr>
                <w:color w:val="000000" w:themeColor="text1"/>
                <w:sz w:val="16"/>
                <w:szCs w:val="16"/>
                <w:lang w:val="en-GB"/>
              </w:rPr>
              <w:t>r</w:t>
            </w:r>
            <w:r w:rsidRPr="00D341ED">
              <w:rPr>
                <w:color w:val="000000" w:themeColor="text1"/>
                <w:sz w:val="16"/>
                <w:szCs w:val="16"/>
                <w:lang w:val="en-GB"/>
              </w:rPr>
              <w:t>eports, annually</w:t>
            </w:r>
          </w:p>
          <w:p w14:paraId="2A3CEDC5" w14:textId="77777777" w:rsidR="0090158F" w:rsidRPr="00D341ED" w:rsidRDefault="0090158F" w:rsidP="00475B8F">
            <w:pPr>
              <w:ind w:left="417"/>
              <w:rPr>
                <w:bCs/>
                <w:color w:val="000000" w:themeColor="text1"/>
                <w:sz w:val="16"/>
                <w:szCs w:val="16"/>
                <w:lang w:val="en-GB"/>
              </w:rPr>
            </w:pPr>
          </w:p>
          <w:p w14:paraId="7E7A6957" w14:textId="55504E7C" w:rsidR="0090158F" w:rsidRPr="00D341ED" w:rsidRDefault="0090158F" w:rsidP="00475B8F">
            <w:pPr>
              <w:pStyle w:val="ListParagraph"/>
              <w:numPr>
                <w:ilvl w:val="0"/>
                <w:numId w:val="12"/>
              </w:numPr>
              <w:ind w:left="417"/>
              <w:rPr>
                <w:color w:val="000000" w:themeColor="text1"/>
                <w:sz w:val="16"/>
                <w:szCs w:val="16"/>
                <w:lang w:val="en-GB"/>
              </w:rPr>
            </w:pPr>
            <w:r w:rsidRPr="00D341ED">
              <w:rPr>
                <w:b/>
                <w:color w:val="000000" w:themeColor="text1"/>
                <w:sz w:val="16"/>
                <w:szCs w:val="16"/>
                <w:lang w:val="en-GB"/>
              </w:rPr>
              <w:t>Indicator 3.2.2</w:t>
            </w:r>
            <w:r w:rsidR="008A0F78" w:rsidRPr="00D341ED">
              <w:rPr>
                <w:b/>
                <w:color w:val="000000" w:themeColor="text1"/>
                <w:sz w:val="16"/>
                <w:szCs w:val="16"/>
                <w:lang w:val="en-GB"/>
              </w:rPr>
              <w:t>.</w:t>
            </w:r>
            <w:r w:rsidRPr="00D341ED">
              <w:rPr>
                <w:bCs/>
                <w:color w:val="000000" w:themeColor="text1"/>
                <w:sz w:val="16"/>
                <w:szCs w:val="16"/>
                <w:lang w:val="en-GB"/>
              </w:rPr>
              <w:t xml:space="preserve"> </w:t>
            </w:r>
            <w:r w:rsidRPr="00D341ED">
              <w:rPr>
                <w:color w:val="000000" w:themeColor="text1"/>
                <w:sz w:val="16"/>
                <w:szCs w:val="16"/>
                <w:lang w:val="en-GB"/>
              </w:rPr>
              <w:t xml:space="preserve">Number of newly created official jobs in supported rural non-farm enterprises in selected regions </w:t>
            </w:r>
          </w:p>
          <w:p w14:paraId="39283973"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(2020): 0</w:t>
            </w:r>
          </w:p>
          <w:p w14:paraId="5730BA95"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300</w:t>
            </w:r>
          </w:p>
          <w:p w14:paraId="0372BCC0" w14:textId="381648AA" w:rsidR="0090158F" w:rsidRPr="00D341ED" w:rsidRDefault="008A0F78" w:rsidP="00475B8F">
            <w:pPr>
              <w:pStyle w:val="ListParagraph"/>
              <w:ind w:left="417"/>
              <w:rPr>
                <w:color w:val="000000" w:themeColor="text1"/>
                <w:sz w:val="16"/>
                <w:szCs w:val="16"/>
                <w:lang w:val="en-GB"/>
              </w:rPr>
            </w:pPr>
            <w:r w:rsidRPr="00D341ED">
              <w:rPr>
                <w:b/>
                <w:bCs/>
                <w:color w:val="000000" w:themeColor="text1"/>
                <w:sz w:val="16"/>
                <w:szCs w:val="16"/>
                <w:lang w:val="en-GB"/>
              </w:rPr>
              <w:t>S</w:t>
            </w:r>
            <w:r w:rsidR="0090158F" w:rsidRPr="00D341ED">
              <w:rPr>
                <w:b/>
                <w:bCs/>
                <w:color w:val="000000" w:themeColor="text1"/>
                <w:sz w:val="16"/>
                <w:szCs w:val="16"/>
                <w:lang w:val="en-GB"/>
              </w:rPr>
              <w:t>ource</w:t>
            </w:r>
            <w:r w:rsidR="0090158F" w:rsidRPr="00D341ED">
              <w:rPr>
                <w:color w:val="000000" w:themeColor="text1"/>
                <w:sz w:val="16"/>
                <w:szCs w:val="16"/>
                <w:lang w:val="en-GB"/>
              </w:rPr>
              <w:t>: UNDP, Agriculture and Rural Development Agency records, annually</w:t>
            </w:r>
          </w:p>
          <w:p w14:paraId="63BFC453" w14:textId="77777777" w:rsidR="0090158F" w:rsidRPr="00D341ED" w:rsidRDefault="0090158F" w:rsidP="00475B8F">
            <w:pPr>
              <w:ind w:left="417"/>
              <w:rPr>
                <w:bCs/>
                <w:color w:val="000000" w:themeColor="text1"/>
                <w:sz w:val="16"/>
                <w:szCs w:val="16"/>
                <w:lang w:val="en-GB"/>
              </w:rPr>
            </w:pPr>
          </w:p>
          <w:p w14:paraId="4EDB954B" w14:textId="49EE7D05" w:rsidR="0090158F" w:rsidRPr="00D341ED" w:rsidRDefault="0090158F" w:rsidP="00475B8F">
            <w:pPr>
              <w:pStyle w:val="ListParagraph"/>
              <w:numPr>
                <w:ilvl w:val="0"/>
                <w:numId w:val="12"/>
              </w:numPr>
              <w:ind w:left="417"/>
              <w:rPr>
                <w:color w:val="000000" w:themeColor="text1"/>
                <w:sz w:val="16"/>
                <w:szCs w:val="16"/>
                <w:lang w:val="en-GB"/>
              </w:rPr>
            </w:pPr>
            <w:r w:rsidRPr="00D341ED">
              <w:rPr>
                <w:b/>
                <w:color w:val="000000" w:themeColor="text1"/>
                <w:sz w:val="16"/>
                <w:szCs w:val="16"/>
                <w:lang w:val="en-GB"/>
              </w:rPr>
              <w:t>Indicator 3.2.3</w:t>
            </w:r>
            <w:r w:rsidR="008A0F78" w:rsidRPr="00D341ED">
              <w:rPr>
                <w:b/>
                <w:color w:val="000000" w:themeColor="text1"/>
                <w:sz w:val="16"/>
                <w:szCs w:val="16"/>
                <w:lang w:val="en-GB"/>
              </w:rPr>
              <w:t>.</w:t>
            </w:r>
            <w:r w:rsidRPr="00D341ED">
              <w:rPr>
                <w:bCs/>
                <w:color w:val="000000" w:themeColor="text1"/>
                <w:sz w:val="16"/>
                <w:szCs w:val="16"/>
                <w:lang w:val="en-GB"/>
              </w:rPr>
              <w:t xml:space="preserve"> </w:t>
            </w:r>
            <w:r w:rsidRPr="00D341ED">
              <w:rPr>
                <w:color w:val="000000" w:themeColor="text1"/>
                <w:sz w:val="16"/>
                <w:szCs w:val="16"/>
                <w:lang w:val="en-GB"/>
              </w:rPr>
              <w:t>Number of forest and protected area hectares under sustainable and climate-resilient management benefitting targe</w:t>
            </w:r>
            <w:r w:rsidRPr="00D341ED">
              <w:rPr>
                <w:color w:val="000000" w:themeColor="text1"/>
                <w:sz w:val="16"/>
                <w:szCs w:val="16"/>
                <w:lang w:val="en-GB"/>
              </w:rPr>
              <w:softHyphen/>
            </w:r>
            <w:r w:rsidRPr="00D341ED">
              <w:rPr>
                <w:color w:val="000000" w:themeColor="text1"/>
                <w:sz w:val="16"/>
                <w:szCs w:val="16"/>
                <w:lang w:val="en-GB"/>
              </w:rPr>
              <w:softHyphen/>
              <w:t>ted rural population</w:t>
            </w:r>
          </w:p>
          <w:p w14:paraId="58FB42B9"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(2017): 0 </w:t>
            </w:r>
          </w:p>
          <w:p w14:paraId="3A3BA34D"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(2022): 420,000 ha (2022)</w:t>
            </w:r>
          </w:p>
          <w:p w14:paraId="1CF490A0" w14:textId="5D3F0BCC" w:rsidR="0090158F" w:rsidRPr="00D341ED" w:rsidRDefault="008A0F78" w:rsidP="00475B8F">
            <w:pPr>
              <w:pStyle w:val="ListParagraph"/>
              <w:ind w:left="417"/>
              <w:rPr>
                <w:color w:val="000000" w:themeColor="text1"/>
                <w:sz w:val="16"/>
                <w:szCs w:val="16"/>
                <w:lang w:val="en-GB"/>
              </w:rPr>
            </w:pPr>
            <w:r w:rsidRPr="00D341ED">
              <w:rPr>
                <w:b/>
                <w:bCs/>
                <w:color w:val="000000" w:themeColor="text1"/>
                <w:sz w:val="16"/>
                <w:szCs w:val="16"/>
                <w:lang w:val="en-GB"/>
              </w:rPr>
              <w:t>S</w:t>
            </w:r>
            <w:r w:rsidR="0090158F" w:rsidRPr="00D341ED">
              <w:rPr>
                <w:b/>
                <w:bCs/>
                <w:color w:val="000000" w:themeColor="text1"/>
                <w:sz w:val="16"/>
                <w:szCs w:val="16"/>
                <w:lang w:val="en-GB"/>
              </w:rPr>
              <w:t>ource</w:t>
            </w:r>
            <w:r w:rsidR="0090158F" w:rsidRPr="00D341ED">
              <w:rPr>
                <w:color w:val="000000" w:themeColor="text1"/>
                <w:sz w:val="16"/>
                <w:szCs w:val="16"/>
                <w:lang w:val="en-GB"/>
              </w:rPr>
              <w:t>: MEPA, annually</w:t>
            </w:r>
          </w:p>
          <w:p w14:paraId="6D5D00D2" w14:textId="77777777" w:rsidR="0090158F" w:rsidRPr="00D341ED" w:rsidRDefault="0090158F" w:rsidP="00475B8F">
            <w:pPr>
              <w:ind w:left="417"/>
              <w:rPr>
                <w:color w:val="000000" w:themeColor="text1"/>
                <w:sz w:val="16"/>
                <w:szCs w:val="16"/>
                <w:lang w:val="en-GB"/>
              </w:rPr>
            </w:pPr>
          </w:p>
          <w:p w14:paraId="23F5690F" w14:textId="56B468ED" w:rsidR="0090158F" w:rsidRPr="00D341ED" w:rsidRDefault="0090158F" w:rsidP="00475B8F">
            <w:pPr>
              <w:pStyle w:val="ListParagraph"/>
              <w:numPr>
                <w:ilvl w:val="0"/>
                <w:numId w:val="12"/>
              </w:numPr>
              <w:ind w:left="417"/>
              <w:rPr>
                <w:color w:val="000000" w:themeColor="text1"/>
                <w:sz w:val="16"/>
                <w:szCs w:val="16"/>
                <w:lang w:val="en-GB"/>
              </w:rPr>
            </w:pPr>
            <w:r w:rsidRPr="00D341ED">
              <w:rPr>
                <w:b/>
                <w:color w:val="000000" w:themeColor="text1"/>
                <w:sz w:val="16"/>
                <w:szCs w:val="16"/>
                <w:lang w:val="en-GB"/>
              </w:rPr>
              <w:t>Indicator 3.2.4</w:t>
            </w:r>
            <w:r w:rsidR="008A0F78" w:rsidRPr="00D341ED">
              <w:rPr>
                <w:b/>
                <w:color w:val="000000" w:themeColor="text1"/>
                <w:sz w:val="16"/>
                <w:szCs w:val="16"/>
                <w:lang w:val="en-GB"/>
              </w:rPr>
              <w:t>.</w:t>
            </w:r>
            <w:r w:rsidRPr="00D341ED">
              <w:rPr>
                <w:bCs/>
                <w:color w:val="000000" w:themeColor="text1"/>
                <w:sz w:val="16"/>
                <w:szCs w:val="16"/>
                <w:lang w:val="en-GB"/>
              </w:rPr>
              <w:t xml:space="preserve"> </w:t>
            </w:r>
            <w:r w:rsidRPr="00D341ED">
              <w:rPr>
                <w:color w:val="000000" w:themeColor="text1"/>
                <w:sz w:val="16"/>
                <w:szCs w:val="16"/>
                <w:lang w:val="en-GB"/>
              </w:rPr>
              <w:t xml:space="preserve">Number of businesses and households benefitting from energy efficiency, renewable energy, digital and other technologies </w:t>
            </w:r>
          </w:p>
          <w:p w14:paraId="18CC262A"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(2020): 0</w:t>
            </w:r>
          </w:p>
          <w:p w14:paraId="6AE0D832"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lastRenderedPageBreak/>
              <w:t>Target</w:t>
            </w:r>
            <w:r w:rsidRPr="00D341ED">
              <w:rPr>
                <w:color w:val="000000" w:themeColor="text1"/>
                <w:sz w:val="16"/>
                <w:szCs w:val="16"/>
                <w:lang w:val="en-GB"/>
              </w:rPr>
              <w:t xml:space="preserve"> (2025): 300 businesses and households</w:t>
            </w:r>
          </w:p>
          <w:p w14:paraId="0CC15BC8" w14:textId="0551C19F" w:rsidR="0090158F" w:rsidRPr="00D341ED" w:rsidRDefault="008A0F78" w:rsidP="00475B8F">
            <w:pPr>
              <w:pStyle w:val="ListParagraph"/>
              <w:ind w:left="417"/>
              <w:rPr>
                <w:bCs/>
                <w:color w:val="000000" w:themeColor="text1"/>
                <w:sz w:val="16"/>
                <w:szCs w:val="16"/>
                <w:lang w:val="en-GB"/>
              </w:rPr>
            </w:pPr>
            <w:r w:rsidRPr="00D341ED">
              <w:rPr>
                <w:b/>
                <w:bCs/>
                <w:color w:val="000000" w:themeColor="text1"/>
                <w:sz w:val="16"/>
                <w:szCs w:val="16"/>
                <w:lang w:val="en-GB"/>
              </w:rPr>
              <w:t>S</w:t>
            </w:r>
            <w:r w:rsidR="0090158F" w:rsidRPr="00D341ED">
              <w:rPr>
                <w:b/>
                <w:bCs/>
                <w:color w:val="000000" w:themeColor="text1"/>
                <w:sz w:val="16"/>
                <w:szCs w:val="16"/>
                <w:lang w:val="en-GB"/>
              </w:rPr>
              <w:t>ource</w:t>
            </w:r>
            <w:r w:rsidR="0090158F" w:rsidRPr="00D341ED">
              <w:rPr>
                <w:color w:val="000000" w:themeColor="text1"/>
                <w:sz w:val="16"/>
                <w:szCs w:val="16"/>
                <w:lang w:val="en-GB"/>
              </w:rPr>
              <w:t>: UNDP, annually</w:t>
            </w:r>
          </w:p>
        </w:tc>
        <w:tc>
          <w:tcPr>
            <w:tcW w:w="675" w:type="pct"/>
            <w:vMerge w:val="restart"/>
            <w:shd w:val="clear" w:color="auto" w:fill="FFFFFF" w:themeFill="background1"/>
          </w:tcPr>
          <w:p w14:paraId="7B6F77AD" w14:textId="77777777" w:rsidR="0090158F" w:rsidRPr="00D341ED" w:rsidRDefault="0090158F" w:rsidP="00475B8F">
            <w:pPr>
              <w:rPr>
                <w:bCs/>
                <w:color w:val="000000" w:themeColor="text1"/>
                <w:sz w:val="16"/>
                <w:szCs w:val="16"/>
                <w:lang w:val="en-GB"/>
              </w:rPr>
            </w:pPr>
            <w:r w:rsidRPr="00D341ED">
              <w:rPr>
                <w:bCs/>
                <w:color w:val="000000" w:themeColor="text1"/>
                <w:sz w:val="16"/>
                <w:szCs w:val="16"/>
                <w:lang w:val="en-GB"/>
              </w:rPr>
              <w:lastRenderedPageBreak/>
              <w:t>MEPA, MESD; Ministry of Education, Science, Culture and Sport (MESCS); business organizations; trade unions; professional organizations;</w:t>
            </w:r>
          </w:p>
          <w:p w14:paraId="059F3D97" w14:textId="7E4F170A" w:rsidR="0090158F" w:rsidRPr="00D341ED" w:rsidRDefault="0090158F" w:rsidP="00475B8F">
            <w:pPr>
              <w:rPr>
                <w:bCs/>
                <w:color w:val="000000" w:themeColor="text1"/>
                <w:sz w:val="16"/>
                <w:szCs w:val="16"/>
                <w:lang w:val="en-GB"/>
              </w:rPr>
            </w:pPr>
            <w:r w:rsidRPr="00D341ED">
              <w:rPr>
                <w:bCs/>
                <w:color w:val="000000" w:themeColor="text1"/>
                <w:sz w:val="16"/>
                <w:szCs w:val="16"/>
                <w:lang w:val="en-GB"/>
              </w:rPr>
              <w:lastRenderedPageBreak/>
              <w:t>VET colleges; universities; private training providers</w:t>
            </w:r>
          </w:p>
        </w:tc>
        <w:tc>
          <w:tcPr>
            <w:tcW w:w="958" w:type="pct"/>
            <w:shd w:val="clear" w:color="auto" w:fill="FFFFFF" w:themeFill="background1"/>
            <w:tcMar>
              <w:top w:w="15" w:type="dxa"/>
              <w:left w:w="108" w:type="dxa"/>
              <w:bottom w:w="0" w:type="dxa"/>
              <w:right w:w="108" w:type="dxa"/>
            </w:tcMar>
            <w:vAlign w:val="center"/>
          </w:tcPr>
          <w:p w14:paraId="0B35E5AA" w14:textId="68403EA0" w:rsidR="0090158F" w:rsidRPr="00D341ED" w:rsidRDefault="0090158F" w:rsidP="00475B8F">
            <w:pPr>
              <w:rPr>
                <w:b/>
                <w:bCs/>
                <w:color w:val="000000" w:themeColor="text1"/>
                <w:sz w:val="16"/>
                <w:szCs w:val="16"/>
                <w:lang w:val="en-GB"/>
              </w:rPr>
            </w:pPr>
            <w:r w:rsidRPr="00D341ED">
              <w:rPr>
                <w:b/>
                <w:color w:val="000000" w:themeColor="text1"/>
                <w:sz w:val="16"/>
                <w:szCs w:val="16"/>
                <w:lang w:val="en-GB"/>
              </w:rPr>
              <w:lastRenderedPageBreak/>
              <w:t>Regular</w:t>
            </w:r>
            <w:r w:rsidR="005130EE" w:rsidRPr="00D341ED">
              <w:rPr>
                <w:b/>
                <w:color w:val="000000" w:themeColor="text1"/>
                <w:sz w:val="16"/>
                <w:szCs w:val="16"/>
                <w:lang w:val="en-GB"/>
              </w:rPr>
              <w:t>:</w:t>
            </w:r>
            <w:r w:rsidRPr="00D341ED">
              <w:rPr>
                <w:b/>
                <w:color w:val="000000" w:themeColor="text1"/>
                <w:sz w:val="16"/>
                <w:szCs w:val="16"/>
                <w:lang w:val="en-GB"/>
              </w:rPr>
              <w:t xml:space="preserve"> $437,500</w:t>
            </w:r>
          </w:p>
        </w:tc>
      </w:tr>
      <w:tr w:rsidR="00FC3488" w:rsidRPr="00D341ED" w14:paraId="2B29BAF0" w14:textId="77777777" w:rsidTr="00BF2C3E">
        <w:trPr>
          <w:tblHeader/>
        </w:trPr>
        <w:tc>
          <w:tcPr>
            <w:tcW w:w="1097" w:type="pct"/>
            <w:vMerge/>
            <w:tcBorders>
              <w:bottom w:val="single" w:sz="4" w:space="0" w:color="auto"/>
            </w:tcBorders>
            <w:tcMar>
              <w:top w:w="72" w:type="dxa"/>
              <w:left w:w="144" w:type="dxa"/>
              <w:bottom w:w="72" w:type="dxa"/>
              <w:right w:w="144" w:type="dxa"/>
            </w:tcMar>
            <w:vAlign w:val="center"/>
          </w:tcPr>
          <w:p w14:paraId="1A81F0B1" w14:textId="77777777" w:rsidR="00FC3488" w:rsidRPr="00D341ED" w:rsidRDefault="00FC3488" w:rsidP="00475B8F">
            <w:pPr>
              <w:jc w:val="center"/>
              <w:rPr>
                <w:b/>
                <w:bCs/>
                <w:color w:val="000000" w:themeColor="text1"/>
                <w:sz w:val="16"/>
                <w:szCs w:val="16"/>
                <w:lang w:val="en-GB"/>
              </w:rPr>
            </w:pPr>
          </w:p>
        </w:tc>
        <w:tc>
          <w:tcPr>
            <w:tcW w:w="1178" w:type="pct"/>
            <w:vMerge/>
            <w:tcBorders>
              <w:bottom w:val="single" w:sz="4" w:space="0" w:color="auto"/>
            </w:tcBorders>
            <w:vAlign w:val="center"/>
          </w:tcPr>
          <w:p w14:paraId="717AAFBA" w14:textId="77777777" w:rsidR="00FC3488" w:rsidRPr="00D341ED" w:rsidRDefault="00FC3488" w:rsidP="00475B8F">
            <w:pPr>
              <w:pStyle w:val="ListParagraph"/>
              <w:numPr>
                <w:ilvl w:val="0"/>
                <w:numId w:val="1"/>
              </w:numPr>
              <w:rPr>
                <w:b/>
                <w:color w:val="000000" w:themeColor="text1"/>
                <w:sz w:val="16"/>
                <w:szCs w:val="16"/>
                <w:lang w:val="en-GB"/>
              </w:rPr>
            </w:pPr>
          </w:p>
        </w:tc>
        <w:tc>
          <w:tcPr>
            <w:tcW w:w="1092" w:type="pct"/>
            <w:vMerge/>
            <w:tcBorders>
              <w:bottom w:val="single" w:sz="4" w:space="0" w:color="auto"/>
            </w:tcBorders>
            <w:tcMar>
              <w:top w:w="72" w:type="dxa"/>
              <w:left w:w="144" w:type="dxa"/>
              <w:bottom w:w="72" w:type="dxa"/>
              <w:right w:w="144" w:type="dxa"/>
            </w:tcMar>
            <w:vAlign w:val="center"/>
          </w:tcPr>
          <w:p w14:paraId="56EE48EE" w14:textId="77777777" w:rsidR="00FC3488" w:rsidRPr="00D341ED" w:rsidRDefault="00FC3488" w:rsidP="00475B8F">
            <w:pPr>
              <w:jc w:val="center"/>
              <w:rPr>
                <w:b/>
                <w:bCs/>
                <w:color w:val="000000" w:themeColor="text1"/>
                <w:sz w:val="16"/>
                <w:szCs w:val="16"/>
                <w:lang w:val="en-GB"/>
              </w:rPr>
            </w:pPr>
          </w:p>
        </w:tc>
        <w:tc>
          <w:tcPr>
            <w:tcW w:w="675" w:type="pct"/>
            <w:vMerge/>
            <w:tcBorders>
              <w:bottom w:val="single" w:sz="4" w:space="0" w:color="auto"/>
            </w:tcBorders>
            <w:vAlign w:val="center"/>
          </w:tcPr>
          <w:p w14:paraId="2908EB2C" w14:textId="77777777" w:rsidR="00FC3488" w:rsidRPr="00D341ED" w:rsidRDefault="00FC3488" w:rsidP="00475B8F">
            <w:pPr>
              <w:jc w:val="center"/>
              <w:rPr>
                <w:b/>
                <w:bCs/>
                <w:color w:val="000000" w:themeColor="text1"/>
                <w:sz w:val="16"/>
                <w:szCs w:val="16"/>
                <w:lang w:val="en-GB"/>
              </w:rPr>
            </w:pPr>
          </w:p>
        </w:tc>
        <w:tc>
          <w:tcPr>
            <w:tcW w:w="958" w:type="pct"/>
            <w:tcBorders>
              <w:bottom w:val="single" w:sz="4" w:space="0" w:color="auto"/>
            </w:tcBorders>
            <w:shd w:val="clear" w:color="auto" w:fill="FFFFFF" w:themeFill="background1"/>
            <w:tcMar>
              <w:top w:w="15" w:type="dxa"/>
              <w:left w:w="108" w:type="dxa"/>
              <w:bottom w:w="0" w:type="dxa"/>
              <w:right w:w="108" w:type="dxa"/>
            </w:tcMar>
          </w:tcPr>
          <w:p w14:paraId="1FE2DD96" w14:textId="1FFB5083" w:rsidR="00FC3488" w:rsidRPr="00D341ED" w:rsidRDefault="00FC3488" w:rsidP="00475B8F">
            <w:pPr>
              <w:rPr>
                <w:b/>
                <w:color w:val="000000" w:themeColor="text1"/>
                <w:sz w:val="16"/>
                <w:szCs w:val="16"/>
                <w:lang w:val="en-GB"/>
              </w:rPr>
            </w:pPr>
            <w:r w:rsidRPr="00D341ED">
              <w:rPr>
                <w:b/>
                <w:bCs/>
                <w:color w:val="000000" w:themeColor="text1"/>
                <w:sz w:val="16"/>
                <w:szCs w:val="16"/>
                <w:lang w:val="en-GB"/>
              </w:rPr>
              <w:t>Other</w:t>
            </w:r>
            <w:r w:rsidR="005130EE" w:rsidRPr="00D341ED">
              <w:rPr>
                <w:b/>
                <w:bCs/>
                <w:color w:val="000000" w:themeColor="text1"/>
                <w:sz w:val="16"/>
                <w:szCs w:val="16"/>
                <w:lang w:val="en-GB"/>
              </w:rPr>
              <w:t>:</w:t>
            </w:r>
            <w:r w:rsidRPr="00D341ED">
              <w:rPr>
                <w:b/>
                <w:bCs/>
                <w:color w:val="000000" w:themeColor="text1"/>
                <w:sz w:val="16"/>
                <w:szCs w:val="16"/>
                <w:lang w:val="en-GB"/>
              </w:rPr>
              <w:t xml:space="preserve"> $</w:t>
            </w:r>
            <w:r w:rsidRPr="00D341ED">
              <w:rPr>
                <w:b/>
                <w:color w:val="000000" w:themeColor="text1"/>
                <w:sz w:val="16"/>
                <w:szCs w:val="16"/>
                <w:lang w:val="en-GB"/>
              </w:rPr>
              <w:t>21,565,389</w:t>
            </w:r>
          </w:p>
        </w:tc>
      </w:tr>
      <w:tr w:rsidR="00FC3488" w:rsidRPr="00D341ED" w14:paraId="2DEA817A" w14:textId="77777777" w:rsidTr="00BF2C3E">
        <w:tc>
          <w:tcPr>
            <w:tcW w:w="5000" w:type="pct"/>
            <w:gridSpan w:val="5"/>
            <w:shd w:val="clear" w:color="auto" w:fill="auto"/>
            <w:tcMar>
              <w:top w:w="72" w:type="dxa"/>
              <w:left w:w="144" w:type="dxa"/>
              <w:bottom w:w="72" w:type="dxa"/>
              <w:right w:w="144" w:type="dxa"/>
            </w:tcMar>
          </w:tcPr>
          <w:p w14:paraId="4066919C" w14:textId="6D90AD1F" w:rsidR="00FC3488" w:rsidRPr="00D341ED" w:rsidRDefault="00FC3488" w:rsidP="00475B8F">
            <w:pPr>
              <w:rPr>
                <w:color w:val="000000" w:themeColor="text1"/>
                <w:sz w:val="16"/>
                <w:szCs w:val="16"/>
                <w:lang w:val="en-GB"/>
              </w:rPr>
            </w:pPr>
            <w:r w:rsidRPr="00D341ED">
              <w:rPr>
                <w:b/>
                <w:bCs/>
                <w:color w:val="000000" w:themeColor="text1"/>
                <w:sz w:val="16"/>
                <w:szCs w:val="16"/>
                <w:lang w:val="en-GB"/>
              </w:rPr>
              <w:lastRenderedPageBreak/>
              <w:t xml:space="preserve">NATIONAL PRIORITY OR GOAL: </w:t>
            </w:r>
            <w:r w:rsidRPr="00D341ED">
              <w:rPr>
                <w:bCs/>
                <w:color w:val="000000" w:themeColor="text1"/>
                <w:sz w:val="16"/>
                <w:szCs w:val="16"/>
                <w:lang w:val="en-GB"/>
              </w:rPr>
              <w:t>Government programme for 2019-2020 prioritizes conflict resolution and community resilience through peace building</w:t>
            </w:r>
            <w:r w:rsidR="0002497E" w:rsidRPr="00D341ED">
              <w:rPr>
                <w:bCs/>
                <w:color w:val="000000" w:themeColor="text1"/>
                <w:sz w:val="16"/>
                <w:szCs w:val="16"/>
                <w:lang w:val="en-GB"/>
              </w:rPr>
              <w:t xml:space="preserve">, </w:t>
            </w:r>
            <w:r w:rsidRPr="00D341ED">
              <w:rPr>
                <w:bCs/>
                <w:color w:val="000000" w:themeColor="text1"/>
                <w:sz w:val="16"/>
                <w:szCs w:val="16"/>
                <w:lang w:val="en-GB"/>
              </w:rPr>
              <w:t xml:space="preserve">public diplomacy, socioeconomic empowerment and support to conflict-affected communities with active engagement of local and international partners. </w:t>
            </w:r>
          </w:p>
        </w:tc>
      </w:tr>
      <w:tr w:rsidR="00FC3488" w:rsidRPr="00D341ED" w14:paraId="4D99FDA9" w14:textId="77777777" w:rsidTr="00BF2C3E">
        <w:tc>
          <w:tcPr>
            <w:tcW w:w="5000" w:type="pct"/>
            <w:gridSpan w:val="5"/>
            <w:shd w:val="clear" w:color="auto" w:fill="auto"/>
            <w:tcMar>
              <w:top w:w="72" w:type="dxa"/>
              <w:left w:w="144" w:type="dxa"/>
              <w:bottom w:w="72" w:type="dxa"/>
              <w:right w:w="144" w:type="dxa"/>
            </w:tcMar>
          </w:tcPr>
          <w:p w14:paraId="5E559CC5" w14:textId="7365A5E1" w:rsidR="00FC3488" w:rsidRPr="00D341ED" w:rsidRDefault="008A0F78" w:rsidP="00475B8F">
            <w:pPr>
              <w:rPr>
                <w:color w:val="000000" w:themeColor="text1"/>
                <w:sz w:val="16"/>
                <w:szCs w:val="16"/>
                <w:lang w:val="en-GB"/>
              </w:rPr>
            </w:pPr>
            <w:r w:rsidRPr="00D341ED">
              <w:rPr>
                <w:b/>
                <w:bCs/>
                <w:color w:val="000000" w:themeColor="text1"/>
                <w:sz w:val="16"/>
                <w:szCs w:val="16"/>
                <w:lang w:val="en-GB"/>
              </w:rPr>
              <w:t>UNSDCF</w:t>
            </w:r>
            <w:r w:rsidR="00214681" w:rsidRPr="00D341ED">
              <w:rPr>
                <w:b/>
                <w:bCs/>
                <w:color w:val="000000" w:themeColor="text1"/>
                <w:sz w:val="16"/>
                <w:szCs w:val="16"/>
                <w:lang w:val="en-GB"/>
              </w:rPr>
              <w:t xml:space="preserve">, 2021-2025, </w:t>
            </w:r>
            <w:r w:rsidR="00FC3488" w:rsidRPr="00D341ED">
              <w:rPr>
                <w:b/>
                <w:bCs/>
                <w:color w:val="000000" w:themeColor="text1"/>
                <w:sz w:val="16"/>
                <w:szCs w:val="16"/>
                <w:lang w:val="en-GB"/>
              </w:rPr>
              <w:t>OUTCOME INVOLVING UNDP 4:</w:t>
            </w:r>
            <w:r w:rsidR="00FC3488" w:rsidRPr="00D341ED">
              <w:rPr>
                <w:color w:val="000000" w:themeColor="text1"/>
                <w:sz w:val="16"/>
                <w:szCs w:val="16"/>
                <w:lang w:val="en-GB"/>
              </w:rPr>
              <w:t xml:space="preserve"> </w:t>
            </w:r>
            <w:r w:rsidR="00FC3488" w:rsidRPr="00D341ED">
              <w:rPr>
                <w:bCs/>
                <w:color w:val="000000" w:themeColor="text1"/>
                <w:sz w:val="16"/>
                <w:szCs w:val="16"/>
                <w:lang w:val="en-GB"/>
              </w:rPr>
              <w:t>By 2025, conflict affected communities enjoy human rights, enhanced human security and resilience</w:t>
            </w:r>
            <w:r w:rsidR="00214681" w:rsidRPr="00D341ED">
              <w:rPr>
                <w:bCs/>
                <w:color w:val="000000" w:themeColor="text1"/>
                <w:sz w:val="16"/>
                <w:szCs w:val="16"/>
                <w:lang w:val="en-GB"/>
              </w:rPr>
              <w:t>.</w:t>
            </w:r>
          </w:p>
        </w:tc>
      </w:tr>
      <w:tr w:rsidR="00FC3488" w:rsidRPr="00D341ED" w14:paraId="46FE1045" w14:textId="77777777" w:rsidTr="00BF2C3E">
        <w:tc>
          <w:tcPr>
            <w:tcW w:w="5000" w:type="pct"/>
            <w:gridSpan w:val="5"/>
            <w:shd w:val="clear" w:color="auto" w:fill="auto"/>
            <w:tcMar>
              <w:top w:w="72" w:type="dxa"/>
              <w:left w:w="144" w:type="dxa"/>
              <w:bottom w:w="72" w:type="dxa"/>
              <w:right w:w="144" w:type="dxa"/>
            </w:tcMar>
          </w:tcPr>
          <w:p w14:paraId="2E1DB790" w14:textId="27B43CC0" w:rsidR="00FC3488" w:rsidRPr="00D341ED" w:rsidRDefault="00FC3488" w:rsidP="00475B8F">
            <w:pPr>
              <w:rPr>
                <w:b/>
                <w:bCs/>
                <w:color w:val="000000" w:themeColor="text1"/>
                <w:sz w:val="16"/>
                <w:szCs w:val="16"/>
                <w:lang w:val="en-GB"/>
              </w:rPr>
            </w:pPr>
            <w:r w:rsidRPr="00D341ED">
              <w:rPr>
                <w:b/>
                <w:bCs/>
                <w:color w:val="000000" w:themeColor="text1"/>
                <w:sz w:val="16"/>
                <w:szCs w:val="16"/>
                <w:lang w:val="en-GB"/>
              </w:rPr>
              <w:t xml:space="preserve">RELATED </w:t>
            </w:r>
            <w:r w:rsidR="00214681" w:rsidRPr="00D341ED">
              <w:rPr>
                <w:b/>
                <w:bCs/>
                <w:color w:val="000000" w:themeColor="text1"/>
                <w:sz w:val="16"/>
                <w:szCs w:val="16"/>
                <w:lang w:val="en-GB"/>
              </w:rPr>
              <w:t xml:space="preserve">UNDP </w:t>
            </w:r>
            <w:r w:rsidRPr="00D341ED">
              <w:rPr>
                <w:b/>
                <w:bCs/>
                <w:color w:val="000000" w:themeColor="text1"/>
                <w:sz w:val="16"/>
                <w:szCs w:val="16"/>
                <w:lang w:val="en-GB"/>
              </w:rPr>
              <w:t>STRATEGIC PLAN</w:t>
            </w:r>
            <w:r w:rsidR="00214681" w:rsidRPr="00D341ED">
              <w:rPr>
                <w:b/>
                <w:bCs/>
                <w:color w:val="000000" w:themeColor="text1"/>
                <w:sz w:val="16"/>
                <w:szCs w:val="16"/>
                <w:lang w:val="en-GB"/>
              </w:rPr>
              <w:t xml:space="preserve">, 2018-2021, </w:t>
            </w:r>
            <w:r w:rsidRPr="00D341ED">
              <w:rPr>
                <w:b/>
                <w:bCs/>
                <w:color w:val="000000" w:themeColor="text1"/>
                <w:sz w:val="16"/>
                <w:szCs w:val="16"/>
                <w:lang w:val="en-GB"/>
              </w:rPr>
              <w:t xml:space="preserve">OUTCOME: </w:t>
            </w:r>
            <w:r w:rsidRPr="00D341ED">
              <w:rPr>
                <w:bCs/>
                <w:color w:val="000000" w:themeColor="text1"/>
                <w:sz w:val="16"/>
                <w:szCs w:val="16"/>
                <w:lang w:val="en-GB"/>
              </w:rPr>
              <w:t>Outcome 3</w:t>
            </w:r>
            <w:r w:rsidR="00214681" w:rsidRPr="00D341ED">
              <w:rPr>
                <w:bCs/>
                <w:color w:val="000000" w:themeColor="text1"/>
                <w:sz w:val="16"/>
                <w:szCs w:val="16"/>
                <w:lang w:val="en-GB"/>
              </w:rPr>
              <w:t xml:space="preserve">. </w:t>
            </w:r>
            <w:r w:rsidRPr="00D341ED">
              <w:rPr>
                <w:bCs/>
                <w:color w:val="000000" w:themeColor="text1"/>
                <w:sz w:val="16"/>
                <w:szCs w:val="16"/>
                <w:lang w:val="en-GB"/>
              </w:rPr>
              <w:t>Strengthen resilience to shocks and crises</w:t>
            </w:r>
            <w:r w:rsidR="00214681" w:rsidRPr="00D341ED">
              <w:rPr>
                <w:bCs/>
                <w:color w:val="000000" w:themeColor="text1"/>
                <w:sz w:val="16"/>
                <w:szCs w:val="16"/>
                <w:lang w:val="en-GB"/>
              </w:rPr>
              <w:t>.</w:t>
            </w:r>
            <w:r w:rsidRPr="00D341ED" w:rsidDel="007E5629">
              <w:rPr>
                <w:b/>
                <w:bCs/>
                <w:color w:val="000000" w:themeColor="text1"/>
                <w:sz w:val="16"/>
                <w:szCs w:val="16"/>
                <w:lang w:val="en-GB"/>
              </w:rPr>
              <w:t xml:space="preserve"> </w:t>
            </w:r>
          </w:p>
        </w:tc>
      </w:tr>
      <w:tr w:rsidR="0090158F" w:rsidRPr="00D341ED" w14:paraId="3B13128C" w14:textId="77777777" w:rsidTr="005A353B">
        <w:trPr>
          <w:tblHeader/>
        </w:trPr>
        <w:tc>
          <w:tcPr>
            <w:tcW w:w="1097" w:type="pct"/>
            <w:vMerge w:val="restart"/>
            <w:shd w:val="clear" w:color="auto" w:fill="FFFFFF" w:themeFill="background1"/>
            <w:tcMar>
              <w:top w:w="72" w:type="dxa"/>
              <w:left w:w="144" w:type="dxa"/>
              <w:bottom w:w="72" w:type="dxa"/>
              <w:right w:w="144" w:type="dxa"/>
            </w:tcMar>
          </w:tcPr>
          <w:p w14:paraId="4DC23BAC" w14:textId="58ACF0F4" w:rsidR="0090158F" w:rsidRPr="00D341ED" w:rsidRDefault="0090158F" w:rsidP="00475B8F">
            <w:pPr>
              <w:rPr>
                <w:rStyle w:val="Hyperlink"/>
                <w:bCs/>
                <w:color w:val="000000" w:themeColor="text1"/>
                <w:sz w:val="16"/>
                <w:szCs w:val="16"/>
                <w:lang w:val="en-GB"/>
              </w:rPr>
            </w:pPr>
            <w:r w:rsidRPr="00D341ED">
              <w:rPr>
                <w:rStyle w:val="Hyperlink"/>
                <w:b/>
                <w:color w:val="000000" w:themeColor="text1"/>
                <w:sz w:val="16"/>
                <w:szCs w:val="16"/>
                <w:lang w:val="en-GB"/>
              </w:rPr>
              <w:t>4.1.</w:t>
            </w:r>
            <w:r w:rsidRPr="00D341ED">
              <w:rPr>
                <w:rStyle w:val="Hyperlink"/>
                <w:bCs/>
                <w:color w:val="000000" w:themeColor="text1"/>
                <w:sz w:val="16"/>
                <w:szCs w:val="16"/>
                <w:lang w:val="en-GB"/>
              </w:rPr>
              <w:t xml:space="preserve"> </w:t>
            </w:r>
            <w:r w:rsidRPr="00D341ED">
              <w:rPr>
                <w:color w:val="000000" w:themeColor="text1"/>
                <w:sz w:val="16"/>
                <w:szCs w:val="16"/>
                <w:lang w:val="en-GB"/>
              </w:rPr>
              <w:t>(</w:t>
            </w:r>
            <w:r w:rsidR="00075D71" w:rsidRPr="00D341ED">
              <w:rPr>
                <w:color w:val="000000" w:themeColor="text1"/>
                <w:sz w:val="16"/>
                <w:szCs w:val="16"/>
                <w:lang w:val="en-GB"/>
              </w:rPr>
              <w:t>UNSD</w:t>
            </w:r>
            <w:r w:rsidRPr="00D341ED">
              <w:rPr>
                <w:color w:val="000000" w:themeColor="text1"/>
                <w:sz w:val="16"/>
                <w:szCs w:val="16"/>
                <w:lang w:val="en-GB"/>
              </w:rPr>
              <w:t xml:space="preserve">CF </w:t>
            </w:r>
            <w:r w:rsidR="00075D71" w:rsidRPr="00D341ED">
              <w:rPr>
                <w:color w:val="000000" w:themeColor="text1"/>
                <w:sz w:val="16"/>
                <w:szCs w:val="16"/>
                <w:lang w:val="en-GB"/>
              </w:rPr>
              <w:t>i</w:t>
            </w:r>
            <w:r w:rsidRPr="00D341ED">
              <w:rPr>
                <w:color w:val="000000" w:themeColor="text1"/>
                <w:sz w:val="16"/>
                <w:szCs w:val="16"/>
                <w:lang w:val="en-GB"/>
              </w:rPr>
              <w:t xml:space="preserve">ndicator 4.1) </w:t>
            </w:r>
            <w:r w:rsidRPr="00D341ED">
              <w:rPr>
                <w:rStyle w:val="Hyperlink"/>
                <w:bCs/>
                <w:color w:val="000000" w:themeColor="text1"/>
                <w:sz w:val="16"/>
                <w:szCs w:val="16"/>
                <w:lang w:val="en-GB"/>
              </w:rPr>
              <w:t xml:space="preserve">Political </w:t>
            </w:r>
            <w:r w:rsidR="00075D71" w:rsidRPr="00D341ED">
              <w:rPr>
                <w:rStyle w:val="Hyperlink"/>
                <w:bCs/>
                <w:color w:val="000000" w:themeColor="text1"/>
                <w:sz w:val="16"/>
                <w:szCs w:val="16"/>
                <w:lang w:val="en-GB"/>
              </w:rPr>
              <w:t>s</w:t>
            </w:r>
            <w:r w:rsidRPr="00D341ED">
              <w:rPr>
                <w:rStyle w:val="Hyperlink"/>
                <w:bCs/>
                <w:color w:val="000000" w:themeColor="text1"/>
                <w:sz w:val="16"/>
                <w:szCs w:val="16"/>
                <w:lang w:val="en-GB"/>
              </w:rPr>
              <w:t xml:space="preserve">tability and </w:t>
            </w:r>
            <w:r w:rsidR="00075D71" w:rsidRPr="00D341ED">
              <w:rPr>
                <w:rStyle w:val="Hyperlink"/>
                <w:bCs/>
                <w:color w:val="000000" w:themeColor="text1"/>
                <w:sz w:val="16"/>
                <w:szCs w:val="16"/>
                <w:lang w:val="en-GB"/>
              </w:rPr>
              <w:t>a</w:t>
            </w:r>
            <w:r w:rsidRPr="00D341ED">
              <w:rPr>
                <w:rStyle w:val="Hyperlink"/>
                <w:bCs/>
                <w:color w:val="000000" w:themeColor="text1"/>
                <w:sz w:val="16"/>
                <w:szCs w:val="16"/>
                <w:lang w:val="en-GB"/>
              </w:rPr>
              <w:t xml:space="preserve">bsence of </w:t>
            </w:r>
            <w:r w:rsidR="00075D71" w:rsidRPr="00D341ED">
              <w:rPr>
                <w:rStyle w:val="Hyperlink"/>
                <w:bCs/>
                <w:color w:val="000000" w:themeColor="text1"/>
                <w:sz w:val="16"/>
                <w:szCs w:val="16"/>
                <w:lang w:val="en-GB"/>
              </w:rPr>
              <w:t>v</w:t>
            </w:r>
            <w:r w:rsidRPr="00D341ED">
              <w:rPr>
                <w:rStyle w:val="Hyperlink"/>
                <w:bCs/>
                <w:color w:val="000000" w:themeColor="text1"/>
                <w:sz w:val="16"/>
                <w:szCs w:val="16"/>
                <w:lang w:val="en-GB"/>
              </w:rPr>
              <w:t xml:space="preserve">iolence </w:t>
            </w:r>
            <w:r w:rsidR="00075D71" w:rsidRPr="00D341ED">
              <w:rPr>
                <w:rStyle w:val="Hyperlink"/>
                <w:bCs/>
                <w:color w:val="000000" w:themeColor="text1"/>
                <w:sz w:val="16"/>
                <w:szCs w:val="16"/>
                <w:lang w:val="en-GB"/>
              </w:rPr>
              <w:t>i</w:t>
            </w:r>
            <w:r w:rsidRPr="00D341ED">
              <w:rPr>
                <w:rStyle w:val="Hyperlink"/>
                <w:bCs/>
                <w:color w:val="000000" w:themeColor="text1"/>
                <w:sz w:val="16"/>
                <w:szCs w:val="16"/>
                <w:lang w:val="en-GB"/>
              </w:rPr>
              <w:t>ndex</w:t>
            </w:r>
          </w:p>
          <w:p w14:paraId="2F7807AF" w14:textId="7DA4B1DB" w:rsidR="0090158F" w:rsidRPr="00D341ED" w:rsidRDefault="0090158F" w:rsidP="00475B8F">
            <w:pPr>
              <w:rPr>
                <w:rStyle w:val="Hyperlink"/>
                <w:bCs/>
                <w:color w:val="000000" w:themeColor="text1"/>
                <w:sz w:val="16"/>
                <w:szCs w:val="16"/>
                <w:lang w:val="en-GB"/>
              </w:rPr>
            </w:pPr>
            <w:r w:rsidRPr="00D341ED">
              <w:rPr>
                <w:rStyle w:val="Hyperlink"/>
                <w:b/>
                <w:color w:val="000000" w:themeColor="text1"/>
                <w:sz w:val="16"/>
                <w:szCs w:val="16"/>
                <w:lang w:val="en-GB"/>
              </w:rPr>
              <w:t>Baseline</w:t>
            </w:r>
            <w:r w:rsidRPr="00D341ED">
              <w:rPr>
                <w:rStyle w:val="Hyperlink"/>
                <w:bCs/>
                <w:color w:val="000000" w:themeColor="text1"/>
                <w:sz w:val="16"/>
                <w:szCs w:val="16"/>
                <w:lang w:val="en-GB"/>
              </w:rPr>
              <w:t xml:space="preserve"> (2019): </w:t>
            </w:r>
            <w:r w:rsidRPr="00D341ED">
              <w:rPr>
                <w:rStyle w:val="Hyperlink"/>
                <w:color w:val="000000" w:themeColor="text1"/>
                <w:sz w:val="16"/>
                <w:szCs w:val="16"/>
                <w:lang w:val="en-GB"/>
              </w:rPr>
              <w:t>percentile rank - 29.05;</w:t>
            </w:r>
          </w:p>
          <w:p w14:paraId="2ACB8204" w14:textId="32480A02" w:rsidR="0090158F" w:rsidRPr="00D341ED" w:rsidRDefault="0090158F" w:rsidP="00475B8F">
            <w:pPr>
              <w:rPr>
                <w:rStyle w:val="Hyperlink"/>
                <w:color w:val="000000" w:themeColor="text1"/>
                <w:sz w:val="16"/>
                <w:szCs w:val="16"/>
                <w:lang w:val="en-GB"/>
              </w:rPr>
            </w:pPr>
            <w:r w:rsidRPr="00D341ED">
              <w:rPr>
                <w:rStyle w:val="Hyperlink"/>
                <w:b/>
                <w:color w:val="000000" w:themeColor="text1"/>
                <w:sz w:val="16"/>
                <w:szCs w:val="16"/>
                <w:lang w:val="en-GB"/>
              </w:rPr>
              <w:t>Target</w:t>
            </w:r>
            <w:r w:rsidRPr="00D341ED">
              <w:rPr>
                <w:rStyle w:val="Hyperlink"/>
                <w:bCs/>
                <w:color w:val="000000" w:themeColor="text1"/>
                <w:sz w:val="16"/>
                <w:szCs w:val="16"/>
                <w:lang w:val="en-GB"/>
              </w:rPr>
              <w:t xml:space="preserve"> (2025):</w:t>
            </w:r>
            <w:r w:rsidRPr="00D341ED">
              <w:rPr>
                <w:rStyle w:val="Hyperlink"/>
                <w:color w:val="000000" w:themeColor="text1"/>
                <w:sz w:val="16"/>
                <w:szCs w:val="16"/>
                <w:lang w:val="en-GB"/>
              </w:rPr>
              <w:t xml:space="preserve"> &gt;30</w:t>
            </w:r>
          </w:p>
          <w:p w14:paraId="5C47AB31" w14:textId="77777777" w:rsidR="0090158F" w:rsidRPr="00D341ED" w:rsidRDefault="0090158F" w:rsidP="00475B8F">
            <w:pPr>
              <w:rPr>
                <w:bCs/>
                <w:color w:val="000000" w:themeColor="text1"/>
                <w:sz w:val="16"/>
                <w:szCs w:val="16"/>
                <w:lang w:val="en-GB"/>
              </w:rPr>
            </w:pPr>
          </w:p>
          <w:p w14:paraId="447F6B8A" w14:textId="73513905" w:rsidR="0090158F" w:rsidRPr="00D341ED" w:rsidRDefault="0090158F" w:rsidP="00475B8F">
            <w:pPr>
              <w:rPr>
                <w:rStyle w:val="Hyperlink"/>
                <w:bCs/>
                <w:color w:val="000000" w:themeColor="text1"/>
                <w:sz w:val="16"/>
                <w:szCs w:val="16"/>
                <w:lang w:val="en-GB"/>
              </w:rPr>
            </w:pPr>
            <w:r w:rsidRPr="00D341ED">
              <w:rPr>
                <w:b/>
                <w:color w:val="000000" w:themeColor="text1"/>
                <w:sz w:val="16"/>
                <w:szCs w:val="16"/>
                <w:lang w:val="en-GB"/>
              </w:rPr>
              <w:t>4</w:t>
            </w:r>
            <w:r w:rsidRPr="00D341ED">
              <w:rPr>
                <w:rStyle w:val="Hyperlink"/>
                <w:b/>
                <w:color w:val="000000" w:themeColor="text1"/>
                <w:sz w:val="16"/>
                <w:szCs w:val="16"/>
                <w:lang w:val="en-GB"/>
              </w:rPr>
              <w:t>.2.</w:t>
            </w:r>
            <w:r w:rsidRPr="00D341ED">
              <w:rPr>
                <w:rStyle w:val="Hyperlink"/>
                <w:bCs/>
                <w:color w:val="000000" w:themeColor="text1"/>
                <w:sz w:val="16"/>
                <w:szCs w:val="16"/>
                <w:lang w:val="en-GB"/>
              </w:rPr>
              <w:t xml:space="preserve"> </w:t>
            </w:r>
            <w:r w:rsidRPr="00D341ED">
              <w:rPr>
                <w:color w:val="000000" w:themeColor="text1"/>
                <w:sz w:val="16"/>
                <w:szCs w:val="16"/>
                <w:lang w:val="en-GB"/>
              </w:rPr>
              <w:t>(</w:t>
            </w:r>
            <w:r w:rsidR="00075D71" w:rsidRPr="00D341ED">
              <w:rPr>
                <w:color w:val="000000" w:themeColor="text1"/>
                <w:sz w:val="16"/>
                <w:szCs w:val="16"/>
                <w:lang w:val="en-GB"/>
              </w:rPr>
              <w:t>UNSD</w:t>
            </w:r>
            <w:r w:rsidRPr="00D341ED">
              <w:rPr>
                <w:color w:val="000000" w:themeColor="text1"/>
                <w:sz w:val="16"/>
                <w:szCs w:val="16"/>
                <w:lang w:val="en-GB"/>
              </w:rPr>
              <w:t xml:space="preserve">CF </w:t>
            </w:r>
            <w:r w:rsidR="00075D71" w:rsidRPr="00D341ED">
              <w:rPr>
                <w:color w:val="000000" w:themeColor="text1"/>
                <w:sz w:val="16"/>
                <w:szCs w:val="16"/>
                <w:lang w:val="en-GB"/>
              </w:rPr>
              <w:t>i</w:t>
            </w:r>
            <w:r w:rsidRPr="00D341ED">
              <w:rPr>
                <w:color w:val="000000" w:themeColor="text1"/>
                <w:sz w:val="16"/>
                <w:szCs w:val="16"/>
                <w:lang w:val="en-GB"/>
              </w:rPr>
              <w:t xml:space="preserve">ndicator 4.2) </w:t>
            </w:r>
            <w:r w:rsidRPr="00D341ED">
              <w:rPr>
                <w:rStyle w:val="Hyperlink"/>
                <w:bCs/>
                <w:color w:val="000000" w:themeColor="text1"/>
                <w:sz w:val="16"/>
                <w:szCs w:val="16"/>
                <w:lang w:val="en-GB"/>
              </w:rPr>
              <w:t xml:space="preserve">Global </w:t>
            </w:r>
            <w:r w:rsidR="00075D71" w:rsidRPr="00D341ED">
              <w:rPr>
                <w:rStyle w:val="Hyperlink"/>
                <w:bCs/>
                <w:color w:val="000000" w:themeColor="text1"/>
                <w:sz w:val="16"/>
                <w:szCs w:val="16"/>
                <w:lang w:val="en-GB"/>
              </w:rPr>
              <w:t>p</w:t>
            </w:r>
            <w:r w:rsidRPr="00D341ED">
              <w:rPr>
                <w:rStyle w:val="Hyperlink"/>
                <w:bCs/>
                <w:color w:val="000000" w:themeColor="text1"/>
                <w:sz w:val="16"/>
                <w:szCs w:val="16"/>
                <w:lang w:val="en-GB"/>
              </w:rPr>
              <w:t xml:space="preserve">eace </w:t>
            </w:r>
            <w:r w:rsidR="00075D71" w:rsidRPr="00D341ED">
              <w:rPr>
                <w:rStyle w:val="Hyperlink"/>
                <w:bCs/>
                <w:color w:val="000000" w:themeColor="text1"/>
                <w:sz w:val="16"/>
                <w:szCs w:val="16"/>
                <w:lang w:val="en-GB"/>
              </w:rPr>
              <w:t>i</w:t>
            </w:r>
            <w:r w:rsidRPr="00D341ED">
              <w:rPr>
                <w:rStyle w:val="Hyperlink"/>
                <w:bCs/>
                <w:color w:val="000000" w:themeColor="text1"/>
                <w:sz w:val="16"/>
                <w:szCs w:val="16"/>
                <w:lang w:val="en-GB"/>
              </w:rPr>
              <w:t>ndex </w:t>
            </w:r>
          </w:p>
          <w:p w14:paraId="674D66D2" w14:textId="77777777" w:rsidR="0090158F" w:rsidRPr="00D341ED" w:rsidRDefault="0090158F" w:rsidP="00475B8F">
            <w:pPr>
              <w:pStyle w:val="NormalWeb"/>
              <w:spacing w:before="0" w:beforeAutospacing="0" w:after="0" w:afterAutospacing="0"/>
              <w:rPr>
                <w:rStyle w:val="Hyperlink"/>
                <w:color w:val="000000" w:themeColor="text1"/>
                <w:sz w:val="16"/>
                <w:szCs w:val="16"/>
                <w:lang w:val="en-GB"/>
              </w:rPr>
            </w:pPr>
            <w:r w:rsidRPr="00D341ED">
              <w:rPr>
                <w:rStyle w:val="Hyperlink"/>
                <w:b/>
                <w:bCs/>
                <w:color w:val="000000" w:themeColor="text1"/>
                <w:sz w:val="16"/>
                <w:szCs w:val="16"/>
                <w:lang w:val="en-GB"/>
              </w:rPr>
              <w:t>Baseline</w:t>
            </w:r>
            <w:r w:rsidRPr="00D341ED">
              <w:rPr>
                <w:rStyle w:val="Hyperlink"/>
                <w:color w:val="000000" w:themeColor="text1"/>
                <w:sz w:val="16"/>
                <w:szCs w:val="16"/>
                <w:lang w:val="en-GB"/>
              </w:rPr>
              <w:t xml:space="preserve"> (2020): rank 95 (score: 2.116); </w:t>
            </w:r>
          </w:p>
          <w:p w14:paraId="1F6E7064" w14:textId="77777777" w:rsidR="0090158F" w:rsidRPr="00D341ED" w:rsidRDefault="0090158F" w:rsidP="00475B8F">
            <w:pPr>
              <w:rPr>
                <w:rStyle w:val="Hyperlink"/>
                <w:color w:val="000000" w:themeColor="text1"/>
                <w:sz w:val="16"/>
                <w:szCs w:val="16"/>
                <w:lang w:val="en-GB"/>
              </w:rPr>
            </w:pPr>
            <w:r w:rsidRPr="00D341ED">
              <w:rPr>
                <w:rStyle w:val="Hyperlink"/>
                <w:b/>
                <w:color w:val="000000" w:themeColor="text1"/>
                <w:sz w:val="16"/>
                <w:szCs w:val="16"/>
                <w:lang w:val="en-GB"/>
              </w:rPr>
              <w:t>Target</w:t>
            </w:r>
            <w:r w:rsidRPr="00D341ED">
              <w:rPr>
                <w:rStyle w:val="Hyperlink"/>
                <w:bCs/>
                <w:color w:val="000000" w:themeColor="text1"/>
                <w:sz w:val="16"/>
                <w:szCs w:val="16"/>
                <w:lang w:val="en-GB"/>
              </w:rPr>
              <w:t xml:space="preserve"> (2025)</w:t>
            </w:r>
            <w:r w:rsidRPr="00D341ED">
              <w:rPr>
                <w:rStyle w:val="Hyperlink"/>
                <w:color w:val="000000" w:themeColor="text1"/>
                <w:sz w:val="16"/>
                <w:szCs w:val="16"/>
                <w:lang w:val="en-GB"/>
              </w:rPr>
              <w:t>: &lt;94</w:t>
            </w:r>
          </w:p>
          <w:p w14:paraId="6ADA6798" w14:textId="77777777" w:rsidR="0090158F" w:rsidRPr="00D341ED" w:rsidRDefault="0090158F" w:rsidP="00475B8F">
            <w:pPr>
              <w:rPr>
                <w:rStyle w:val="Hyperlink"/>
                <w:bCs/>
                <w:color w:val="000000" w:themeColor="text1"/>
                <w:sz w:val="16"/>
                <w:szCs w:val="16"/>
                <w:lang w:val="en-GB"/>
              </w:rPr>
            </w:pPr>
          </w:p>
          <w:p w14:paraId="57C5260F" w14:textId="5ECD5E14" w:rsidR="0090158F" w:rsidRPr="00D341ED" w:rsidRDefault="0090158F" w:rsidP="00475B8F">
            <w:pPr>
              <w:rPr>
                <w:rStyle w:val="Hyperlink"/>
                <w:bCs/>
                <w:color w:val="000000" w:themeColor="text1"/>
                <w:sz w:val="16"/>
                <w:szCs w:val="16"/>
                <w:lang w:val="en-GB"/>
              </w:rPr>
            </w:pPr>
            <w:r w:rsidRPr="00D341ED">
              <w:rPr>
                <w:rStyle w:val="Hyperlink"/>
                <w:b/>
                <w:color w:val="000000" w:themeColor="text1"/>
                <w:sz w:val="16"/>
                <w:szCs w:val="16"/>
                <w:lang w:val="en-GB"/>
              </w:rPr>
              <w:t>4.3.</w:t>
            </w:r>
            <w:r w:rsidRPr="00D341ED">
              <w:rPr>
                <w:rStyle w:val="Hyperlink"/>
                <w:bCs/>
                <w:color w:val="000000" w:themeColor="text1"/>
                <w:sz w:val="16"/>
                <w:szCs w:val="16"/>
                <w:lang w:val="en-GB"/>
              </w:rPr>
              <w:t xml:space="preserve"> </w:t>
            </w:r>
            <w:r w:rsidRPr="00D341ED">
              <w:rPr>
                <w:color w:val="000000" w:themeColor="text1"/>
                <w:sz w:val="16"/>
                <w:szCs w:val="16"/>
                <w:lang w:val="en-GB"/>
              </w:rPr>
              <w:t>(</w:t>
            </w:r>
            <w:r w:rsidR="00075D71" w:rsidRPr="00D341ED">
              <w:rPr>
                <w:color w:val="000000" w:themeColor="text1"/>
                <w:sz w:val="16"/>
                <w:szCs w:val="16"/>
                <w:lang w:val="en-GB"/>
              </w:rPr>
              <w:t>UNSD</w:t>
            </w:r>
            <w:r w:rsidRPr="00D341ED">
              <w:rPr>
                <w:color w:val="000000" w:themeColor="text1"/>
                <w:sz w:val="16"/>
                <w:szCs w:val="16"/>
                <w:lang w:val="en-GB"/>
              </w:rPr>
              <w:t xml:space="preserve">CF </w:t>
            </w:r>
            <w:r w:rsidR="00075D71" w:rsidRPr="00D341ED">
              <w:rPr>
                <w:color w:val="000000" w:themeColor="text1"/>
                <w:sz w:val="16"/>
                <w:szCs w:val="16"/>
                <w:lang w:val="en-GB"/>
              </w:rPr>
              <w:t>i</w:t>
            </w:r>
            <w:r w:rsidRPr="00D341ED">
              <w:rPr>
                <w:color w:val="000000" w:themeColor="text1"/>
                <w:sz w:val="16"/>
                <w:szCs w:val="16"/>
                <w:lang w:val="en-GB"/>
              </w:rPr>
              <w:t xml:space="preserve">ndicator 4.3) </w:t>
            </w:r>
            <w:r w:rsidRPr="00D341ED">
              <w:rPr>
                <w:rStyle w:val="Hyperlink"/>
                <w:bCs/>
                <w:color w:val="000000" w:themeColor="text1"/>
                <w:sz w:val="16"/>
                <w:szCs w:val="16"/>
                <w:lang w:val="en-GB"/>
              </w:rPr>
              <w:t xml:space="preserve">Positive </w:t>
            </w:r>
            <w:r w:rsidR="00075D71" w:rsidRPr="00D341ED">
              <w:rPr>
                <w:rStyle w:val="Hyperlink"/>
                <w:bCs/>
                <w:color w:val="000000" w:themeColor="text1"/>
                <w:sz w:val="16"/>
                <w:szCs w:val="16"/>
                <w:lang w:val="en-GB"/>
              </w:rPr>
              <w:t>p</w:t>
            </w:r>
            <w:r w:rsidRPr="00D341ED">
              <w:rPr>
                <w:rStyle w:val="Hyperlink"/>
                <w:bCs/>
                <w:color w:val="000000" w:themeColor="text1"/>
                <w:sz w:val="16"/>
                <w:szCs w:val="16"/>
                <w:lang w:val="en-GB"/>
              </w:rPr>
              <w:t xml:space="preserve">eace </w:t>
            </w:r>
            <w:r w:rsidR="00075D71" w:rsidRPr="00D341ED">
              <w:rPr>
                <w:rStyle w:val="Hyperlink"/>
                <w:bCs/>
                <w:color w:val="000000" w:themeColor="text1"/>
                <w:sz w:val="16"/>
                <w:szCs w:val="16"/>
                <w:lang w:val="en-GB"/>
              </w:rPr>
              <w:t>i</w:t>
            </w:r>
            <w:r w:rsidRPr="00D341ED">
              <w:rPr>
                <w:rStyle w:val="Hyperlink"/>
                <w:bCs/>
                <w:color w:val="000000" w:themeColor="text1"/>
                <w:sz w:val="16"/>
                <w:szCs w:val="16"/>
                <w:lang w:val="en-GB"/>
              </w:rPr>
              <w:t>ndex</w:t>
            </w:r>
          </w:p>
          <w:p w14:paraId="4151E065" w14:textId="77777777" w:rsidR="0090158F" w:rsidRPr="00D341ED" w:rsidRDefault="0090158F" w:rsidP="00475B8F">
            <w:pPr>
              <w:pStyle w:val="NormalWeb"/>
              <w:spacing w:before="0" w:beforeAutospacing="0" w:after="0" w:afterAutospacing="0"/>
              <w:rPr>
                <w:rStyle w:val="Hyperlink"/>
                <w:color w:val="000000" w:themeColor="text1"/>
                <w:sz w:val="16"/>
                <w:szCs w:val="16"/>
                <w:lang w:val="en-GB"/>
              </w:rPr>
            </w:pPr>
            <w:r w:rsidRPr="00D341ED">
              <w:rPr>
                <w:rStyle w:val="Hyperlink"/>
                <w:b/>
                <w:bCs/>
                <w:color w:val="000000" w:themeColor="text1"/>
                <w:sz w:val="16"/>
                <w:szCs w:val="16"/>
                <w:lang w:val="en-GB"/>
              </w:rPr>
              <w:t>Baseline</w:t>
            </w:r>
            <w:r w:rsidRPr="00D341ED">
              <w:rPr>
                <w:rStyle w:val="Hyperlink"/>
                <w:color w:val="000000" w:themeColor="text1"/>
                <w:sz w:val="16"/>
                <w:szCs w:val="16"/>
                <w:lang w:val="en-GB"/>
              </w:rPr>
              <w:t xml:space="preserve"> (2019): rank 54 (score: 2.7);</w:t>
            </w:r>
          </w:p>
          <w:p w14:paraId="7D1A5F73" w14:textId="77777777" w:rsidR="0090158F" w:rsidRPr="00D341ED" w:rsidRDefault="0090158F" w:rsidP="00475B8F">
            <w:pPr>
              <w:pStyle w:val="NormalWeb"/>
              <w:spacing w:before="0" w:beforeAutospacing="0" w:after="0" w:afterAutospacing="0"/>
              <w:rPr>
                <w:rStyle w:val="Hyperlink"/>
                <w:color w:val="000000" w:themeColor="text1"/>
                <w:sz w:val="16"/>
                <w:szCs w:val="16"/>
                <w:lang w:val="en-GB"/>
              </w:rPr>
            </w:pPr>
            <w:r w:rsidRPr="00D341ED">
              <w:rPr>
                <w:rStyle w:val="Hyperlink"/>
                <w:b/>
                <w:bCs/>
                <w:color w:val="000000" w:themeColor="text1"/>
                <w:sz w:val="16"/>
                <w:szCs w:val="16"/>
                <w:lang w:val="en-GB"/>
              </w:rPr>
              <w:t>Target</w:t>
            </w:r>
            <w:r w:rsidRPr="00D341ED">
              <w:rPr>
                <w:rStyle w:val="Hyperlink"/>
                <w:color w:val="000000" w:themeColor="text1"/>
                <w:sz w:val="16"/>
                <w:szCs w:val="16"/>
                <w:lang w:val="en-GB"/>
              </w:rPr>
              <w:t xml:space="preserve"> (2025): &lt;53;</w:t>
            </w:r>
          </w:p>
          <w:p w14:paraId="77CCBA08" w14:textId="77777777" w:rsidR="0090158F" w:rsidRPr="00D341ED" w:rsidRDefault="0090158F" w:rsidP="00475B8F">
            <w:pPr>
              <w:rPr>
                <w:rStyle w:val="Hyperlink"/>
                <w:bCs/>
                <w:color w:val="000000" w:themeColor="text1"/>
                <w:sz w:val="16"/>
                <w:szCs w:val="16"/>
                <w:lang w:val="en-GB"/>
              </w:rPr>
            </w:pPr>
          </w:p>
          <w:p w14:paraId="0409BD78" w14:textId="79474B8F" w:rsidR="0090158F" w:rsidRPr="00D341ED" w:rsidRDefault="0090158F" w:rsidP="00475B8F">
            <w:pPr>
              <w:rPr>
                <w:rStyle w:val="Hyperlink"/>
                <w:bCs/>
                <w:color w:val="000000" w:themeColor="text1"/>
                <w:sz w:val="16"/>
                <w:szCs w:val="16"/>
                <w:lang w:val="en-GB"/>
              </w:rPr>
            </w:pPr>
            <w:r w:rsidRPr="00D341ED">
              <w:rPr>
                <w:rStyle w:val="Hyperlink"/>
                <w:b/>
                <w:color w:val="000000" w:themeColor="text1"/>
                <w:sz w:val="16"/>
                <w:szCs w:val="16"/>
                <w:lang w:val="en-GB"/>
              </w:rPr>
              <w:t>4.4.</w:t>
            </w:r>
            <w:r w:rsidRPr="00D341ED">
              <w:rPr>
                <w:rStyle w:val="Hyperlink"/>
                <w:bCs/>
                <w:color w:val="000000" w:themeColor="text1"/>
                <w:sz w:val="16"/>
                <w:szCs w:val="16"/>
                <w:lang w:val="en-GB"/>
              </w:rPr>
              <w:t xml:space="preserve"> </w:t>
            </w:r>
            <w:r w:rsidRPr="00D341ED">
              <w:rPr>
                <w:color w:val="000000" w:themeColor="text1"/>
                <w:sz w:val="16"/>
                <w:szCs w:val="16"/>
                <w:lang w:val="en-GB"/>
              </w:rPr>
              <w:t>(</w:t>
            </w:r>
            <w:r w:rsidR="00075D71" w:rsidRPr="00D341ED">
              <w:rPr>
                <w:color w:val="000000" w:themeColor="text1"/>
                <w:sz w:val="16"/>
                <w:szCs w:val="16"/>
                <w:lang w:val="en-GB"/>
              </w:rPr>
              <w:t>UNSD</w:t>
            </w:r>
            <w:r w:rsidRPr="00D341ED">
              <w:rPr>
                <w:color w:val="000000" w:themeColor="text1"/>
                <w:sz w:val="16"/>
                <w:szCs w:val="16"/>
                <w:lang w:val="en-GB"/>
              </w:rPr>
              <w:t xml:space="preserve">CF </w:t>
            </w:r>
            <w:r w:rsidR="00075D71" w:rsidRPr="00D341ED">
              <w:rPr>
                <w:color w:val="000000" w:themeColor="text1"/>
                <w:sz w:val="16"/>
                <w:szCs w:val="16"/>
                <w:lang w:val="en-GB"/>
              </w:rPr>
              <w:t>i</w:t>
            </w:r>
            <w:r w:rsidRPr="00D341ED">
              <w:rPr>
                <w:color w:val="000000" w:themeColor="text1"/>
                <w:sz w:val="16"/>
                <w:szCs w:val="16"/>
                <w:lang w:val="en-GB"/>
              </w:rPr>
              <w:t xml:space="preserve">ndicator 4.4) </w:t>
            </w:r>
            <w:r w:rsidRPr="00D341ED">
              <w:rPr>
                <w:rStyle w:val="Hyperlink"/>
                <w:bCs/>
                <w:color w:val="000000" w:themeColor="text1"/>
                <w:sz w:val="16"/>
                <w:szCs w:val="16"/>
                <w:lang w:val="en-GB"/>
              </w:rPr>
              <w:t xml:space="preserve">Women, </w:t>
            </w:r>
            <w:r w:rsidR="00075D71" w:rsidRPr="00D341ED">
              <w:rPr>
                <w:rStyle w:val="Hyperlink"/>
                <w:bCs/>
                <w:color w:val="000000" w:themeColor="text1"/>
                <w:sz w:val="16"/>
                <w:szCs w:val="16"/>
                <w:lang w:val="en-GB"/>
              </w:rPr>
              <w:t>p</w:t>
            </w:r>
            <w:r w:rsidRPr="00D341ED">
              <w:rPr>
                <w:rStyle w:val="Hyperlink"/>
                <w:bCs/>
                <w:color w:val="000000" w:themeColor="text1"/>
                <w:sz w:val="16"/>
                <w:szCs w:val="16"/>
                <w:lang w:val="en-GB"/>
              </w:rPr>
              <w:t xml:space="preserve">eace and </w:t>
            </w:r>
            <w:r w:rsidR="00075D71" w:rsidRPr="00D341ED">
              <w:rPr>
                <w:rStyle w:val="Hyperlink"/>
                <w:bCs/>
                <w:color w:val="000000" w:themeColor="text1"/>
                <w:sz w:val="16"/>
                <w:szCs w:val="16"/>
                <w:lang w:val="en-GB"/>
              </w:rPr>
              <w:t>s</w:t>
            </w:r>
            <w:r w:rsidRPr="00D341ED">
              <w:rPr>
                <w:rStyle w:val="Hyperlink"/>
                <w:bCs/>
                <w:color w:val="000000" w:themeColor="text1"/>
                <w:sz w:val="16"/>
                <w:szCs w:val="16"/>
                <w:lang w:val="en-GB"/>
              </w:rPr>
              <w:t xml:space="preserve">ecurity </w:t>
            </w:r>
            <w:r w:rsidR="00075D71" w:rsidRPr="00D341ED">
              <w:rPr>
                <w:rStyle w:val="Hyperlink"/>
                <w:bCs/>
                <w:color w:val="000000" w:themeColor="text1"/>
                <w:sz w:val="16"/>
                <w:szCs w:val="16"/>
                <w:lang w:val="en-GB"/>
              </w:rPr>
              <w:t>i</w:t>
            </w:r>
            <w:r w:rsidRPr="00D341ED">
              <w:rPr>
                <w:rStyle w:val="Hyperlink"/>
                <w:bCs/>
                <w:color w:val="000000" w:themeColor="text1"/>
                <w:sz w:val="16"/>
                <w:szCs w:val="16"/>
                <w:lang w:val="en-GB"/>
              </w:rPr>
              <w:t>ndex</w:t>
            </w:r>
          </w:p>
          <w:p w14:paraId="04B6621D" w14:textId="77777777" w:rsidR="0090158F" w:rsidRPr="00D341ED" w:rsidRDefault="0090158F" w:rsidP="00475B8F">
            <w:pPr>
              <w:rPr>
                <w:rStyle w:val="Hyperlink"/>
                <w:color w:val="000000" w:themeColor="text1"/>
                <w:sz w:val="16"/>
                <w:szCs w:val="16"/>
                <w:lang w:val="en-GB"/>
              </w:rPr>
            </w:pPr>
            <w:r w:rsidRPr="00D341ED">
              <w:rPr>
                <w:rStyle w:val="Hyperlink"/>
                <w:b/>
                <w:color w:val="000000" w:themeColor="text1"/>
                <w:sz w:val="16"/>
                <w:szCs w:val="16"/>
                <w:lang w:val="en-GB"/>
              </w:rPr>
              <w:t>Baseline</w:t>
            </w:r>
            <w:r w:rsidRPr="00D341ED">
              <w:rPr>
                <w:rStyle w:val="Hyperlink"/>
                <w:bCs/>
                <w:color w:val="000000" w:themeColor="text1"/>
                <w:sz w:val="16"/>
                <w:szCs w:val="16"/>
                <w:lang w:val="en-GB"/>
              </w:rPr>
              <w:t xml:space="preserve"> (2019):</w:t>
            </w:r>
            <w:r w:rsidRPr="00D341ED">
              <w:rPr>
                <w:rStyle w:val="Hyperlink"/>
                <w:color w:val="000000" w:themeColor="text1"/>
                <w:sz w:val="16"/>
                <w:szCs w:val="16"/>
                <w:lang w:val="en-GB"/>
              </w:rPr>
              <w:t xml:space="preserve"> rank 46 (value 0.777)</w:t>
            </w:r>
          </w:p>
          <w:p w14:paraId="63DEAAE1" w14:textId="77777777" w:rsidR="0090158F" w:rsidRPr="00D341ED" w:rsidRDefault="0090158F" w:rsidP="00475B8F">
            <w:pPr>
              <w:rPr>
                <w:color w:val="000000" w:themeColor="text1"/>
                <w:sz w:val="16"/>
                <w:szCs w:val="16"/>
                <w:lang w:val="en-GB"/>
              </w:rPr>
            </w:pPr>
            <w:r w:rsidRPr="00D341ED">
              <w:rPr>
                <w:rStyle w:val="Hyperlink"/>
                <w:b/>
                <w:color w:val="000000" w:themeColor="text1"/>
                <w:sz w:val="16"/>
                <w:szCs w:val="16"/>
                <w:lang w:val="en-GB"/>
              </w:rPr>
              <w:t>Target</w:t>
            </w:r>
            <w:r w:rsidRPr="00D341ED">
              <w:rPr>
                <w:rStyle w:val="Hyperlink"/>
                <w:bCs/>
                <w:color w:val="000000" w:themeColor="text1"/>
                <w:sz w:val="16"/>
                <w:szCs w:val="16"/>
                <w:lang w:val="en-GB"/>
              </w:rPr>
              <w:t xml:space="preserve"> (2025):</w:t>
            </w:r>
            <w:r w:rsidRPr="00D341ED">
              <w:rPr>
                <w:rStyle w:val="Hyperlink"/>
                <w:color w:val="000000" w:themeColor="text1"/>
                <w:sz w:val="16"/>
                <w:szCs w:val="16"/>
                <w:lang w:val="en-GB"/>
              </w:rPr>
              <w:t xml:space="preserve"> &lt;45</w:t>
            </w:r>
            <w:r w:rsidRPr="00D341ED">
              <w:rPr>
                <w:color w:val="000000" w:themeColor="text1"/>
                <w:sz w:val="16"/>
                <w:szCs w:val="16"/>
                <w:lang w:val="en-GB"/>
              </w:rPr>
              <w:t xml:space="preserve"> </w:t>
            </w:r>
          </w:p>
          <w:p w14:paraId="2916C19D" w14:textId="77777777" w:rsidR="0090158F" w:rsidRPr="00D341ED" w:rsidRDefault="0090158F" w:rsidP="00BF2C3E">
            <w:pPr>
              <w:rPr>
                <w:bCs/>
                <w:color w:val="000000" w:themeColor="text1"/>
                <w:sz w:val="16"/>
                <w:szCs w:val="16"/>
                <w:lang w:val="en-GB"/>
              </w:rPr>
            </w:pPr>
          </w:p>
        </w:tc>
        <w:tc>
          <w:tcPr>
            <w:tcW w:w="1178" w:type="pct"/>
            <w:vMerge w:val="restart"/>
            <w:shd w:val="clear" w:color="auto" w:fill="FFFFFF" w:themeFill="background1"/>
          </w:tcPr>
          <w:p w14:paraId="704E6A5A" w14:textId="794EDDE6" w:rsidR="0090158F" w:rsidRPr="00D341ED" w:rsidRDefault="0090158F" w:rsidP="00475B8F">
            <w:pPr>
              <w:pStyle w:val="ListParagraph"/>
              <w:numPr>
                <w:ilvl w:val="0"/>
                <w:numId w:val="1"/>
              </w:numPr>
              <w:ind w:hanging="279"/>
              <w:rPr>
                <w:color w:val="000000" w:themeColor="text1"/>
                <w:sz w:val="16"/>
                <w:szCs w:val="16"/>
                <w:lang w:val="en-GB"/>
              </w:rPr>
            </w:pPr>
            <w:r w:rsidRPr="00D341ED">
              <w:rPr>
                <w:color w:val="000000" w:themeColor="text1"/>
                <w:sz w:val="16"/>
                <w:szCs w:val="16"/>
                <w:lang w:val="en-GB"/>
              </w:rPr>
              <w:t xml:space="preserve">World </w:t>
            </w:r>
            <w:r w:rsidR="00075D71" w:rsidRPr="00D341ED">
              <w:rPr>
                <w:color w:val="000000" w:themeColor="text1"/>
                <w:sz w:val="16"/>
                <w:szCs w:val="16"/>
                <w:lang w:val="en-GB"/>
              </w:rPr>
              <w:t>g</w:t>
            </w:r>
            <w:r w:rsidRPr="00D341ED">
              <w:rPr>
                <w:color w:val="000000" w:themeColor="text1"/>
                <w:sz w:val="16"/>
                <w:szCs w:val="16"/>
                <w:lang w:val="en-GB"/>
              </w:rPr>
              <w:t xml:space="preserve">overnance </w:t>
            </w:r>
            <w:r w:rsidR="00075D71" w:rsidRPr="00D341ED">
              <w:rPr>
                <w:color w:val="000000" w:themeColor="text1"/>
                <w:sz w:val="16"/>
                <w:szCs w:val="16"/>
                <w:lang w:val="en-GB"/>
              </w:rPr>
              <w:t>i</w:t>
            </w:r>
            <w:r w:rsidRPr="00D341ED">
              <w:rPr>
                <w:color w:val="000000" w:themeColor="text1"/>
                <w:sz w:val="16"/>
                <w:szCs w:val="16"/>
                <w:lang w:val="en-GB"/>
              </w:rPr>
              <w:t xml:space="preserve">ndicators </w:t>
            </w:r>
            <w:r w:rsidR="00075D71" w:rsidRPr="00D341ED">
              <w:rPr>
                <w:color w:val="000000" w:themeColor="text1"/>
                <w:sz w:val="16"/>
                <w:szCs w:val="16"/>
                <w:lang w:val="en-GB"/>
              </w:rPr>
              <w:t>(</w:t>
            </w:r>
            <w:hyperlink r:id="rId24" w:history="1">
              <w:r w:rsidR="00075D71" w:rsidRPr="00D341ED">
                <w:rPr>
                  <w:rStyle w:val="Hyperlink"/>
                  <w:sz w:val="16"/>
                  <w:szCs w:val="16"/>
                  <w:lang w:val="en-GB"/>
                </w:rPr>
                <w:t>https://info.worldbank.org/governance/wgi/Home/Reports</w:t>
              </w:r>
            </w:hyperlink>
            <w:r w:rsidR="00075D71" w:rsidRPr="00D341ED">
              <w:rPr>
                <w:color w:val="000000" w:themeColor="text1"/>
                <w:sz w:val="16"/>
                <w:szCs w:val="16"/>
                <w:lang w:val="en-GB"/>
              </w:rPr>
              <w:t>)</w:t>
            </w:r>
          </w:p>
          <w:p w14:paraId="0B52FF20" w14:textId="77777777" w:rsidR="0090158F" w:rsidRPr="00D341ED" w:rsidRDefault="0090158F" w:rsidP="00475B8F">
            <w:pPr>
              <w:ind w:hanging="279"/>
              <w:rPr>
                <w:color w:val="000000" w:themeColor="text1"/>
                <w:sz w:val="16"/>
                <w:szCs w:val="16"/>
                <w:lang w:val="en-GB"/>
              </w:rPr>
            </w:pPr>
          </w:p>
          <w:p w14:paraId="76A17ADF" w14:textId="600FFC47" w:rsidR="0090158F" w:rsidRPr="00D341ED" w:rsidRDefault="0090158F" w:rsidP="009A5A8A">
            <w:pPr>
              <w:pStyle w:val="ListParagraph"/>
              <w:numPr>
                <w:ilvl w:val="0"/>
                <w:numId w:val="1"/>
              </w:numPr>
              <w:ind w:hanging="279"/>
              <w:rPr>
                <w:color w:val="000000" w:themeColor="text1"/>
                <w:sz w:val="16"/>
                <w:szCs w:val="16"/>
                <w:lang w:val="en-GB"/>
              </w:rPr>
            </w:pPr>
            <w:r w:rsidRPr="00D341ED">
              <w:rPr>
                <w:color w:val="000000" w:themeColor="text1"/>
                <w:sz w:val="16"/>
                <w:szCs w:val="16"/>
                <w:lang w:val="en-GB"/>
              </w:rPr>
              <w:t>4.2-4.3</w:t>
            </w:r>
            <w:r w:rsidR="00075D71" w:rsidRPr="00D341ED">
              <w:rPr>
                <w:color w:val="000000" w:themeColor="text1"/>
                <w:sz w:val="16"/>
                <w:szCs w:val="16"/>
                <w:lang w:val="en-GB"/>
              </w:rPr>
              <w:t>.</w:t>
            </w:r>
            <w:r w:rsidRPr="00D341ED">
              <w:rPr>
                <w:color w:val="000000" w:themeColor="text1"/>
                <w:sz w:val="16"/>
                <w:szCs w:val="16"/>
                <w:lang w:val="en-GB"/>
              </w:rPr>
              <w:t xml:space="preserve"> Institute for Economics and Peace</w:t>
            </w:r>
            <w:r w:rsidR="00075D71" w:rsidRPr="00D341ED">
              <w:rPr>
                <w:color w:val="000000" w:themeColor="text1"/>
                <w:sz w:val="16"/>
                <w:szCs w:val="16"/>
                <w:lang w:val="en-GB"/>
              </w:rPr>
              <w:t xml:space="preserve"> (</w:t>
            </w:r>
            <w:hyperlink r:id="rId25" w:history="1">
              <w:r w:rsidR="00075D71" w:rsidRPr="00D341ED">
                <w:rPr>
                  <w:rStyle w:val="Hyperlink"/>
                  <w:sz w:val="16"/>
                  <w:szCs w:val="16"/>
                  <w:lang w:val="en-GB"/>
                </w:rPr>
                <w:t>http://visionofhumanity.org/</w:t>
              </w:r>
            </w:hyperlink>
            <w:r w:rsidR="00075D71" w:rsidRPr="00D341ED">
              <w:rPr>
                <w:sz w:val="16"/>
                <w:szCs w:val="16"/>
                <w:lang w:val="en-GB"/>
              </w:rPr>
              <w:t>)</w:t>
            </w:r>
            <w:r w:rsidRPr="00D341ED">
              <w:rPr>
                <w:color w:val="000000" w:themeColor="text1"/>
                <w:sz w:val="16"/>
                <w:szCs w:val="16"/>
                <w:lang w:val="en-GB"/>
              </w:rPr>
              <w:t xml:space="preserve">  </w:t>
            </w:r>
          </w:p>
          <w:p w14:paraId="2BF3AA7C" w14:textId="77777777" w:rsidR="0090158F" w:rsidRPr="00D341ED" w:rsidRDefault="0090158F" w:rsidP="00475B8F">
            <w:pPr>
              <w:ind w:hanging="279"/>
              <w:rPr>
                <w:color w:val="000000" w:themeColor="text1"/>
                <w:sz w:val="16"/>
                <w:szCs w:val="16"/>
                <w:lang w:val="en-GB"/>
              </w:rPr>
            </w:pPr>
          </w:p>
          <w:p w14:paraId="46ABBD8F" w14:textId="604E0F66" w:rsidR="0090158F" w:rsidRPr="00D341ED" w:rsidRDefault="0090158F" w:rsidP="00475B8F">
            <w:pPr>
              <w:pStyle w:val="ListParagraph"/>
              <w:numPr>
                <w:ilvl w:val="0"/>
                <w:numId w:val="1"/>
              </w:numPr>
              <w:ind w:hanging="279"/>
              <w:rPr>
                <w:color w:val="000000" w:themeColor="text1"/>
                <w:sz w:val="16"/>
                <w:szCs w:val="16"/>
                <w:lang w:val="en-GB"/>
              </w:rPr>
            </w:pPr>
            <w:r w:rsidRPr="00D341ED">
              <w:rPr>
                <w:color w:val="000000" w:themeColor="text1"/>
                <w:sz w:val="16"/>
                <w:szCs w:val="16"/>
                <w:lang w:val="en-GB"/>
              </w:rPr>
              <w:t xml:space="preserve">4.4. Georgetown Institute for Women, Peace and Security </w:t>
            </w:r>
            <w:r w:rsidR="00075D71" w:rsidRPr="00D341ED">
              <w:rPr>
                <w:color w:val="000000" w:themeColor="text1"/>
                <w:sz w:val="16"/>
                <w:szCs w:val="16"/>
                <w:lang w:val="en-GB"/>
              </w:rPr>
              <w:t>(</w:t>
            </w:r>
            <w:hyperlink r:id="rId26" w:history="1">
              <w:r w:rsidR="00075D71" w:rsidRPr="00D341ED">
                <w:rPr>
                  <w:rStyle w:val="Hyperlink"/>
                  <w:sz w:val="16"/>
                  <w:szCs w:val="16"/>
                  <w:lang w:val="en-GB"/>
                </w:rPr>
                <w:t>https://giwps.georgetown.edu/the-index/chapters/</w:t>
              </w:r>
            </w:hyperlink>
            <w:r w:rsidR="00075D71" w:rsidRPr="00D341ED">
              <w:rPr>
                <w:color w:val="000000" w:themeColor="text1"/>
                <w:sz w:val="16"/>
                <w:szCs w:val="16"/>
                <w:lang w:val="en-GB"/>
              </w:rPr>
              <w:t>)</w:t>
            </w:r>
          </w:p>
        </w:tc>
        <w:tc>
          <w:tcPr>
            <w:tcW w:w="1092" w:type="pct"/>
            <w:vMerge w:val="restart"/>
            <w:shd w:val="clear" w:color="auto" w:fill="FFFFFF" w:themeFill="background1"/>
            <w:tcMar>
              <w:top w:w="72" w:type="dxa"/>
              <w:left w:w="144" w:type="dxa"/>
              <w:bottom w:w="72" w:type="dxa"/>
              <w:right w:w="144" w:type="dxa"/>
            </w:tcMar>
          </w:tcPr>
          <w:p w14:paraId="5BD7FCDF" w14:textId="19AD64F6" w:rsidR="0090158F" w:rsidRPr="00D341ED" w:rsidRDefault="0090158F" w:rsidP="00475B8F">
            <w:pPr>
              <w:pStyle w:val="NormalWeb"/>
              <w:spacing w:before="0" w:beforeAutospacing="0" w:after="0" w:afterAutospacing="0"/>
              <w:rPr>
                <w:bCs/>
                <w:color w:val="000000" w:themeColor="text1"/>
                <w:sz w:val="16"/>
                <w:szCs w:val="16"/>
                <w:lang w:val="en-GB"/>
              </w:rPr>
            </w:pPr>
            <w:r w:rsidRPr="00D341ED">
              <w:rPr>
                <w:b/>
                <w:color w:val="000000" w:themeColor="text1"/>
                <w:sz w:val="16"/>
                <w:szCs w:val="16"/>
                <w:lang w:val="en-GB"/>
              </w:rPr>
              <w:t>Output 4.1</w:t>
            </w:r>
            <w:r w:rsidR="00F06BFC" w:rsidRPr="00D341ED">
              <w:rPr>
                <w:b/>
                <w:color w:val="000000" w:themeColor="text1"/>
                <w:sz w:val="16"/>
                <w:szCs w:val="16"/>
                <w:lang w:val="en-GB"/>
              </w:rPr>
              <w:t>.</w:t>
            </w:r>
            <w:r w:rsidRPr="00D341ED">
              <w:rPr>
                <w:bCs/>
                <w:color w:val="000000" w:themeColor="text1"/>
                <w:sz w:val="16"/>
                <w:szCs w:val="16"/>
                <w:lang w:val="en-GB"/>
              </w:rPr>
              <w:t xml:space="preserve"> Conflict-affected populations have improved access to essential services, including education, healthcare, </w:t>
            </w:r>
            <w:r w:rsidR="00F06BFC" w:rsidRPr="00D341ED">
              <w:rPr>
                <w:bCs/>
                <w:color w:val="000000" w:themeColor="text1"/>
                <w:sz w:val="16"/>
                <w:szCs w:val="16"/>
                <w:lang w:val="en-GB"/>
              </w:rPr>
              <w:t>g</w:t>
            </w:r>
            <w:r w:rsidRPr="00D341ED">
              <w:rPr>
                <w:bCs/>
                <w:color w:val="000000" w:themeColor="text1"/>
                <w:sz w:val="16"/>
                <w:szCs w:val="16"/>
                <w:lang w:val="en-GB"/>
              </w:rPr>
              <w:t>ender</w:t>
            </w:r>
            <w:r w:rsidR="00F06BFC" w:rsidRPr="00D341ED">
              <w:rPr>
                <w:bCs/>
                <w:color w:val="000000" w:themeColor="text1"/>
                <w:sz w:val="16"/>
                <w:szCs w:val="16"/>
                <w:lang w:val="en-GB"/>
              </w:rPr>
              <w:t>-b</w:t>
            </w:r>
            <w:r w:rsidRPr="00D341ED">
              <w:rPr>
                <w:bCs/>
                <w:color w:val="000000" w:themeColor="text1"/>
                <w:sz w:val="16"/>
                <w:szCs w:val="16"/>
                <w:lang w:val="en-GB"/>
              </w:rPr>
              <w:t xml:space="preserve">ased </w:t>
            </w:r>
            <w:r w:rsidR="00F06BFC" w:rsidRPr="00D341ED">
              <w:rPr>
                <w:bCs/>
                <w:color w:val="000000" w:themeColor="text1"/>
                <w:sz w:val="16"/>
                <w:szCs w:val="16"/>
                <w:lang w:val="en-GB"/>
              </w:rPr>
              <w:t>v</w:t>
            </w:r>
            <w:r w:rsidRPr="00D341ED">
              <w:rPr>
                <w:bCs/>
                <w:color w:val="000000" w:themeColor="text1"/>
                <w:sz w:val="16"/>
                <w:szCs w:val="16"/>
                <w:lang w:val="en-GB"/>
              </w:rPr>
              <w:t>iolence (GBV) response/legal assistance and improved socioeconomic conditions, community resilience and self-reliance</w:t>
            </w:r>
          </w:p>
          <w:p w14:paraId="27548E62" w14:textId="77777777" w:rsidR="00F06BFC" w:rsidRPr="00D341ED" w:rsidRDefault="00F06BFC" w:rsidP="00475B8F">
            <w:pPr>
              <w:pStyle w:val="NormalWeb"/>
              <w:spacing w:before="0" w:beforeAutospacing="0" w:after="0" w:afterAutospacing="0"/>
              <w:rPr>
                <w:bCs/>
                <w:color w:val="000000" w:themeColor="text1"/>
                <w:sz w:val="16"/>
                <w:szCs w:val="16"/>
                <w:lang w:val="en-GB"/>
              </w:rPr>
            </w:pPr>
          </w:p>
          <w:p w14:paraId="080CE78F" w14:textId="2C06F8C7" w:rsidR="0090158F" w:rsidRPr="00D341ED" w:rsidRDefault="0090158F" w:rsidP="00475B8F">
            <w:pPr>
              <w:pStyle w:val="ListParagraph"/>
              <w:numPr>
                <w:ilvl w:val="0"/>
                <w:numId w:val="13"/>
              </w:numPr>
              <w:ind w:left="417"/>
              <w:rPr>
                <w:color w:val="000000" w:themeColor="text1"/>
                <w:sz w:val="16"/>
                <w:szCs w:val="16"/>
                <w:lang w:val="en-GB"/>
              </w:rPr>
            </w:pPr>
            <w:r w:rsidRPr="00D341ED">
              <w:rPr>
                <w:b/>
                <w:color w:val="000000" w:themeColor="text1"/>
                <w:sz w:val="16"/>
                <w:szCs w:val="16"/>
                <w:lang w:val="en-GB"/>
              </w:rPr>
              <w:t>Indicator 4.1.1</w:t>
            </w:r>
            <w:r w:rsidR="00F06BFC" w:rsidRPr="00D341ED">
              <w:rPr>
                <w:b/>
                <w:color w:val="000000" w:themeColor="text1"/>
                <w:sz w:val="16"/>
                <w:szCs w:val="16"/>
                <w:lang w:val="en-GB"/>
              </w:rPr>
              <w:t>.</w:t>
            </w:r>
            <w:r w:rsidRPr="00D341ED">
              <w:rPr>
                <w:color w:val="000000" w:themeColor="text1"/>
                <w:sz w:val="16"/>
                <w:szCs w:val="16"/>
                <w:lang w:val="en-GB"/>
              </w:rPr>
              <w:t xml:space="preserve"> Number of cases of legal services received by conflict-affected persons (including GBV survivors) by sex</w:t>
            </w:r>
          </w:p>
          <w:p w14:paraId="721C05AE"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(2019): 640 (82% women)</w:t>
            </w:r>
          </w:p>
          <w:p w14:paraId="3812CEE9" w14:textId="3249A96E"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920 </w:t>
            </w:r>
            <w:r w:rsidR="005A4676" w:rsidRPr="00D341ED">
              <w:rPr>
                <w:color w:val="000000" w:themeColor="text1"/>
                <w:sz w:val="16"/>
                <w:szCs w:val="16"/>
                <w:lang w:val="en-GB"/>
              </w:rPr>
              <w:t xml:space="preserve"> </w:t>
            </w:r>
            <w:r w:rsidR="005C5412" w:rsidRPr="00D341ED">
              <w:rPr>
                <w:color w:val="000000" w:themeColor="text1"/>
                <w:sz w:val="16"/>
                <w:szCs w:val="16"/>
                <w:lang w:val="en-GB"/>
              </w:rPr>
              <w:t>(</w:t>
            </w:r>
            <w:r w:rsidRPr="00D341ED">
              <w:rPr>
                <w:color w:val="000000" w:themeColor="text1"/>
                <w:sz w:val="16"/>
                <w:szCs w:val="16"/>
                <w:lang w:val="en-GB"/>
              </w:rPr>
              <w:t>80% women</w:t>
            </w:r>
            <w:r w:rsidR="005C5412" w:rsidRPr="00D341ED">
              <w:rPr>
                <w:color w:val="000000" w:themeColor="text1"/>
                <w:sz w:val="16"/>
                <w:szCs w:val="16"/>
                <w:lang w:val="en-GB"/>
              </w:rPr>
              <w:t>)</w:t>
            </w:r>
          </w:p>
          <w:p w14:paraId="44988D4C"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UNDP, annually</w:t>
            </w:r>
          </w:p>
          <w:p w14:paraId="2B716F7B" w14:textId="77777777" w:rsidR="0090158F" w:rsidRPr="00D341ED" w:rsidRDefault="0090158F" w:rsidP="00475B8F">
            <w:pPr>
              <w:ind w:left="417"/>
              <w:rPr>
                <w:color w:val="000000" w:themeColor="text1"/>
                <w:sz w:val="16"/>
                <w:szCs w:val="16"/>
                <w:lang w:val="en-GB"/>
              </w:rPr>
            </w:pPr>
          </w:p>
          <w:p w14:paraId="39CE977A" w14:textId="2282A1BE" w:rsidR="0090158F" w:rsidRPr="00D341ED" w:rsidRDefault="0090158F" w:rsidP="00475B8F">
            <w:pPr>
              <w:pStyle w:val="ListParagraph"/>
              <w:numPr>
                <w:ilvl w:val="0"/>
                <w:numId w:val="13"/>
              </w:numPr>
              <w:ind w:left="417"/>
              <w:rPr>
                <w:color w:val="000000" w:themeColor="text1"/>
                <w:sz w:val="16"/>
                <w:szCs w:val="16"/>
                <w:lang w:val="en-GB"/>
              </w:rPr>
            </w:pPr>
            <w:r w:rsidRPr="00D341ED">
              <w:rPr>
                <w:b/>
                <w:color w:val="000000" w:themeColor="text1"/>
                <w:sz w:val="16"/>
                <w:szCs w:val="16"/>
                <w:lang w:val="en-GB"/>
              </w:rPr>
              <w:t>Indicator 4.1.2</w:t>
            </w:r>
            <w:r w:rsidR="00F06BFC" w:rsidRPr="00D341ED">
              <w:rPr>
                <w:b/>
                <w:color w:val="000000" w:themeColor="text1"/>
                <w:sz w:val="16"/>
                <w:szCs w:val="16"/>
                <w:lang w:val="en-GB"/>
              </w:rPr>
              <w:t>.</w:t>
            </w:r>
            <w:r w:rsidRPr="00D341ED">
              <w:rPr>
                <w:color w:val="000000" w:themeColor="text1"/>
                <w:sz w:val="16"/>
                <w:szCs w:val="16"/>
                <w:lang w:val="en-GB"/>
              </w:rPr>
              <w:t xml:space="preserve"> Number of cases of psychological assistance services received by conflict-affected persons (including GBV survivors) by sex</w:t>
            </w:r>
          </w:p>
          <w:p w14:paraId="4595FC56"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(2019): 757, 94% women</w:t>
            </w:r>
          </w:p>
          <w:p w14:paraId="25FE40FE"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1,177, 95% women</w:t>
            </w:r>
          </w:p>
          <w:p w14:paraId="26100A45"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UNDP, annually</w:t>
            </w:r>
          </w:p>
          <w:p w14:paraId="5066C32B" w14:textId="77777777" w:rsidR="0090158F" w:rsidRPr="00D341ED" w:rsidRDefault="0090158F" w:rsidP="00475B8F">
            <w:pPr>
              <w:ind w:left="417"/>
              <w:rPr>
                <w:color w:val="000000" w:themeColor="text1"/>
                <w:sz w:val="16"/>
                <w:szCs w:val="16"/>
                <w:lang w:val="en-GB"/>
              </w:rPr>
            </w:pPr>
          </w:p>
          <w:p w14:paraId="115A3B1D" w14:textId="0883B963" w:rsidR="0090158F" w:rsidRPr="00D341ED" w:rsidRDefault="0090158F" w:rsidP="00475B8F">
            <w:pPr>
              <w:pStyle w:val="ListParagraph"/>
              <w:numPr>
                <w:ilvl w:val="0"/>
                <w:numId w:val="13"/>
              </w:numPr>
              <w:ind w:left="417"/>
              <w:rPr>
                <w:color w:val="000000" w:themeColor="text1"/>
                <w:sz w:val="16"/>
                <w:szCs w:val="16"/>
                <w:lang w:val="en-GB"/>
              </w:rPr>
            </w:pPr>
            <w:r w:rsidRPr="00D341ED">
              <w:rPr>
                <w:b/>
                <w:color w:val="000000" w:themeColor="text1"/>
                <w:sz w:val="16"/>
                <w:szCs w:val="16"/>
                <w:lang w:val="en-GB"/>
              </w:rPr>
              <w:t>Indicator 4.1.3</w:t>
            </w:r>
            <w:r w:rsidR="00F06BFC" w:rsidRPr="00D341ED">
              <w:rPr>
                <w:b/>
                <w:color w:val="000000" w:themeColor="text1"/>
                <w:sz w:val="16"/>
                <w:szCs w:val="16"/>
                <w:lang w:val="en-GB"/>
              </w:rPr>
              <w:t>.</w:t>
            </w:r>
            <w:r w:rsidRPr="00D341ED">
              <w:rPr>
                <w:bCs/>
                <w:color w:val="000000" w:themeColor="text1"/>
                <w:sz w:val="16"/>
                <w:szCs w:val="16"/>
                <w:lang w:val="en-GB"/>
              </w:rPr>
              <w:t xml:space="preserve"> </w:t>
            </w:r>
            <w:r w:rsidRPr="00D341ED">
              <w:rPr>
                <w:color w:val="000000" w:themeColor="text1"/>
                <w:sz w:val="16"/>
                <w:szCs w:val="16"/>
                <w:lang w:val="en-GB"/>
              </w:rPr>
              <w:t>Number of conflict-affected youngsters with improved access to schools, VET colleges and university</w:t>
            </w:r>
          </w:p>
          <w:p w14:paraId="4D9A8FFE"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(2019): 20,174 (40% female youth)</w:t>
            </w:r>
          </w:p>
          <w:p w14:paraId="3D92CF8D" w14:textId="4EF5BCE6"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31,578 </w:t>
            </w:r>
            <w:r w:rsidR="005C5412" w:rsidRPr="00D341ED">
              <w:rPr>
                <w:color w:val="000000" w:themeColor="text1"/>
                <w:sz w:val="16"/>
                <w:szCs w:val="16"/>
                <w:lang w:val="en-GB"/>
              </w:rPr>
              <w:t>(</w:t>
            </w:r>
            <w:r w:rsidRPr="00D341ED">
              <w:rPr>
                <w:color w:val="000000" w:themeColor="text1"/>
                <w:sz w:val="16"/>
                <w:szCs w:val="16"/>
                <w:lang w:val="en-GB"/>
              </w:rPr>
              <w:t>50% female youth</w:t>
            </w:r>
            <w:r w:rsidR="005C5412" w:rsidRPr="00D341ED">
              <w:rPr>
                <w:color w:val="000000" w:themeColor="text1"/>
                <w:sz w:val="16"/>
                <w:szCs w:val="16"/>
                <w:lang w:val="en-GB"/>
              </w:rPr>
              <w:t>)</w:t>
            </w:r>
          </w:p>
          <w:p w14:paraId="44312A9D"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lastRenderedPageBreak/>
              <w:t>Source</w:t>
            </w:r>
            <w:r w:rsidRPr="00D341ED">
              <w:rPr>
                <w:color w:val="000000" w:themeColor="text1"/>
                <w:sz w:val="16"/>
                <w:szCs w:val="16"/>
                <w:lang w:val="en-GB"/>
              </w:rPr>
              <w:t>: UNDP, annually</w:t>
            </w:r>
          </w:p>
          <w:p w14:paraId="2D3CB36F" w14:textId="77777777" w:rsidR="0090158F" w:rsidRPr="00D341ED" w:rsidRDefault="0090158F" w:rsidP="00475B8F">
            <w:pPr>
              <w:ind w:left="417"/>
              <w:rPr>
                <w:color w:val="000000" w:themeColor="text1"/>
                <w:sz w:val="16"/>
                <w:szCs w:val="16"/>
                <w:lang w:val="en-GB"/>
              </w:rPr>
            </w:pPr>
          </w:p>
          <w:p w14:paraId="0CBC8078" w14:textId="7BE5B853" w:rsidR="0090158F" w:rsidRPr="00D341ED" w:rsidRDefault="0090158F" w:rsidP="00475B8F">
            <w:pPr>
              <w:pStyle w:val="ListParagraph"/>
              <w:numPr>
                <w:ilvl w:val="0"/>
                <w:numId w:val="13"/>
              </w:numPr>
              <w:ind w:left="417"/>
              <w:rPr>
                <w:color w:val="000000" w:themeColor="text1"/>
                <w:sz w:val="16"/>
                <w:szCs w:val="16"/>
                <w:lang w:val="en-GB"/>
              </w:rPr>
            </w:pPr>
            <w:r w:rsidRPr="00D341ED">
              <w:rPr>
                <w:b/>
                <w:color w:val="000000" w:themeColor="text1"/>
                <w:sz w:val="16"/>
                <w:szCs w:val="16"/>
                <w:lang w:val="en-GB"/>
              </w:rPr>
              <w:t>Indicator 4.1.4</w:t>
            </w:r>
            <w:r w:rsidR="00F06BFC" w:rsidRPr="00D341ED">
              <w:rPr>
                <w:b/>
                <w:color w:val="000000" w:themeColor="text1"/>
                <w:sz w:val="16"/>
                <w:szCs w:val="16"/>
                <w:lang w:val="en-GB"/>
              </w:rPr>
              <w:t>.</w:t>
            </w:r>
            <w:r w:rsidRPr="00D341ED">
              <w:rPr>
                <w:bCs/>
                <w:color w:val="000000" w:themeColor="text1"/>
                <w:sz w:val="16"/>
                <w:szCs w:val="16"/>
                <w:lang w:val="en-GB"/>
              </w:rPr>
              <w:t xml:space="preserve"> </w:t>
            </w:r>
            <w:r w:rsidRPr="00D341ED">
              <w:rPr>
                <w:color w:val="000000" w:themeColor="text1"/>
                <w:sz w:val="16"/>
                <w:szCs w:val="16"/>
                <w:lang w:val="en-GB"/>
              </w:rPr>
              <w:t>Number of conflict-affected population with improved access to essential healthcare services</w:t>
            </w:r>
          </w:p>
          <w:p w14:paraId="36993896"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(2019): 10,886 (about 60% female youth)</w:t>
            </w:r>
          </w:p>
          <w:p w14:paraId="2F1CA6CA" w14:textId="445C9886"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16,054 </w:t>
            </w:r>
            <w:r w:rsidR="005C5412" w:rsidRPr="00D341ED">
              <w:rPr>
                <w:color w:val="000000" w:themeColor="text1"/>
                <w:sz w:val="16"/>
                <w:szCs w:val="16"/>
                <w:lang w:val="en-GB"/>
              </w:rPr>
              <w:t>(</w:t>
            </w:r>
            <w:r w:rsidRPr="00D341ED">
              <w:rPr>
                <w:color w:val="000000" w:themeColor="text1"/>
                <w:sz w:val="16"/>
                <w:szCs w:val="16"/>
                <w:lang w:val="en-GB"/>
              </w:rPr>
              <w:t>50% female youth</w:t>
            </w:r>
            <w:r w:rsidR="005C5412" w:rsidRPr="00D341ED">
              <w:rPr>
                <w:color w:val="000000" w:themeColor="text1"/>
                <w:sz w:val="16"/>
                <w:szCs w:val="16"/>
                <w:lang w:val="en-GB"/>
              </w:rPr>
              <w:t>)</w:t>
            </w:r>
          </w:p>
          <w:p w14:paraId="7937541E"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UNDP, annually</w:t>
            </w:r>
          </w:p>
          <w:p w14:paraId="5AA300B4" w14:textId="77777777" w:rsidR="0090158F" w:rsidRPr="00D341ED" w:rsidRDefault="0090158F" w:rsidP="00475B8F">
            <w:pPr>
              <w:ind w:left="417"/>
              <w:rPr>
                <w:bCs/>
                <w:color w:val="000000" w:themeColor="text1"/>
                <w:sz w:val="16"/>
                <w:szCs w:val="16"/>
                <w:lang w:val="en-GB"/>
              </w:rPr>
            </w:pPr>
          </w:p>
          <w:p w14:paraId="3A5ED255" w14:textId="0227D333" w:rsidR="0090158F" w:rsidRPr="00D341ED" w:rsidRDefault="0090158F" w:rsidP="00475B8F">
            <w:pPr>
              <w:pStyle w:val="ListParagraph"/>
              <w:numPr>
                <w:ilvl w:val="0"/>
                <w:numId w:val="13"/>
              </w:numPr>
              <w:ind w:left="417"/>
              <w:rPr>
                <w:color w:val="000000" w:themeColor="text1"/>
                <w:sz w:val="16"/>
                <w:szCs w:val="16"/>
                <w:lang w:val="en-GB"/>
              </w:rPr>
            </w:pPr>
            <w:r w:rsidRPr="00D341ED">
              <w:rPr>
                <w:b/>
                <w:color w:val="000000" w:themeColor="text1"/>
                <w:sz w:val="16"/>
                <w:szCs w:val="16"/>
                <w:lang w:val="en-GB"/>
              </w:rPr>
              <w:t>Indicator 4.1.5</w:t>
            </w:r>
            <w:r w:rsidR="00F06BFC" w:rsidRPr="00D341ED">
              <w:rPr>
                <w:b/>
                <w:color w:val="000000" w:themeColor="text1"/>
                <w:sz w:val="16"/>
                <w:szCs w:val="16"/>
                <w:lang w:val="en-GB"/>
              </w:rPr>
              <w:t>.</w:t>
            </w:r>
            <w:r w:rsidRPr="00D341ED">
              <w:rPr>
                <w:color w:val="000000" w:themeColor="text1"/>
                <w:sz w:val="16"/>
                <w:szCs w:val="16"/>
                <w:lang w:val="en-GB"/>
              </w:rPr>
              <w:t xml:space="preserve"> Number of people benefiting directly from improved socioeconomic conditions and improved human security</w:t>
            </w:r>
          </w:p>
          <w:p w14:paraId="62B7D1A8"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(2019): 5,362 (51% women)</w:t>
            </w:r>
          </w:p>
          <w:p w14:paraId="40F2FE83" w14:textId="2F5425C5"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14,742 </w:t>
            </w:r>
            <w:r w:rsidR="005C5412" w:rsidRPr="00D341ED">
              <w:rPr>
                <w:color w:val="000000" w:themeColor="text1"/>
                <w:sz w:val="16"/>
                <w:szCs w:val="16"/>
                <w:lang w:val="en-GB"/>
              </w:rPr>
              <w:t>(</w:t>
            </w:r>
            <w:r w:rsidRPr="00D341ED">
              <w:rPr>
                <w:color w:val="000000" w:themeColor="text1"/>
                <w:sz w:val="16"/>
                <w:szCs w:val="16"/>
                <w:lang w:val="en-GB"/>
              </w:rPr>
              <w:t>50% women</w:t>
            </w:r>
            <w:r w:rsidR="005C5412" w:rsidRPr="00D341ED">
              <w:rPr>
                <w:color w:val="000000" w:themeColor="text1"/>
                <w:sz w:val="16"/>
                <w:szCs w:val="16"/>
                <w:lang w:val="en-GB"/>
              </w:rPr>
              <w:t>)</w:t>
            </w:r>
          </w:p>
          <w:p w14:paraId="451AB152" w14:textId="77777777" w:rsidR="0090158F" w:rsidRPr="00D341ED" w:rsidRDefault="0090158F" w:rsidP="00475B8F">
            <w:pPr>
              <w:pStyle w:val="ListParagraph"/>
              <w:ind w:left="417"/>
              <w:rPr>
                <w:color w:val="000000" w:themeColor="text1"/>
                <w:sz w:val="16"/>
                <w:szCs w:val="16"/>
                <w:lang w:val="en-GB"/>
              </w:rPr>
            </w:pPr>
            <w:r w:rsidRPr="00D341ED">
              <w:rPr>
                <w:color w:val="000000" w:themeColor="text1"/>
                <w:sz w:val="16"/>
                <w:szCs w:val="16"/>
                <w:lang w:val="en-GB"/>
              </w:rPr>
              <w:t>Source: UNDP, annually</w:t>
            </w:r>
          </w:p>
          <w:p w14:paraId="2C116670" w14:textId="77777777" w:rsidR="0090158F" w:rsidRPr="00D341ED" w:rsidRDefault="0090158F" w:rsidP="00475B8F">
            <w:pPr>
              <w:ind w:left="417"/>
              <w:rPr>
                <w:color w:val="000000" w:themeColor="text1"/>
                <w:sz w:val="16"/>
                <w:szCs w:val="16"/>
                <w:lang w:val="en-GB"/>
              </w:rPr>
            </w:pPr>
          </w:p>
          <w:p w14:paraId="3293B3C0" w14:textId="4CDDF616" w:rsidR="0090158F" w:rsidRPr="00D341ED" w:rsidRDefault="0090158F" w:rsidP="009A5A8A">
            <w:pPr>
              <w:pStyle w:val="ListParagraph"/>
              <w:numPr>
                <w:ilvl w:val="0"/>
                <w:numId w:val="13"/>
              </w:numPr>
              <w:ind w:left="379"/>
              <w:rPr>
                <w:color w:val="000000" w:themeColor="text1"/>
                <w:sz w:val="16"/>
                <w:szCs w:val="16"/>
                <w:lang w:val="en-GB"/>
              </w:rPr>
            </w:pPr>
            <w:r w:rsidRPr="00D341ED">
              <w:rPr>
                <w:b/>
                <w:color w:val="000000" w:themeColor="text1"/>
                <w:sz w:val="16"/>
                <w:szCs w:val="16"/>
                <w:lang w:val="en-GB"/>
              </w:rPr>
              <w:t>Indicator 4.1.6</w:t>
            </w:r>
            <w:r w:rsidR="00F06BFC" w:rsidRPr="00D341ED">
              <w:rPr>
                <w:b/>
                <w:color w:val="000000" w:themeColor="text1"/>
                <w:sz w:val="16"/>
                <w:szCs w:val="16"/>
                <w:lang w:val="en-GB"/>
              </w:rPr>
              <w:t>.</w:t>
            </w:r>
            <w:r w:rsidRPr="00D341ED">
              <w:rPr>
                <w:bCs/>
                <w:color w:val="000000" w:themeColor="text1"/>
                <w:sz w:val="16"/>
                <w:szCs w:val="16"/>
                <w:lang w:val="en-GB"/>
              </w:rPr>
              <w:t xml:space="preserve"> </w:t>
            </w:r>
            <w:r w:rsidRPr="00D341ED">
              <w:rPr>
                <w:color w:val="000000" w:themeColor="text1"/>
                <w:sz w:val="16"/>
                <w:szCs w:val="16"/>
                <w:lang w:val="en-GB"/>
              </w:rPr>
              <w:t>Number of people with improved community resilience against climate-induced multi-hazard natural disasters</w:t>
            </w:r>
          </w:p>
          <w:p w14:paraId="67639727" w14:textId="77777777" w:rsidR="0090158F" w:rsidRPr="00D341ED" w:rsidRDefault="0090158F" w:rsidP="009A5A8A">
            <w:pPr>
              <w:pStyle w:val="ListParagraph"/>
              <w:ind w:left="379"/>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(2020): 0 </w:t>
            </w:r>
          </w:p>
          <w:p w14:paraId="72AA9B2A" w14:textId="77777777" w:rsidR="0090158F" w:rsidRPr="00D341ED" w:rsidRDefault="0090158F" w:rsidP="009A5A8A">
            <w:pPr>
              <w:pStyle w:val="ListParagraph"/>
              <w:ind w:left="379"/>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780 direct beneficiaries (50% female) </w:t>
            </w:r>
          </w:p>
          <w:p w14:paraId="160F9EF5" w14:textId="77777777" w:rsidR="0090158F" w:rsidRPr="00D341ED" w:rsidRDefault="0090158F" w:rsidP="009A5A8A">
            <w:pPr>
              <w:pStyle w:val="ListParagraph"/>
              <w:ind w:left="379"/>
              <w:rPr>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UNDP, annually</w:t>
            </w:r>
          </w:p>
          <w:p w14:paraId="7051EADA" w14:textId="77777777" w:rsidR="0090158F" w:rsidRPr="00D341ED" w:rsidRDefault="0090158F" w:rsidP="00475B8F">
            <w:pPr>
              <w:ind w:left="417"/>
              <w:rPr>
                <w:bCs/>
                <w:color w:val="000000" w:themeColor="text1"/>
                <w:sz w:val="16"/>
                <w:szCs w:val="16"/>
                <w:lang w:val="en-GB"/>
              </w:rPr>
            </w:pPr>
          </w:p>
          <w:p w14:paraId="11ABA2D6" w14:textId="5D154334" w:rsidR="0090158F" w:rsidRPr="00D341ED" w:rsidRDefault="0090158F" w:rsidP="00475B8F">
            <w:pPr>
              <w:rPr>
                <w:bCs/>
                <w:color w:val="000000" w:themeColor="text1"/>
                <w:sz w:val="16"/>
                <w:szCs w:val="16"/>
                <w:lang w:val="en-GB"/>
              </w:rPr>
            </w:pPr>
            <w:r w:rsidRPr="00D341ED">
              <w:rPr>
                <w:b/>
                <w:color w:val="000000" w:themeColor="text1"/>
                <w:sz w:val="16"/>
                <w:szCs w:val="16"/>
                <w:lang w:val="en-GB"/>
              </w:rPr>
              <w:t>Output 4.2</w:t>
            </w:r>
            <w:r w:rsidR="00F06BFC" w:rsidRPr="00D341ED">
              <w:rPr>
                <w:b/>
                <w:color w:val="000000" w:themeColor="text1"/>
                <w:sz w:val="16"/>
                <w:szCs w:val="16"/>
                <w:lang w:val="en-GB"/>
              </w:rPr>
              <w:t>.</w:t>
            </w:r>
            <w:r w:rsidRPr="00D341ED">
              <w:rPr>
                <w:bCs/>
                <w:color w:val="000000" w:themeColor="text1"/>
                <w:sz w:val="16"/>
                <w:szCs w:val="16"/>
                <w:lang w:val="en-GB"/>
              </w:rPr>
              <w:t xml:space="preserve"> Space widened for dialogue and participation that strengthens civil society, community resilience, social cohesion and implementation of </w:t>
            </w:r>
            <w:r w:rsidR="00F06BFC" w:rsidRPr="00D341ED">
              <w:rPr>
                <w:bCs/>
                <w:color w:val="000000" w:themeColor="text1"/>
                <w:sz w:val="16"/>
                <w:szCs w:val="16"/>
                <w:lang w:val="en-GB"/>
              </w:rPr>
              <w:t>the w</w:t>
            </w:r>
            <w:r w:rsidRPr="00D341ED">
              <w:rPr>
                <w:bCs/>
                <w:color w:val="000000" w:themeColor="text1"/>
                <w:sz w:val="16"/>
                <w:szCs w:val="16"/>
                <w:lang w:val="en-GB"/>
              </w:rPr>
              <w:t xml:space="preserve">omen, </w:t>
            </w:r>
            <w:r w:rsidR="00F06BFC" w:rsidRPr="00D341ED">
              <w:rPr>
                <w:bCs/>
                <w:color w:val="000000" w:themeColor="text1"/>
                <w:sz w:val="16"/>
                <w:szCs w:val="16"/>
                <w:lang w:val="en-GB"/>
              </w:rPr>
              <w:t>p</w:t>
            </w:r>
            <w:r w:rsidRPr="00D341ED">
              <w:rPr>
                <w:bCs/>
                <w:color w:val="000000" w:themeColor="text1"/>
                <w:sz w:val="16"/>
                <w:szCs w:val="16"/>
                <w:lang w:val="en-GB"/>
              </w:rPr>
              <w:t xml:space="preserve">eace and </w:t>
            </w:r>
            <w:r w:rsidR="00F06BFC" w:rsidRPr="00D341ED">
              <w:rPr>
                <w:bCs/>
                <w:color w:val="000000" w:themeColor="text1"/>
                <w:sz w:val="16"/>
                <w:szCs w:val="16"/>
                <w:lang w:val="en-GB"/>
              </w:rPr>
              <w:t>s</w:t>
            </w:r>
            <w:r w:rsidRPr="00D341ED">
              <w:rPr>
                <w:bCs/>
                <w:color w:val="000000" w:themeColor="text1"/>
                <w:sz w:val="16"/>
                <w:szCs w:val="16"/>
                <w:lang w:val="en-GB"/>
              </w:rPr>
              <w:t xml:space="preserve">ecurity </w:t>
            </w:r>
            <w:r w:rsidR="00F06BFC" w:rsidRPr="00D341ED">
              <w:rPr>
                <w:bCs/>
                <w:color w:val="000000" w:themeColor="text1"/>
                <w:sz w:val="16"/>
                <w:szCs w:val="16"/>
                <w:lang w:val="en-GB"/>
              </w:rPr>
              <w:t>a</w:t>
            </w:r>
            <w:r w:rsidRPr="00D341ED">
              <w:rPr>
                <w:bCs/>
                <w:color w:val="000000" w:themeColor="text1"/>
                <w:sz w:val="16"/>
                <w:szCs w:val="16"/>
                <w:lang w:val="en-GB"/>
              </w:rPr>
              <w:t>genda</w:t>
            </w:r>
          </w:p>
          <w:p w14:paraId="0092A61E" w14:textId="77777777" w:rsidR="0090158F" w:rsidRPr="00D341ED" w:rsidRDefault="0090158F" w:rsidP="00475B8F">
            <w:pPr>
              <w:ind w:left="417"/>
              <w:rPr>
                <w:bCs/>
                <w:color w:val="000000" w:themeColor="text1"/>
                <w:sz w:val="16"/>
                <w:szCs w:val="16"/>
                <w:lang w:val="en-GB"/>
              </w:rPr>
            </w:pPr>
          </w:p>
          <w:p w14:paraId="14FB6D1F" w14:textId="13C00373" w:rsidR="0090158F" w:rsidRPr="00D341ED" w:rsidRDefault="0090158F" w:rsidP="00475B8F">
            <w:pPr>
              <w:pStyle w:val="ListParagraph"/>
              <w:numPr>
                <w:ilvl w:val="0"/>
                <w:numId w:val="13"/>
              </w:numPr>
              <w:ind w:left="417"/>
              <w:rPr>
                <w:color w:val="000000" w:themeColor="text1"/>
                <w:sz w:val="16"/>
                <w:szCs w:val="16"/>
                <w:lang w:val="en-GB"/>
              </w:rPr>
            </w:pPr>
            <w:r w:rsidRPr="00D341ED">
              <w:rPr>
                <w:b/>
                <w:color w:val="000000" w:themeColor="text1"/>
                <w:sz w:val="16"/>
                <w:szCs w:val="16"/>
                <w:lang w:val="en-GB"/>
              </w:rPr>
              <w:t>Indicator 4.2.1</w:t>
            </w:r>
            <w:r w:rsidR="00F06BFC" w:rsidRPr="00D341ED">
              <w:rPr>
                <w:b/>
                <w:color w:val="000000" w:themeColor="text1"/>
                <w:sz w:val="16"/>
                <w:szCs w:val="16"/>
                <w:lang w:val="en-GB"/>
              </w:rPr>
              <w:t>.</w:t>
            </w:r>
            <w:r w:rsidRPr="00D341ED">
              <w:rPr>
                <w:bCs/>
                <w:color w:val="000000" w:themeColor="text1"/>
                <w:sz w:val="16"/>
                <w:szCs w:val="16"/>
                <w:lang w:val="en-GB"/>
              </w:rPr>
              <w:t xml:space="preserve"> </w:t>
            </w:r>
            <w:r w:rsidRPr="00D341ED">
              <w:rPr>
                <w:color w:val="000000" w:themeColor="text1"/>
                <w:sz w:val="16"/>
                <w:szCs w:val="16"/>
                <w:lang w:val="en-GB"/>
              </w:rPr>
              <w:t>Number of initiatives to support direct people-to-people contacts, liaison activities (deliveries of medication and/or other essential goods) and to enhance enabling environment for dialogue and trust within and across divided communities</w:t>
            </w:r>
          </w:p>
          <w:p w14:paraId="0C95F5CA"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(2020): 121 </w:t>
            </w:r>
          </w:p>
          <w:p w14:paraId="7002F5D9" w14:textId="4A39CF48"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lastRenderedPageBreak/>
              <w:t>Target</w:t>
            </w:r>
            <w:r w:rsidRPr="00D341ED">
              <w:rPr>
                <w:color w:val="000000" w:themeColor="text1"/>
                <w:sz w:val="16"/>
                <w:szCs w:val="16"/>
                <w:lang w:val="en-GB"/>
              </w:rPr>
              <w:t xml:space="preserve"> (2025): 221 </w:t>
            </w:r>
          </w:p>
          <w:p w14:paraId="3C9E7583"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UNDP, annually</w:t>
            </w:r>
          </w:p>
          <w:p w14:paraId="260F0592" w14:textId="77777777" w:rsidR="0090158F" w:rsidRPr="00D341ED" w:rsidRDefault="0090158F" w:rsidP="00475B8F">
            <w:pPr>
              <w:ind w:left="417"/>
              <w:rPr>
                <w:color w:val="000000" w:themeColor="text1"/>
                <w:sz w:val="16"/>
                <w:szCs w:val="16"/>
                <w:lang w:val="en-GB"/>
              </w:rPr>
            </w:pPr>
          </w:p>
          <w:p w14:paraId="295589DB" w14:textId="48511949" w:rsidR="0090158F" w:rsidRPr="00D341ED" w:rsidRDefault="0090158F" w:rsidP="00475B8F">
            <w:pPr>
              <w:pStyle w:val="ListParagraph"/>
              <w:numPr>
                <w:ilvl w:val="0"/>
                <w:numId w:val="13"/>
              </w:numPr>
              <w:ind w:left="417"/>
              <w:rPr>
                <w:color w:val="000000" w:themeColor="text1"/>
                <w:sz w:val="16"/>
                <w:szCs w:val="16"/>
                <w:lang w:val="en-GB"/>
              </w:rPr>
            </w:pPr>
            <w:r w:rsidRPr="00D341ED">
              <w:rPr>
                <w:b/>
                <w:color w:val="000000" w:themeColor="text1"/>
                <w:sz w:val="16"/>
                <w:szCs w:val="16"/>
                <w:lang w:val="en-GB"/>
              </w:rPr>
              <w:t>Indicator 4.2.2</w:t>
            </w:r>
            <w:r w:rsidR="00F06BFC" w:rsidRPr="00D341ED">
              <w:rPr>
                <w:b/>
                <w:color w:val="000000" w:themeColor="text1"/>
                <w:sz w:val="16"/>
                <w:szCs w:val="16"/>
                <w:lang w:val="en-GB"/>
              </w:rPr>
              <w:t>.</w:t>
            </w:r>
            <w:r w:rsidRPr="00D341ED">
              <w:rPr>
                <w:bCs/>
                <w:color w:val="000000" w:themeColor="text1"/>
                <w:sz w:val="16"/>
                <w:szCs w:val="16"/>
                <w:lang w:val="en-GB"/>
              </w:rPr>
              <w:t xml:space="preserve"> </w:t>
            </w:r>
            <w:r w:rsidRPr="00D341ED">
              <w:rPr>
                <w:color w:val="000000" w:themeColor="text1"/>
                <w:sz w:val="16"/>
                <w:szCs w:val="16"/>
                <w:lang w:val="en-GB"/>
              </w:rPr>
              <w:t>Number of people who benefit from peacebuilding initiatives that ensure enhanced confidence within and between divided communities</w:t>
            </w:r>
          </w:p>
          <w:p w14:paraId="51966BE7" w14:textId="77777777"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Baseline</w:t>
            </w:r>
            <w:r w:rsidRPr="00D341ED">
              <w:rPr>
                <w:color w:val="000000" w:themeColor="text1"/>
                <w:sz w:val="16"/>
                <w:szCs w:val="16"/>
                <w:lang w:val="en-GB"/>
              </w:rPr>
              <w:t xml:space="preserve"> (2020): 26,430, 49% women</w:t>
            </w:r>
          </w:p>
          <w:p w14:paraId="12B6527D" w14:textId="26D1D965" w:rsidR="0090158F" w:rsidRPr="00D341ED" w:rsidRDefault="0090158F" w:rsidP="00475B8F">
            <w:pPr>
              <w:pStyle w:val="ListParagraph"/>
              <w:ind w:left="417"/>
              <w:rPr>
                <w:color w:val="000000" w:themeColor="text1"/>
                <w:sz w:val="16"/>
                <w:szCs w:val="16"/>
                <w:lang w:val="en-GB"/>
              </w:rPr>
            </w:pPr>
            <w:r w:rsidRPr="00D341ED">
              <w:rPr>
                <w:b/>
                <w:bCs/>
                <w:color w:val="000000" w:themeColor="text1"/>
                <w:sz w:val="16"/>
                <w:szCs w:val="16"/>
                <w:lang w:val="en-GB"/>
              </w:rPr>
              <w:t>Target</w:t>
            </w:r>
            <w:r w:rsidRPr="00D341ED">
              <w:rPr>
                <w:color w:val="000000" w:themeColor="text1"/>
                <w:sz w:val="16"/>
                <w:szCs w:val="16"/>
                <w:lang w:val="en-GB"/>
              </w:rPr>
              <w:t xml:space="preserve"> (2025): 42,000 </w:t>
            </w:r>
            <w:r w:rsidR="005C5412" w:rsidRPr="00D341ED">
              <w:rPr>
                <w:color w:val="000000" w:themeColor="text1"/>
                <w:sz w:val="16"/>
                <w:szCs w:val="16"/>
                <w:lang w:val="en-GB"/>
              </w:rPr>
              <w:t>(</w:t>
            </w:r>
            <w:r w:rsidRPr="00D341ED">
              <w:rPr>
                <w:color w:val="000000" w:themeColor="text1"/>
                <w:sz w:val="16"/>
                <w:szCs w:val="16"/>
                <w:lang w:val="en-GB"/>
              </w:rPr>
              <w:t>50% women</w:t>
            </w:r>
            <w:r w:rsidR="005C5412" w:rsidRPr="00D341ED">
              <w:rPr>
                <w:color w:val="000000" w:themeColor="text1"/>
                <w:sz w:val="16"/>
                <w:szCs w:val="16"/>
                <w:lang w:val="en-GB"/>
              </w:rPr>
              <w:t>)</w:t>
            </w:r>
          </w:p>
          <w:p w14:paraId="2920B092" w14:textId="5363E65E" w:rsidR="00F06BFC" w:rsidRPr="00F80C39" w:rsidRDefault="0090158F" w:rsidP="00F80C39">
            <w:pPr>
              <w:pStyle w:val="ListParagraph"/>
              <w:ind w:left="417"/>
              <w:rPr>
                <w:color w:val="000000" w:themeColor="text1"/>
                <w:sz w:val="16"/>
                <w:szCs w:val="16"/>
                <w:lang w:val="en-GB"/>
              </w:rPr>
            </w:pPr>
            <w:r w:rsidRPr="00D341ED">
              <w:rPr>
                <w:b/>
                <w:bCs/>
                <w:color w:val="000000" w:themeColor="text1"/>
                <w:sz w:val="16"/>
                <w:szCs w:val="16"/>
                <w:lang w:val="en-GB"/>
              </w:rPr>
              <w:t>Source</w:t>
            </w:r>
            <w:r w:rsidRPr="00D341ED">
              <w:rPr>
                <w:color w:val="000000" w:themeColor="text1"/>
                <w:sz w:val="16"/>
                <w:szCs w:val="16"/>
                <w:lang w:val="en-GB"/>
              </w:rPr>
              <w:t>: UNDP, annually</w:t>
            </w:r>
          </w:p>
        </w:tc>
        <w:tc>
          <w:tcPr>
            <w:tcW w:w="675" w:type="pct"/>
            <w:vMerge w:val="restart"/>
            <w:shd w:val="clear" w:color="auto" w:fill="FFFFFF" w:themeFill="background1"/>
          </w:tcPr>
          <w:p w14:paraId="2F110C63" w14:textId="77777777" w:rsidR="0090158F" w:rsidRPr="00D341ED" w:rsidRDefault="0090158F" w:rsidP="00475B8F">
            <w:pPr>
              <w:rPr>
                <w:bCs/>
                <w:color w:val="000000" w:themeColor="text1"/>
                <w:sz w:val="16"/>
                <w:szCs w:val="16"/>
                <w:lang w:val="en-GB"/>
              </w:rPr>
            </w:pPr>
            <w:r w:rsidRPr="00D341ED">
              <w:rPr>
                <w:bCs/>
                <w:color w:val="000000" w:themeColor="text1"/>
                <w:sz w:val="16"/>
                <w:szCs w:val="16"/>
                <w:lang w:val="en-GB"/>
              </w:rPr>
              <w:lastRenderedPageBreak/>
              <w:t xml:space="preserve">State Minister for Reconciliation, CSOs, </w:t>
            </w:r>
          </w:p>
          <w:p w14:paraId="3C14F002" w14:textId="77777777" w:rsidR="0090158F" w:rsidRPr="00D341ED" w:rsidRDefault="0090158F" w:rsidP="00475B8F">
            <w:pPr>
              <w:rPr>
                <w:bCs/>
                <w:color w:val="000000" w:themeColor="text1"/>
                <w:sz w:val="16"/>
                <w:szCs w:val="16"/>
                <w:lang w:val="en-GB"/>
              </w:rPr>
            </w:pPr>
            <w:r w:rsidRPr="00D341ED">
              <w:rPr>
                <w:bCs/>
                <w:color w:val="000000" w:themeColor="text1"/>
                <w:sz w:val="16"/>
                <w:szCs w:val="16"/>
                <w:lang w:val="en-GB"/>
              </w:rPr>
              <w:t xml:space="preserve">international organizations, </w:t>
            </w:r>
          </w:p>
          <w:p w14:paraId="654534C9" w14:textId="6A43DC6F" w:rsidR="0090158F" w:rsidRPr="00D341ED" w:rsidRDefault="0090158F" w:rsidP="00475B8F">
            <w:pPr>
              <w:rPr>
                <w:bCs/>
                <w:color w:val="000000" w:themeColor="text1"/>
                <w:sz w:val="16"/>
                <w:szCs w:val="16"/>
                <w:lang w:val="en-GB"/>
              </w:rPr>
            </w:pPr>
            <w:r w:rsidRPr="00D341ED">
              <w:rPr>
                <w:bCs/>
                <w:color w:val="000000" w:themeColor="text1"/>
                <w:sz w:val="16"/>
                <w:szCs w:val="16"/>
                <w:lang w:val="en-GB"/>
              </w:rPr>
              <w:t>U</w:t>
            </w:r>
            <w:r w:rsidR="00F06BFC" w:rsidRPr="00D341ED">
              <w:rPr>
                <w:bCs/>
                <w:color w:val="000000" w:themeColor="text1"/>
                <w:sz w:val="16"/>
                <w:szCs w:val="16"/>
                <w:lang w:val="en-GB"/>
              </w:rPr>
              <w:t xml:space="preserve">nited </w:t>
            </w:r>
            <w:r w:rsidRPr="00D341ED">
              <w:rPr>
                <w:bCs/>
                <w:color w:val="000000" w:themeColor="text1"/>
                <w:sz w:val="16"/>
                <w:szCs w:val="16"/>
                <w:lang w:val="en-GB"/>
              </w:rPr>
              <w:t>N</w:t>
            </w:r>
            <w:r w:rsidR="00F06BFC" w:rsidRPr="00D341ED">
              <w:rPr>
                <w:bCs/>
                <w:color w:val="000000" w:themeColor="text1"/>
                <w:sz w:val="16"/>
                <w:szCs w:val="16"/>
                <w:lang w:val="en-GB"/>
              </w:rPr>
              <w:t>ations</w:t>
            </w:r>
            <w:r w:rsidRPr="00D341ED">
              <w:rPr>
                <w:bCs/>
                <w:color w:val="000000" w:themeColor="text1"/>
                <w:sz w:val="16"/>
                <w:szCs w:val="16"/>
                <w:lang w:val="en-GB"/>
              </w:rPr>
              <w:t xml:space="preserve"> </w:t>
            </w:r>
            <w:r w:rsidR="00F06BFC" w:rsidRPr="00D341ED">
              <w:rPr>
                <w:bCs/>
                <w:color w:val="000000" w:themeColor="text1"/>
                <w:sz w:val="16"/>
                <w:szCs w:val="16"/>
                <w:lang w:val="en-GB"/>
              </w:rPr>
              <w:t>organizations</w:t>
            </w:r>
          </w:p>
        </w:tc>
        <w:tc>
          <w:tcPr>
            <w:tcW w:w="958" w:type="pct"/>
            <w:shd w:val="clear" w:color="auto" w:fill="FFFFFF" w:themeFill="background1"/>
            <w:tcMar>
              <w:top w:w="15" w:type="dxa"/>
              <w:left w:w="108" w:type="dxa"/>
              <w:bottom w:w="0" w:type="dxa"/>
              <w:right w:w="108" w:type="dxa"/>
            </w:tcMar>
            <w:vAlign w:val="center"/>
          </w:tcPr>
          <w:p w14:paraId="36357CF7" w14:textId="302E2FEA" w:rsidR="0090158F" w:rsidRPr="00D341ED" w:rsidRDefault="0090158F" w:rsidP="00475B8F">
            <w:pPr>
              <w:rPr>
                <w:b/>
                <w:bCs/>
                <w:color w:val="000000" w:themeColor="text1"/>
                <w:sz w:val="16"/>
                <w:szCs w:val="16"/>
                <w:lang w:val="en-GB"/>
              </w:rPr>
            </w:pPr>
            <w:r w:rsidRPr="00D341ED">
              <w:rPr>
                <w:b/>
                <w:color w:val="000000" w:themeColor="text1"/>
                <w:sz w:val="16"/>
                <w:szCs w:val="16"/>
                <w:lang w:val="en-GB"/>
              </w:rPr>
              <w:t>Regular</w:t>
            </w:r>
            <w:r w:rsidR="00075D71" w:rsidRPr="00D341ED">
              <w:rPr>
                <w:b/>
                <w:color w:val="000000" w:themeColor="text1"/>
                <w:sz w:val="16"/>
                <w:szCs w:val="16"/>
                <w:lang w:val="en-GB"/>
              </w:rPr>
              <w:t>:</w:t>
            </w:r>
            <w:r w:rsidRPr="00D341ED">
              <w:rPr>
                <w:b/>
                <w:color w:val="000000" w:themeColor="text1"/>
                <w:sz w:val="16"/>
                <w:szCs w:val="16"/>
                <w:lang w:val="en-GB"/>
              </w:rPr>
              <w:t xml:space="preserve"> $437,500 </w:t>
            </w:r>
          </w:p>
        </w:tc>
      </w:tr>
      <w:tr w:rsidR="00FC3488" w:rsidRPr="00D341ED" w14:paraId="03B3531C" w14:textId="77777777" w:rsidTr="005A353B">
        <w:trPr>
          <w:tblHeader/>
        </w:trPr>
        <w:tc>
          <w:tcPr>
            <w:tcW w:w="1097" w:type="pct"/>
            <w:vMerge/>
            <w:tcMar>
              <w:top w:w="72" w:type="dxa"/>
              <w:left w:w="144" w:type="dxa"/>
              <w:bottom w:w="72" w:type="dxa"/>
              <w:right w:w="144" w:type="dxa"/>
            </w:tcMar>
            <w:vAlign w:val="center"/>
          </w:tcPr>
          <w:p w14:paraId="50895670" w14:textId="77777777" w:rsidR="00FC3488" w:rsidRPr="00D341ED" w:rsidRDefault="00FC3488" w:rsidP="00475B8F">
            <w:pPr>
              <w:jc w:val="center"/>
              <w:rPr>
                <w:b/>
                <w:bCs/>
                <w:color w:val="000000" w:themeColor="text1"/>
                <w:sz w:val="16"/>
                <w:szCs w:val="16"/>
                <w:lang w:val="en-GB"/>
              </w:rPr>
            </w:pPr>
          </w:p>
        </w:tc>
        <w:tc>
          <w:tcPr>
            <w:tcW w:w="1178" w:type="pct"/>
            <w:vMerge/>
            <w:vAlign w:val="center"/>
          </w:tcPr>
          <w:p w14:paraId="38C1F859" w14:textId="77777777" w:rsidR="00FC3488" w:rsidRPr="00D341ED" w:rsidRDefault="00FC3488" w:rsidP="00475B8F">
            <w:pPr>
              <w:pStyle w:val="ListParagraph"/>
              <w:numPr>
                <w:ilvl w:val="0"/>
                <w:numId w:val="1"/>
              </w:numPr>
              <w:rPr>
                <w:b/>
                <w:color w:val="000000" w:themeColor="text1"/>
                <w:sz w:val="16"/>
                <w:szCs w:val="16"/>
                <w:lang w:val="en-GB"/>
              </w:rPr>
            </w:pPr>
          </w:p>
        </w:tc>
        <w:tc>
          <w:tcPr>
            <w:tcW w:w="1092" w:type="pct"/>
            <w:vMerge/>
            <w:tcMar>
              <w:top w:w="72" w:type="dxa"/>
              <w:left w:w="144" w:type="dxa"/>
              <w:bottom w:w="72" w:type="dxa"/>
              <w:right w:w="144" w:type="dxa"/>
            </w:tcMar>
            <w:vAlign w:val="center"/>
          </w:tcPr>
          <w:p w14:paraId="0C8FE7CE" w14:textId="77777777" w:rsidR="00FC3488" w:rsidRPr="00D341ED" w:rsidRDefault="00FC3488" w:rsidP="00475B8F">
            <w:pPr>
              <w:jc w:val="center"/>
              <w:rPr>
                <w:b/>
                <w:bCs/>
                <w:color w:val="000000" w:themeColor="text1"/>
                <w:sz w:val="16"/>
                <w:szCs w:val="16"/>
                <w:lang w:val="en-GB"/>
              </w:rPr>
            </w:pPr>
          </w:p>
        </w:tc>
        <w:tc>
          <w:tcPr>
            <w:tcW w:w="675" w:type="pct"/>
            <w:vMerge/>
            <w:vAlign w:val="center"/>
          </w:tcPr>
          <w:p w14:paraId="41004F19" w14:textId="77777777" w:rsidR="00FC3488" w:rsidRPr="00D341ED" w:rsidRDefault="00FC3488" w:rsidP="00475B8F">
            <w:pPr>
              <w:jc w:val="center"/>
              <w:rPr>
                <w:b/>
                <w:bCs/>
                <w:color w:val="000000" w:themeColor="text1"/>
                <w:sz w:val="16"/>
                <w:szCs w:val="16"/>
                <w:lang w:val="en-GB"/>
              </w:rPr>
            </w:pPr>
          </w:p>
        </w:tc>
        <w:tc>
          <w:tcPr>
            <w:tcW w:w="958" w:type="pct"/>
            <w:shd w:val="clear" w:color="auto" w:fill="FFFFFF" w:themeFill="background1"/>
            <w:tcMar>
              <w:top w:w="15" w:type="dxa"/>
              <w:left w:w="108" w:type="dxa"/>
              <w:bottom w:w="0" w:type="dxa"/>
              <w:right w:w="108" w:type="dxa"/>
            </w:tcMar>
          </w:tcPr>
          <w:p w14:paraId="3AEAB5FB" w14:textId="60CB6AEA" w:rsidR="00FC3488" w:rsidRPr="00D341ED" w:rsidRDefault="00FC3488" w:rsidP="00475B8F">
            <w:pPr>
              <w:rPr>
                <w:b/>
                <w:color w:val="000000" w:themeColor="text1"/>
                <w:sz w:val="16"/>
                <w:szCs w:val="16"/>
                <w:lang w:val="en-GB"/>
              </w:rPr>
            </w:pPr>
            <w:r w:rsidRPr="00D341ED">
              <w:rPr>
                <w:b/>
                <w:bCs/>
                <w:color w:val="000000" w:themeColor="text1"/>
                <w:sz w:val="16"/>
                <w:szCs w:val="16"/>
                <w:lang w:val="en-GB"/>
              </w:rPr>
              <w:t>Other</w:t>
            </w:r>
            <w:r w:rsidR="00075D71" w:rsidRPr="00D341ED">
              <w:rPr>
                <w:b/>
                <w:bCs/>
                <w:color w:val="000000" w:themeColor="text1"/>
                <w:sz w:val="16"/>
                <w:szCs w:val="16"/>
                <w:lang w:val="en-GB"/>
              </w:rPr>
              <w:t>:</w:t>
            </w:r>
            <w:r w:rsidRPr="00D341ED">
              <w:rPr>
                <w:b/>
                <w:bCs/>
                <w:color w:val="000000" w:themeColor="text1"/>
                <w:sz w:val="16"/>
                <w:szCs w:val="16"/>
                <w:lang w:val="en-GB"/>
              </w:rPr>
              <w:t xml:space="preserve"> $</w:t>
            </w:r>
            <w:r w:rsidRPr="00D341ED">
              <w:rPr>
                <w:b/>
                <w:color w:val="000000" w:themeColor="text1"/>
                <w:sz w:val="16"/>
                <w:szCs w:val="16"/>
                <w:lang w:val="en-GB"/>
              </w:rPr>
              <w:t xml:space="preserve">21,564,911 </w:t>
            </w:r>
          </w:p>
          <w:p w14:paraId="308D56CC" w14:textId="77777777" w:rsidR="00FC3488" w:rsidRPr="00D341ED" w:rsidRDefault="00FC3488" w:rsidP="00475B8F">
            <w:pPr>
              <w:rPr>
                <w:b/>
                <w:bCs/>
                <w:color w:val="000000" w:themeColor="text1"/>
                <w:sz w:val="16"/>
                <w:szCs w:val="16"/>
                <w:lang w:val="en-GB"/>
              </w:rPr>
            </w:pPr>
          </w:p>
        </w:tc>
      </w:tr>
    </w:tbl>
    <w:p w14:paraId="3F7D2300" w14:textId="40D47D7F" w:rsidR="00475B8F" w:rsidRPr="00D341ED" w:rsidRDefault="004C5F14" w:rsidP="00475B8F">
      <w:pPr>
        <w:pStyle w:val="Subtitle"/>
        <w:jc w:val="left"/>
        <w:rPr>
          <w:rFonts w:ascii="Sylfaen" w:hAnsi="Sylfaen" w:cs="Times New Roman"/>
          <w:color w:val="000000" w:themeColor="text1"/>
          <w:lang w:val="en-GB"/>
        </w:rPr>
      </w:pPr>
      <w:r w:rsidRPr="00D341ED">
        <w:rPr>
          <w:rFonts w:eastAsia="MS Mincho"/>
          <w:noProof/>
          <w:sz w:val="22"/>
          <w:szCs w:val="22"/>
          <w:lang w:val="en-GB"/>
        </w:rPr>
        <w:lastRenderedPageBreak/>
        <mc:AlternateContent>
          <mc:Choice Requires="wps">
            <w:drawing>
              <wp:anchor distT="0" distB="0" distL="114300" distR="114300" simplePos="0" relativeHeight="251659264" behindDoc="0" locked="0" layoutInCell="1" allowOverlap="1" wp14:anchorId="32DF5864" wp14:editId="580E1346">
                <wp:simplePos x="0" y="0"/>
                <wp:positionH relativeFrom="column">
                  <wp:posOffset>3867150</wp:posOffset>
                </wp:positionH>
                <wp:positionV relativeFrom="paragraph">
                  <wp:posOffset>342900</wp:posOffset>
                </wp:positionV>
                <wp:extent cx="9144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471D7"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7pt" to="3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" strokeweight=".25pt"/>
            </w:pict>
          </mc:Fallback>
        </mc:AlternateContent>
      </w:r>
    </w:p>
    <w:sectPr w:rsidR="00475B8F" w:rsidRPr="00D341ED" w:rsidSect="000D3C23">
      <w:headerReference w:type="even" r:id="rId27"/>
      <w:headerReference w:type="default" r:id="rId28"/>
      <w:footerReference w:type="even" r:id="rId29"/>
      <w:footerReference w:type="default" r:id="rId30"/>
      <w:footerReference w:type="first" r:id="rId31"/>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B6099" w14:textId="77777777" w:rsidR="00D4672C" w:rsidRDefault="00D4672C" w:rsidP="00441061">
      <w:r>
        <w:separator/>
      </w:r>
    </w:p>
  </w:endnote>
  <w:endnote w:type="continuationSeparator" w:id="0">
    <w:p w14:paraId="5B60A384" w14:textId="77777777" w:rsidR="00D4672C" w:rsidRDefault="00D4672C" w:rsidP="00441061">
      <w:r>
        <w:continuationSeparator/>
      </w:r>
    </w:p>
  </w:endnote>
  <w:endnote w:type="continuationNotice" w:id="1">
    <w:p w14:paraId="032B2986" w14:textId="77777777" w:rsidR="00D4672C" w:rsidRDefault="00D46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61732" w14:textId="7FA3355E" w:rsidR="00D4672C" w:rsidRPr="005841A3" w:rsidRDefault="00D4672C">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8</w:t>
    </w:r>
    <w:r w:rsidRPr="005841A3">
      <w:rPr>
        <w:b/>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C98E9" w14:textId="03A9FABD" w:rsidR="00D4672C" w:rsidRPr="004E333C" w:rsidRDefault="00D4672C" w:rsidP="004E333C">
    <w:pPr>
      <w:pStyle w:val="Footer"/>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7</w:t>
    </w:r>
    <w:r w:rsidRPr="005841A3">
      <w:rPr>
        <w:b/>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83"/>
      <w:gridCol w:w="3283"/>
      <w:gridCol w:w="3283"/>
    </w:tblGrid>
    <w:tr w:rsidR="00D4672C" w14:paraId="7AEAB5FA" w14:textId="77777777" w:rsidTr="00C759E0">
      <w:tc>
        <w:tcPr>
          <w:tcW w:w="3283" w:type="dxa"/>
        </w:tcPr>
        <w:p w14:paraId="215D8020" w14:textId="052FE0BE" w:rsidR="00D4672C" w:rsidRDefault="00D4672C" w:rsidP="00C759E0">
          <w:pPr>
            <w:pStyle w:val="Header"/>
            <w:ind w:left="-115"/>
          </w:pPr>
        </w:p>
      </w:tc>
      <w:tc>
        <w:tcPr>
          <w:tcW w:w="3283" w:type="dxa"/>
        </w:tcPr>
        <w:p w14:paraId="2743D238" w14:textId="5E19CA82" w:rsidR="00D4672C" w:rsidRDefault="00D4672C" w:rsidP="00C759E0">
          <w:pPr>
            <w:pStyle w:val="Header"/>
            <w:jc w:val="center"/>
          </w:pPr>
        </w:p>
      </w:tc>
      <w:tc>
        <w:tcPr>
          <w:tcW w:w="3283" w:type="dxa"/>
        </w:tcPr>
        <w:p w14:paraId="6B8E2EF6" w14:textId="48FB54DC" w:rsidR="00D4672C" w:rsidRDefault="00D4672C" w:rsidP="00C759E0">
          <w:pPr>
            <w:pStyle w:val="Header"/>
            <w:ind w:right="-115"/>
            <w:jc w:val="right"/>
          </w:pPr>
        </w:p>
      </w:tc>
    </w:tr>
  </w:tbl>
  <w:p w14:paraId="10ED5928" w14:textId="5F69DC9A" w:rsidR="00D4672C" w:rsidRDefault="00D467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F6BE" w14:textId="77777777" w:rsidR="00D4672C" w:rsidRPr="005841A3" w:rsidRDefault="00D4672C" w:rsidP="004E333C">
    <w:pPr>
      <w:pStyle w:val="Footer"/>
      <w:ind w:firstLine="990"/>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8</w:t>
    </w:r>
    <w:r w:rsidRPr="005841A3">
      <w:rPr>
        <w:b/>
        <w:sz w:val="17"/>
        <w:szCs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DE1C4" w14:textId="77777777" w:rsidR="00D4672C" w:rsidRPr="004E333C" w:rsidRDefault="00D4672C" w:rsidP="004E333C">
    <w:pPr>
      <w:pStyle w:val="Footer"/>
      <w:ind w:right="940"/>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7</w:t>
    </w:r>
    <w:r w:rsidRPr="005841A3">
      <w:rPr>
        <w:b/>
        <w:sz w:val="17"/>
        <w:szCs w:val="17"/>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83"/>
      <w:gridCol w:w="3283"/>
      <w:gridCol w:w="3283"/>
    </w:tblGrid>
    <w:tr w:rsidR="00D4672C" w14:paraId="6F4AA867" w14:textId="77777777" w:rsidTr="00C759E0">
      <w:tc>
        <w:tcPr>
          <w:tcW w:w="3283" w:type="dxa"/>
        </w:tcPr>
        <w:p w14:paraId="6970610C" w14:textId="0FC7F914" w:rsidR="00D4672C" w:rsidRDefault="00D4672C" w:rsidP="00C759E0">
          <w:pPr>
            <w:pStyle w:val="Header"/>
            <w:ind w:left="-115"/>
          </w:pPr>
        </w:p>
      </w:tc>
      <w:tc>
        <w:tcPr>
          <w:tcW w:w="3283" w:type="dxa"/>
        </w:tcPr>
        <w:p w14:paraId="633EC5AF" w14:textId="483B5B21" w:rsidR="00D4672C" w:rsidRDefault="00D4672C" w:rsidP="00C759E0">
          <w:pPr>
            <w:pStyle w:val="Header"/>
            <w:jc w:val="center"/>
          </w:pPr>
        </w:p>
      </w:tc>
      <w:tc>
        <w:tcPr>
          <w:tcW w:w="3283" w:type="dxa"/>
        </w:tcPr>
        <w:p w14:paraId="28483179" w14:textId="15F9C7C3" w:rsidR="00D4672C" w:rsidRDefault="00D4672C" w:rsidP="00C759E0">
          <w:pPr>
            <w:pStyle w:val="Header"/>
            <w:ind w:right="-115"/>
            <w:jc w:val="right"/>
          </w:pPr>
        </w:p>
      </w:tc>
    </w:tr>
  </w:tbl>
  <w:p w14:paraId="6A92125F" w14:textId="4F8C3EEC" w:rsidR="00D4672C" w:rsidRDefault="00D4672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695E0" w14:textId="77777777" w:rsidR="00D4672C" w:rsidRPr="005841A3" w:rsidRDefault="00D4672C" w:rsidP="004C5F14">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8</w:t>
    </w:r>
    <w:r w:rsidRPr="005841A3">
      <w:rPr>
        <w:b/>
        <w:sz w:val="17"/>
        <w:szCs w:val="17"/>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99DF7" w14:textId="77777777" w:rsidR="00D4672C" w:rsidRPr="004E333C" w:rsidRDefault="00D4672C" w:rsidP="004C5F14">
    <w:pPr>
      <w:pStyle w:val="Footer"/>
      <w:ind w:right="486"/>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7</w:t>
    </w:r>
    <w:r w:rsidRPr="005841A3">
      <w:rPr>
        <w:b/>
        <w:sz w:val="17"/>
        <w:szCs w:val="17"/>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D4672C" w14:paraId="01217137" w14:textId="77777777" w:rsidTr="00C759E0">
      <w:tc>
        <w:tcPr>
          <w:tcW w:w="3120" w:type="dxa"/>
        </w:tcPr>
        <w:p w14:paraId="4ED69C38" w14:textId="68B5BB4E" w:rsidR="00D4672C" w:rsidRDefault="00D4672C" w:rsidP="00C759E0">
          <w:pPr>
            <w:pStyle w:val="Header"/>
            <w:ind w:left="-115"/>
          </w:pPr>
        </w:p>
      </w:tc>
      <w:tc>
        <w:tcPr>
          <w:tcW w:w="3120" w:type="dxa"/>
        </w:tcPr>
        <w:p w14:paraId="58CFDE12" w14:textId="3DB76FB8" w:rsidR="00D4672C" w:rsidRDefault="00D4672C" w:rsidP="00C759E0">
          <w:pPr>
            <w:pStyle w:val="Header"/>
            <w:jc w:val="center"/>
          </w:pPr>
        </w:p>
      </w:tc>
      <w:tc>
        <w:tcPr>
          <w:tcW w:w="3120" w:type="dxa"/>
        </w:tcPr>
        <w:p w14:paraId="0807A0D6" w14:textId="34BD58C4" w:rsidR="00D4672C" w:rsidRDefault="00D4672C" w:rsidP="00C759E0">
          <w:pPr>
            <w:pStyle w:val="Header"/>
            <w:ind w:right="-115"/>
            <w:jc w:val="right"/>
          </w:pPr>
        </w:p>
      </w:tc>
    </w:tr>
  </w:tbl>
  <w:p w14:paraId="6983CEBA" w14:textId="7C8C582A" w:rsidR="00D4672C" w:rsidRDefault="00D46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B5AD3" w14:textId="77777777" w:rsidR="00D4672C" w:rsidRDefault="00D4672C" w:rsidP="00441061">
      <w:r>
        <w:separator/>
      </w:r>
    </w:p>
  </w:footnote>
  <w:footnote w:type="continuationSeparator" w:id="0">
    <w:p w14:paraId="0B6301C0" w14:textId="77777777" w:rsidR="00D4672C" w:rsidRDefault="00D4672C" w:rsidP="00441061">
      <w:r>
        <w:continuationSeparator/>
      </w:r>
    </w:p>
  </w:footnote>
  <w:footnote w:type="continuationNotice" w:id="1">
    <w:p w14:paraId="6AB1A86D" w14:textId="77777777" w:rsidR="00D4672C" w:rsidRDefault="00D4672C"/>
  </w:footnote>
  <w:footnote w:id="2">
    <w:p w14:paraId="11CE6FD0" w14:textId="037B7AE4" w:rsidR="00D4672C" w:rsidRPr="00E85F86" w:rsidRDefault="00D4672C" w:rsidP="00262211">
      <w:pPr>
        <w:pStyle w:val="FootnoteText"/>
        <w:rPr>
          <w:rFonts w:ascii="Times New Roman" w:hAnsi="Times New Roman"/>
          <w:i/>
          <w:iCs/>
          <w:sz w:val="16"/>
          <w:szCs w:val="16"/>
          <w:lang w:val="en-GB"/>
        </w:rPr>
      </w:pPr>
      <w:r w:rsidRPr="00B84E1A">
        <w:rPr>
          <w:rStyle w:val="FootnoteReference"/>
          <w:rFonts w:ascii="Times New Roman" w:hAnsi="Times New Roman"/>
          <w:sz w:val="16"/>
          <w:szCs w:val="16"/>
          <w:lang w:val="en-GB"/>
        </w:rPr>
        <w:footnoteRef/>
      </w:r>
      <w:r w:rsidRPr="00B84E1A">
        <w:rPr>
          <w:rFonts w:ascii="Times New Roman" w:hAnsi="Times New Roman"/>
          <w:sz w:val="16"/>
          <w:szCs w:val="16"/>
          <w:lang w:val="en-GB"/>
        </w:rPr>
        <w:t xml:space="preserve"> Administration of the Government of Georgia (2020) “</w:t>
      </w:r>
      <w:hyperlink r:id="rId1" w:history="1">
        <w:r w:rsidRPr="00B84E1A">
          <w:rPr>
            <w:rStyle w:val="Hyperlink"/>
            <w:rFonts w:ascii="Times New Roman" w:hAnsi="Times New Roman"/>
            <w:sz w:val="16"/>
            <w:szCs w:val="16"/>
            <w:lang w:val="en-GB"/>
          </w:rPr>
          <w:t>Voluntary national review: Report on the implementation of the 2030 Agenda on Sustainable Development</w:t>
        </w:r>
      </w:hyperlink>
      <w:r w:rsidRPr="00B84E1A">
        <w:rPr>
          <w:rFonts w:ascii="Times New Roman" w:hAnsi="Times New Roman"/>
          <w:sz w:val="16"/>
          <w:szCs w:val="16"/>
          <w:lang w:val="en-GB"/>
        </w:rPr>
        <w:t>”</w:t>
      </w:r>
      <w:r w:rsidRPr="00E85F86">
        <w:rPr>
          <w:rFonts w:ascii="Times New Roman" w:hAnsi="Times New Roman"/>
          <w:sz w:val="16"/>
          <w:szCs w:val="16"/>
          <w:lang w:val="en-GB"/>
        </w:rPr>
        <w:t xml:space="preserve"> (</w:t>
      </w:r>
      <w:hyperlink r:id="rId2" w:tgtFrame="_blank" w:history="1">
        <w:r w:rsidRPr="00D341ED">
          <w:rPr>
            <w:rStyle w:val="Hyperlink"/>
            <w:rFonts w:ascii="Times New Roman" w:hAnsi="Times New Roman"/>
            <w:sz w:val="16"/>
            <w:szCs w:val="16"/>
          </w:rPr>
          <w:t>https://sustainabledevelopment.un.org/content/documents/26389VNR_2020_Georgia_Report.pdf</w:t>
        </w:r>
      </w:hyperlink>
      <w:r w:rsidRPr="00D341ED">
        <w:rPr>
          <w:rFonts w:ascii="Times New Roman" w:hAnsi="Times New Roman"/>
          <w:sz w:val="16"/>
          <w:szCs w:val="16"/>
        </w:rPr>
        <w:t>)</w:t>
      </w:r>
      <w:r w:rsidRPr="00B84E1A">
        <w:rPr>
          <w:rFonts w:ascii="Times New Roman" w:hAnsi="Times New Roman"/>
          <w:sz w:val="16"/>
          <w:szCs w:val="16"/>
          <w:lang w:val="en-GB"/>
        </w:rPr>
        <w:t xml:space="preserve">. </w:t>
      </w:r>
    </w:p>
  </w:footnote>
  <w:footnote w:id="3">
    <w:p w14:paraId="03C62C3D" w14:textId="0DA49B04" w:rsidR="00D4672C" w:rsidRPr="00D341ED" w:rsidRDefault="00D4672C">
      <w:pPr>
        <w:pStyle w:val="FootnoteText"/>
        <w:rPr>
          <w:rFonts w:ascii="Times New Roman" w:hAnsi="Times New Roman"/>
          <w:sz w:val="16"/>
          <w:szCs w:val="16"/>
        </w:rPr>
      </w:pPr>
      <w:r w:rsidRPr="00D341ED">
        <w:rPr>
          <w:rStyle w:val="FootnoteReference"/>
          <w:rFonts w:ascii="Times New Roman" w:hAnsi="Times New Roman"/>
          <w:sz w:val="16"/>
          <w:szCs w:val="16"/>
        </w:rPr>
        <w:footnoteRef/>
      </w:r>
      <w:r w:rsidRPr="00D341ED">
        <w:rPr>
          <w:rFonts w:ascii="Times New Roman" w:hAnsi="Times New Roman"/>
          <w:sz w:val="16"/>
          <w:szCs w:val="16"/>
        </w:rPr>
        <w:t xml:space="preserve"> </w:t>
      </w:r>
      <w:r w:rsidRPr="00E64F1E">
        <w:rPr>
          <w:rFonts w:ascii="Times New Roman" w:hAnsi="Times New Roman"/>
          <w:sz w:val="16"/>
          <w:szCs w:val="16"/>
          <w:lang w:val="en-GB"/>
        </w:rPr>
        <w:t xml:space="preserve">UNDP/UNFPA (2020) “Men, women, and gender relations in Georgia: Public perceptions and attitudes” </w:t>
      </w:r>
      <w:r w:rsidRPr="006D3AFB">
        <w:rPr>
          <w:rFonts w:ascii="Times New Roman" w:hAnsi="Times New Roman"/>
          <w:sz w:val="16"/>
          <w:szCs w:val="16"/>
          <w:lang w:val="en-GB"/>
        </w:rPr>
        <w:t>(https://www.ge.undp.org/content/georgia/en/home/library/democratic_governance/gender-survey-report.html).</w:t>
      </w:r>
    </w:p>
  </w:footnote>
  <w:footnote w:id="4">
    <w:p w14:paraId="24629417" w14:textId="77777777" w:rsidR="00D4672C" w:rsidRPr="00AF3539" w:rsidRDefault="00D4672C" w:rsidP="0057097B">
      <w:pPr>
        <w:rPr>
          <w:sz w:val="16"/>
          <w:szCs w:val="16"/>
          <w:lang w:val="en-GB"/>
        </w:rPr>
      </w:pPr>
      <w:r w:rsidRPr="00AF3539">
        <w:rPr>
          <w:rStyle w:val="FootnoteReference"/>
          <w:sz w:val="16"/>
          <w:szCs w:val="16"/>
          <w:lang w:val="en-GB"/>
        </w:rPr>
        <w:footnoteRef/>
      </w:r>
      <w:r w:rsidRPr="00AF3539">
        <w:rPr>
          <w:sz w:val="16"/>
          <w:szCs w:val="16"/>
          <w:lang w:val="en-GB"/>
        </w:rPr>
        <w:t xml:space="preserve"> UN-Women (2020) “Country gender equality profile of Georgia” (</w:t>
      </w:r>
      <w:hyperlink r:id="rId3" w:history="1">
        <w:r w:rsidRPr="00AF3539">
          <w:rPr>
            <w:rStyle w:val="Hyperlink"/>
            <w:sz w:val="16"/>
            <w:szCs w:val="16"/>
            <w:lang w:val="en-GB"/>
          </w:rPr>
          <w:t>https://georgia.unwomen.org/en/digital-library/publications/2020/05/the-country-gender-equality-profile</w:t>
        </w:r>
      </w:hyperlink>
      <w:r w:rsidRPr="00AF3539">
        <w:rPr>
          <w:rStyle w:val="Hyperlink"/>
          <w:sz w:val="16"/>
          <w:szCs w:val="16"/>
          <w:lang w:val="en-GB"/>
        </w:rPr>
        <w:t>).</w:t>
      </w:r>
    </w:p>
  </w:footnote>
  <w:footnote w:id="5">
    <w:p w14:paraId="28B7930E" w14:textId="77777777" w:rsidR="00D4672C" w:rsidRPr="00AF3539" w:rsidRDefault="00D4672C" w:rsidP="006F3F1F">
      <w:pPr>
        <w:pStyle w:val="FootnoteText"/>
        <w:rPr>
          <w:rFonts w:ascii="Times New Roman" w:hAnsi="Times New Roman"/>
          <w:sz w:val="16"/>
          <w:szCs w:val="16"/>
          <w:lang w:val="en-GB"/>
        </w:rPr>
      </w:pPr>
      <w:r w:rsidRPr="00AF3539">
        <w:rPr>
          <w:rStyle w:val="FootnoteReference"/>
          <w:rFonts w:ascii="Times New Roman" w:hAnsi="Times New Roman"/>
          <w:sz w:val="16"/>
          <w:szCs w:val="16"/>
          <w:lang w:val="en-GB"/>
        </w:rPr>
        <w:footnoteRef/>
      </w:r>
      <w:r w:rsidRPr="00AF3539">
        <w:rPr>
          <w:rFonts w:ascii="Times New Roman" w:hAnsi="Times New Roman"/>
          <w:sz w:val="16"/>
          <w:szCs w:val="16"/>
          <w:lang w:val="en-GB"/>
        </w:rPr>
        <w:t xml:space="preserve"> </w:t>
      </w:r>
      <w:r w:rsidRPr="00AF3539">
        <w:rPr>
          <w:rStyle w:val="Hyperlink"/>
          <w:rFonts w:ascii="Times New Roman" w:hAnsi="Times New Roman"/>
          <w:color w:val="auto"/>
          <w:sz w:val="16"/>
          <w:szCs w:val="16"/>
          <w:lang w:val="en-GB"/>
        </w:rPr>
        <w:t xml:space="preserve">UNDP (2020) “Public attitudes towards persons with disabilities in Georgia” </w:t>
      </w:r>
      <w:r w:rsidRPr="00AF3539">
        <w:rPr>
          <w:rStyle w:val="Hyperlink"/>
          <w:rFonts w:ascii="Times New Roman" w:hAnsi="Times New Roman"/>
          <w:sz w:val="16"/>
          <w:szCs w:val="16"/>
          <w:lang w:val="en-GB"/>
        </w:rPr>
        <w:t>(https://www.ge.undp.org/content/georgia/en/home/library/democratic_governance/disability-research.html/).</w:t>
      </w:r>
    </w:p>
  </w:footnote>
  <w:footnote w:id="6">
    <w:p w14:paraId="6A904628" w14:textId="122E67B9" w:rsidR="00D4672C" w:rsidRPr="00AF3539" w:rsidRDefault="00D4672C" w:rsidP="002B3082">
      <w:pPr>
        <w:pStyle w:val="FootnoteText"/>
        <w:rPr>
          <w:rFonts w:ascii="Times New Roman" w:hAnsi="Times New Roman"/>
          <w:sz w:val="16"/>
          <w:szCs w:val="16"/>
          <w:lang w:val="en-GB"/>
        </w:rPr>
      </w:pPr>
      <w:r w:rsidRPr="00AF3539">
        <w:rPr>
          <w:rStyle w:val="FootnoteReference"/>
          <w:rFonts w:ascii="Times New Roman" w:hAnsi="Times New Roman"/>
          <w:sz w:val="16"/>
          <w:szCs w:val="16"/>
          <w:lang w:val="en-GB"/>
        </w:rPr>
        <w:footnoteRef/>
      </w:r>
      <w:r w:rsidRPr="00AF3539">
        <w:rPr>
          <w:rFonts w:ascii="Times New Roman" w:hAnsi="Times New Roman"/>
          <w:sz w:val="16"/>
          <w:szCs w:val="16"/>
          <w:lang w:val="en-GB"/>
        </w:rPr>
        <w:t xml:space="preserve"> UNDP Independent Evaluation Office (March 2020) “Independent country programme evaluation: Georgia”. </w:t>
      </w:r>
      <w:r w:rsidRPr="00AF3539">
        <w:rPr>
          <w:rStyle w:val="Hyperlink"/>
          <w:rFonts w:ascii="Times New Roman" w:hAnsi="Times New Roman"/>
          <w:sz w:val="16"/>
          <w:szCs w:val="16"/>
          <w:lang w:val="en-GB"/>
        </w:rPr>
        <w:t>(</w:t>
      </w:r>
      <w:hyperlink r:id="rId4" w:history="1">
        <w:r w:rsidRPr="00AF3539">
          <w:rPr>
            <w:rStyle w:val="Hyperlink"/>
            <w:rFonts w:ascii="Times New Roman" w:hAnsi="Times New Roman"/>
            <w:sz w:val="16"/>
            <w:szCs w:val="16"/>
            <w:lang w:val="en-GB"/>
          </w:rPr>
          <w:t>https://erc.undp.org/evaluation/evaluations/detail/12665</w:t>
        </w:r>
      </w:hyperlink>
      <w:r w:rsidRPr="00AF3539">
        <w:rPr>
          <w:rStyle w:val="Hyperlink"/>
          <w:rFonts w:ascii="Times New Roman" w:hAnsi="Times New Roman"/>
          <w:sz w:val="16"/>
          <w:szCs w:val="16"/>
          <w:lang w:val="en-GB"/>
        </w:rPr>
        <w:t>).</w:t>
      </w:r>
      <w:r w:rsidRPr="00AF3539">
        <w:rPr>
          <w:rFonts w:ascii="Times New Roman" w:hAnsi="Times New Roman"/>
          <w:color w:val="000000"/>
          <w:sz w:val="16"/>
          <w:szCs w:val="16"/>
          <w:lang w:val="en-GB"/>
        </w:rPr>
        <w:t xml:space="preserve"> </w:t>
      </w:r>
      <w:r w:rsidRPr="00AF3539">
        <w:rPr>
          <w:rFonts w:ascii="Times New Roman" w:hAnsi="Times New Roman"/>
          <w:sz w:val="16"/>
          <w:szCs w:val="16"/>
          <w:lang w:val="en-GB"/>
        </w:rPr>
        <w:t xml:space="preserve">Achievements cited include: </w:t>
      </w:r>
      <w:r w:rsidRPr="00AF3539">
        <w:rPr>
          <w:rFonts w:ascii="Times New Roman" w:hAnsi="Times New Roman"/>
          <w:color w:val="000000"/>
          <w:sz w:val="16"/>
          <w:szCs w:val="16"/>
          <w:lang w:val="en-GB"/>
        </w:rPr>
        <w:t>strengthening Parliament and civil soci</w:t>
      </w:r>
      <w:r w:rsidRPr="00AF3539">
        <w:rPr>
          <w:rFonts w:ascii="Times New Roman" w:hAnsi="Times New Roman"/>
          <w:color w:val="000000"/>
          <w:sz w:val="16"/>
          <w:szCs w:val="16"/>
          <w:lang w:val="en-GB"/>
        </w:rPr>
        <w:softHyphen/>
        <w:t>ety; improving transparency and accountability; defining decentralization policies; protecting human rights; furthering gender equality; advancing rural development; modernizing vocational educa</w:t>
      </w:r>
      <w:r w:rsidRPr="00AF3539">
        <w:rPr>
          <w:rFonts w:ascii="Times New Roman" w:hAnsi="Times New Roman"/>
          <w:color w:val="000000"/>
          <w:sz w:val="16"/>
          <w:szCs w:val="16"/>
          <w:lang w:val="en-GB"/>
        </w:rPr>
        <w:softHyphen/>
        <w:t xml:space="preserve">tion; improving social services in conflict-affected areas; keeping lines of communication open across dividing lines; </w:t>
      </w:r>
      <w:r w:rsidRPr="00AF3539">
        <w:rPr>
          <w:rFonts w:ascii="Times New Roman" w:hAnsi="Times New Roman"/>
          <w:sz w:val="16"/>
          <w:szCs w:val="16"/>
          <w:lang w:val="en-GB"/>
        </w:rPr>
        <w:t>reducing greenhouse gas emissions; enhancing flood resistance; building urban resilience; and enlarging protected areas.</w:t>
      </w:r>
    </w:p>
  </w:footnote>
  <w:footnote w:id="7">
    <w:p w14:paraId="5A455891" w14:textId="778171A2" w:rsidR="00D4672C" w:rsidRPr="00746537" w:rsidRDefault="00D4672C" w:rsidP="00B30EA6">
      <w:pPr>
        <w:pStyle w:val="FootnoteText"/>
        <w:rPr>
          <w:rFonts w:ascii="Times New Roman" w:hAnsi="Times New Roman"/>
          <w:sz w:val="16"/>
          <w:szCs w:val="16"/>
          <w:lang w:val="en-GB"/>
        </w:rPr>
      </w:pPr>
      <w:r w:rsidRPr="00746537">
        <w:rPr>
          <w:rStyle w:val="FootnoteReference"/>
          <w:rFonts w:ascii="Times New Roman" w:hAnsi="Times New Roman"/>
          <w:sz w:val="16"/>
          <w:szCs w:val="16"/>
          <w:lang w:val="en-GB"/>
        </w:rPr>
        <w:footnoteRef/>
      </w:r>
      <w:r w:rsidRPr="00746537">
        <w:rPr>
          <w:rFonts w:ascii="Times New Roman" w:hAnsi="Times New Roman"/>
          <w:sz w:val="16"/>
          <w:szCs w:val="16"/>
          <w:lang w:val="en-GB"/>
        </w:rPr>
        <w:t xml:space="preserve"> </w:t>
      </w:r>
      <w:bookmarkStart w:id="2" w:name="_Hlk55833356"/>
      <w:r w:rsidRPr="00746537">
        <w:rPr>
          <w:rFonts w:ascii="Times New Roman" w:hAnsi="Times New Roman"/>
          <w:sz w:val="16"/>
          <w:szCs w:val="16"/>
          <w:lang w:val="en-GB"/>
        </w:rPr>
        <w:t>UNDP (2019) “</w:t>
      </w:r>
      <w:hyperlink r:id="rId5" w:history="1">
        <w:r w:rsidRPr="00746537">
          <w:rPr>
            <w:rStyle w:val="Hyperlink"/>
            <w:rFonts w:ascii="Times New Roman" w:hAnsi="Times New Roman"/>
            <w:sz w:val="16"/>
            <w:szCs w:val="16"/>
            <w:lang w:val="en-GB"/>
          </w:rPr>
          <w:t>Accelerating progress towards the SDGs: Identifying priority areas for action in Georgia</w:t>
        </w:r>
      </w:hyperlink>
      <w:r w:rsidRPr="00746537">
        <w:rPr>
          <w:rFonts w:ascii="Times New Roman" w:hAnsi="Times New Roman"/>
          <w:sz w:val="16"/>
          <w:szCs w:val="16"/>
          <w:lang w:val="en-GB"/>
        </w:rPr>
        <w:t>”</w:t>
      </w:r>
      <w:r>
        <w:rPr>
          <w:rFonts w:ascii="Times New Roman" w:hAnsi="Times New Roman"/>
          <w:sz w:val="16"/>
          <w:szCs w:val="16"/>
          <w:lang w:val="en-GB"/>
        </w:rPr>
        <w:t xml:space="preserve"> (</w:t>
      </w:r>
      <w:r w:rsidRPr="00E85F86">
        <w:rPr>
          <w:rFonts w:ascii="Times New Roman" w:hAnsi="Times New Roman"/>
          <w:sz w:val="16"/>
          <w:szCs w:val="16"/>
          <w:lang w:val="en-GB"/>
        </w:rPr>
        <w:t>https://www.ge.undp.org/content/georgia/en/home/library/MAPS.html</w:t>
      </w:r>
      <w:r>
        <w:rPr>
          <w:rFonts w:ascii="Times New Roman" w:hAnsi="Times New Roman"/>
          <w:sz w:val="16"/>
          <w:szCs w:val="16"/>
          <w:lang w:val="en-GB"/>
        </w:rPr>
        <w:t>)</w:t>
      </w:r>
      <w:r w:rsidRPr="00746537">
        <w:rPr>
          <w:rFonts w:ascii="Times New Roman" w:hAnsi="Times New Roman"/>
          <w:sz w:val="16"/>
          <w:szCs w:val="16"/>
          <w:lang w:val="en-GB"/>
        </w:rPr>
        <w:t>.</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D4672C" w:rsidRPr="00FF6366" w14:paraId="6F565FC1" w14:textId="77777777" w:rsidTr="00306EEA">
      <w:trPr>
        <w:trHeight w:hRule="exact" w:val="864"/>
      </w:trPr>
      <w:tc>
        <w:tcPr>
          <w:tcW w:w="4838" w:type="dxa"/>
          <w:tcBorders>
            <w:bottom w:val="single" w:sz="4" w:space="0" w:color="auto"/>
          </w:tcBorders>
          <w:vAlign w:val="bottom"/>
        </w:tcPr>
        <w:p w14:paraId="0DB89755" w14:textId="77777777" w:rsidR="00D4672C" w:rsidRPr="00A6289F" w:rsidRDefault="00D4672C" w:rsidP="00827838">
          <w:pPr>
            <w:widowControl w:val="0"/>
            <w:tabs>
              <w:tab w:val="center" w:pos="4320"/>
              <w:tab w:val="right" w:pos="8640"/>
            </w:tabs>
            <w:spacing w:after="80"/>
            <w:rPr>
              <w:b/>
              <w:sz w:val="17"/>
              <w:szCs w:val="17"/>
            </w:rPr>
          </w:pPr>
        </w:p>
      </w:tc>
      <w:tc>
        <w:tcPr>
          <w:tcW w:w="5047" w:type="dxa"/>
          <w:tcBorders>
            <w:bottom w:val="single" w:sz="4" w:space="0" w:color="auto"/>
          </w:tcBorders>
          <w:vAlign w:val="bottom"/>
        </w:tcPr>
        <w:p w14:paraId="7D924462" w14:textId="0BA969BB" w:rsidR="00D4672C" w:rsidRPr="00FF6366" w:rsidRDefault="00D4672C" w:rsidP="00827838">
          <w:pPr>
            <w:widowControl w:val="0"/>
            <w:tabs>
              <w:tab w:val="center" w:pos="4320"/>
              <w:tab w:val="right" w:pos="8640"/>
            </w:tabs>
            <w:spacing w:after="60"/>
            <w:jc w:val="right"/>
            <w:rPr>
              <w:sz w:val="17"/>
              <w:szCs w:val="17"/>
            </w:rPr>
          </w:pPr>
          <w:r>
            <w:rPr>
              <w:b/>
              <w:sz w:val="17"/>
              <w:szCs w:val="17"/>
            </w:rPr>
            <w:t>DP/DCP/GEO/4</w:t>
          </w:r>
        </w:p>
      </w:tc>
    </w:tr>
  </w:tbl>
  <w:p w14:paraId="204106D8" w14:textId="77777777" w:rsidR="00D4672C" w:rsidRPr="00827838" w:rsidRDefault="00D4672C">
    <w:pPr>
      <w:pStyle w:val="Heade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D4672C" w:rsidRPr="00D341ED" w14:paraId="23A517EF" w14:textId="77777777" w:rsidTr="004E333C">
      <w:trPr>
        <w:trHeight w:hRule="exact" w:val="864"/>
      </w:trPr>
      <w:tc>
        <w:tcPr>
          <w:tcW w:w="1267" w:type="dxa"/>
          <w:tcBorders>
            <w:bottom w:val="single" w:sz="4" w:space="0" w:color="auto"/>
          </w:tcBorders>
          <w:shd w:val="clear" w:color="auto" w:fill="auto"/>
          <w:vAlign w:val="bottom"/>
        </w:tcPr>
        <w:p w14:paraId="4242BFCD" w14:textId="77777777" w:rsidR="00D4672C" w:rsidRPr="00D341ED" w:rsidRDefault="00D4672C" w:rsidP="004E333C">
          <w:pPr>
            <w:tabs>
              <w:tab w:val="center" w:pos="4320"/>
              <w:tab w:val="right" w:pos="8640"/>
            </w:tabs>
            <w:spacing w:after="120"/>
            <w:rPr>
              <w:rFonts w:eastAsiaTheme="minorHAnsi"/>
              <w:sz w:val="17"/>
              <w:lang w:val="en-GB"/>
            </w:rPr>
          </w:pPr>
        </w:p>
      </w:tc>
      <w:tc>
        <w:tcPr>
          <w:tcW w:w="1872" w:type="dxa"/>
          <w:tcBorders>
            <w:bottom w:val="single" w:sz="4" w:space="0" w:color="auto"/>
          </w:tcBorders>
          <w:shd w:val="clear" w:color="auto" w:fill="auto"/>
          <w:vAlign w:val="bottom"/>
        </w:tcPr>
        <w:p w14:paraId="15C4E43B" w14:textId="77777777" w:rsidR="00D4672C" w:rsidRPr="00D341ED" w:rsidRDefault="00D4672C" w:rsidP="004E33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rFonts w:eastAsiaTheme="minorHAnsi"/>
              <w:spacing w:val="2"/>
              <w:w w:val="96"/>
              <w:kern w:val="14"/>
              <w:sz w:val="28"/>
              <w:lang w:val="en-GB"/>
            </w:rPr>
          </w:pPr>
          <w:r w:rsidRPr="00D341ED">
            <w:rPr>
              <w:rFonts w:eastAsiaTheme="minorHAnsi"/>
              <w:spacing w:val="2"/>
              <w:w w:val="96"/>
              <w:kern w:val="14"/>
              <w:sz w:val="28"/>
              <w:lang w:val="en-GB"/>
            </w:rPr>
            <w:t>United Nations</w:t>
          </w:r>
        </w:p>
      </w:tc>
      <w:tc>
        <w:tcPr>
          <w:tcW w:w="245" w:type="dxa"/>
          <w:tcBorders>
            <w:bottom w:val="single" w:sz="4" w:space="0" w:color="auto"/>
          </w:tcBorders>
          <w:shd w:val="clear" w:color="auto" w:fill="auto"/>
          <w:vAlign w:val="bottom"/>
        </w:tcPr>
        <w:p w14:paraId="3D746D39" w14:textId="77777777" w:rsidR="00D4672C" w:rsidRPr="00D341ED" w:rsidRDefault="00D4672C" w:rsidP="004E333C">
          <w:pPr>
            <w:tabs>
              <w:tab w:val="center" w:pos="4320"/>
              <w:tab w:val="right" w:pos="8640"/>
            </w:tabs>
            <w:spacing w:after="120"/>
            <w:rPr>
              <w:rFonts w:eastAsiaTheme="minorHAnsi"/>
              <w:sz w:val="17"/>
              <w:lang w:val="en-GB"/>
            </w:rPr>
          </w:pPr>
        </w:p>
      </w:tc>
      <w:tc>
        <w:tcPr>
          <w:tcW w:w="6523" w:type="dxa"/>
          <w:gridSpan w:val="4"/>
          <w:tcBorders>
            <w:bottom w:val="single" w:sz="4" w:space="0" w:color="auto"/>
          </w:tcBorders>
          <w:shd w:val="clear" w:color="auto" w:fill="auto"/>
          <w:vAlign w:val="bottom"/>
        </w:tcPr>
        <w:p w14:paraId="368EE99E" w14:textId="633F164B" w:rsidR="00D4672C" w:rsidRPr="00D341ED" w:rsidRDefault="00D4672C" w:rsidP="004E333C">
          <w:pPr>
            <w:suppressAutoHyphens/>
            <w:spacing w:after="80"/>
            <w:jc w:val="right"/>
            <w:rPr>
              <w:rFonts w:eastAsiaTheme="minorHAnsi"/>
              <w:spacing w:val="4"/>
              <w:w w:val="103"/>
              <w:kern w:val="14"/>
              <w:position w:val="-4"/>
              <w:lang w:val="en-GB"/>
            </w:rPr>
          </w:pPr>
          <w:r w:rsidRPr="00D341ED">
            <w:rPr>
              <w:rFonts w:eastAsiaTheme="minorHAnsi"/>
              <w:spacing w:val="4"/>
              <w:w w:val="103"/>
              <w:kern w:val="14"/>
              <w:position w:val="-4"/>
              <w:sz w:val="40"/>
              <w:lang w:val="en-GB"/>
            </w:rPr>
            <w:t>DP</w:t>
          </w:r>
          <w:r w:rsidRPr="00D341ED">
            <w:rPr>
              <w:rFonts w:eastAsiaTheme="minorHAnsi"/>
              <w:spacing w:val="4"/>
              <w:w w:val="103"/>
              <w:kern w:val="14"/>
              <w:position w:val="-4"/>
              <w:lang w:val="en-GB"/>
            </w:rPr>
            <w:t>/DCP/GEO/4</w:t>
          </w:r>
        </w:p>
      </w:tc>
    </w:tr>
    <w:tr w:rsidR="00D4672C" w:rsidRPr="00D341ED" w14:paraId="243D1E32" w14:textId="77777777" w:rsidTr="004E333C">
      <w:trPr>
        <w:gridAfter w:val="1"/>
        <w:wAfter w:w="28" w:type="dxa"/>
        <w:trHeight w:hRule="exact" w:val="2880"/>
      </w:trPr>
      <w:tc>
        <w:tcPr>
          <w:tcW w:w="1267" w:type="dxa"/>
          <w:tcBorders>
            <w:top w:val="single" w:sz="4" w:space="0" w:color="auto"/>
            <w:bottom w:val="single" w:sz="12" w:space="0" w:color="auto"/>
          </w:tcBorders>
          <w:shd w:val="clear" w:color="auto" w:fill="auto"/>
        </w:tcPr>
        <w:p w14:paraId="0F93F4E2" w14:textId="77777777" w:rsidR="00D4672C" w:rsidRPr="00D341ED" w:rsidRDefault="00D4672C" w:rsidP="004E333C">
          <w:pPr>
            <w:tabs>
              <w:tab w:val="center" w:pos="4320"/>
              <w:tab w:val="right" w:pos="8640"/>
            </w:tabs>
            <w:spacing w:before="120"/>
            <w:jc w:val="center"/>
            <w:rPr>
              <w:rFonts w:eastAsiaTheme="minorHAnsi"/>
              <w:sz w:val="17"/>
              <w:lang w:val="en-GB"/>
            </w:rPr>
          </w:pPr>
          <w:r w:rsidRPr="00D341ED">
            <w:rPr>
              <w:rFonts w:eastAsiaTheme="minorHAnsi"/>
              <w:sz w:val="17"/>
              <w:lang w:val="en-GB"/>
            </w:rPr>
            <w:t xml:space="preserve"> </w:t>
          </w:r>
          <w:r w:rsidRPr="00D341ED">
            <w:rPr>
              <w:rFonts w:eastAsiaTheme="minorHAnsi"/>
              <w:noProof/>
              <w:sz w:val="17"/>
              <w:lang w:val="en-GB"/>
            </w:rPr>
            <w:drawing>
              <wp:inline distT="0" distB="0" distL="0" distR="0" wp14:anchorId="57BC1A30" wp14:editId="66457BDA">
                <wp:extent cx="713232" cy="59710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3A263966" w14:textId="77777777" w:rsidR="00D4672C" w:rsidRPr="00D341ED" w:rsidRDefault="00D4672C" w:rsidP="004E33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outlineLvl w:val="0"/>
            <w:rPr>
              <w:b/>
              <w:spacing w:val="-4"/>
              <w:w w:val="98"/>
              <w:kern w:val="14"/>
              <w:sz w:val="34"/>
              <w:lang w:val="en-GB"/>
            </w:rPr>
          </w:pPr>
          <w:r w:rsidRPr="00D341ED">
            <w:rPr>
              <w:b/>
              <w:sz w:val="34"/>
              <w:lang w:val="en-GB"/>
            </w:rPr>
            <w:t>Executive Board of the</w:t>
          </w:r>
          <w:r w:rsidRPr="00D341ED">
            <w:rPr>
              <w:b/>
              <w:sz w:val="34"/>
              <w:lang w:val="en-GB"/>
            </w:rPr>
            <w:br/>
            <w:t>United Nations Development</w:t>
          </w:r>
          <w:r w:rsidRPr="00D341ED">
            <w:rPr>
              <w:b/>
              <w:sz w:val="34"/>
              <w:lang w:val="en-GB"/>
            </w:rPr>
            <w:br/>
            <w:t>Programme, the United Nations Population Fund and the United Nations Office for Project Services</w:t>
          </w:r>
        </w:p>
        <w:p w14:paraId="6774D9D7" w14:textId="77777777" w:rsidR="00D4672C" w:rsidRPr="00D341ED" w:rsidRDefault="00D4672C" w:rsidP="004E33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line="330" w:lineRule="exact"/>
            <w:outlineLvl w:val="0"/>
            <w:rPr>
              <w:rFonts w:eastAsiaTheme="minorHAnsi"/>
              <w:b/>
              <w:spacing w:val="-4"/>
              <w:w w:val="98"/>
              <w:kern w:val="14"/>
              <w:sz w:val="34"/>
              <w:lang w:val="en-GB"/>
            </w:rPr>
          </w:pPr>
        </w:p>
      </w:tc>
      <w:tc>
        <w:tcPr>
          <w:tcW w:w="245" w:type="dxa"/>
          <w:tcBorders>
            <w:top w:val="single" w:sz="4" w:space="0" w:color="auto"/>
            <w:bottom w:val="single" w:sz="12" w:space="0" w:color="auto"/>
          </w:tcBorders>
          <w:shd w:val="clear" w:color="auto" w:fill="auto"/>
        </w:tcPr>
        <w:p w14:paraId="08D5FA81" w14:textId="77777777" w:rsidR="00D4672C" w:rsidRPr="00D341ED" w:rsidRDefault="00D4672C" w:rsidP="004E333C">
          <w:pPr>
            <w:tabs>
              <w:tab w:val="center" w:pos="4320"/>
              <w:tab w:val="right" w:pos="8640"/>
            </w:tabs>
            <w:spacing w:before="109"/>
            <w:rPr>
              <w:rFonts w:eastAsiaTheme="minorHAnsi"/>
              <w:sz w:val="17"/>
              <w:lang w:val="en-GB"/>
            </w:rPr>
          </w:pPr>
        </w:p>
      </w:tc>
      <w:tc>
        <w:tcPr>
          <w:tcW w:w="3140" w:type="dxa"/>
          <w:tcBorders>
            <w:top w:val="single" w:sz="4" w:space="0" w:color="auto"/>
            <w:bottom w:val="single" w:sz="12" w:space="0" w:color="auto"/>
          </w:tcBorders>
          <w:shd w:val="clear" w:color="auto" w:fill="auto"/>
        </w:tcPr>
        <w:p w14:paraId="13F7E1D6" w14:textId="77777777" w:rsidR="00D4672C" w:rsidRPr="00D341ED" w:rsidRDefault="00D4672C" w:rsidP="004E333C">
          <w:pPr>
            <w:spacing w:before="240"/>
            <w:rPr>
              <w:rFonts w:eastAsiaTheme="minorHAnsi"/>
              <w:color w:val="010000"/>
              <w:spacing w:val="4"/>
              <w:w w:val="103"/>
              <w:kern w:val="14"/>
              <w:lang w:val="en-GB"/>
            </w:rPr>
          </w:pPr>
          <w:r w:rsidRPr="00D341ED">
            <w:rPr>
              <w:rFonts w:eastAsiaTheme="minorHAnsi"/>
              <w:color w:val="010000"/>
              <w:spacing w:val="4"/>
              <w:w w:val="103"/>
              <w:kern w:val="14"/>
              <w:lang w:val="en-GB"/>
            </w:rPr>
            <w:t>Distr.: General</w:t>
          </w:r>
        </w:p>
        <w:p w14:paraId="279F8059" w14:textId="5B8DC22B" w:rsidR="00D4672C" w:rsidRPr="00D341ED" w:rsidRDefault="00D4672C" w:rsidP="004E333C">
          <w:pPr>
            <w:rPr>
              <w:rFonts w:eastAsiaTheme="minorHAnsi"/>
              <w:color w:val="010000"/>
              <w:spacing w:val="4"/>
              <w:w w:val="103"/>
              <w:kern w:val="14"/>
              <w:lang w:val="en-GB"/>
            </w:rPr>
          </w:pPr>
          <w:r w:rsidRPr="00D341ED">
            <w:rPr>
              <w:rFonts w:eastAsiaTheme="minorHAnsi"/>
              <w:color w:val="010000"/>
              <w:spacing w:val="4"/>
              <w:w w:val="103"/>
              <w:kern w:val="14"/>
              <w:lang w:val="en-GB"/>
            </w:rPr>
            <w:t>9 November 2020</w:t>
          </w:r>
        </w:p>
        <w:p w14:paraId="2D0B9340" w14:textId="77777777" w:rsidR="00D4672C" w:rsidRPr="00D341ED" w:rsidRDefault="00D4672C" w:rsidP="004E333C">
          <w:pPr>
            <w:suppressAutoHyphens/>
            <w:spacing w:line="240" w:lineRule="exact"/>
            <w:rPr>
              <w:rFonts w:eastAsiaTheme="minorHAnsi"/>
              <w:spacing w:val="4"/>
              <w:w w:val="103"/>
              <w:kern w:val="14"/>
              <w:lang w:val="en-GB"/>
            </w:rPr>
          </w:pPr>
        </w:p>
        <w:p w14:paraId="301CCB94" w14:textId="77777777" w:rsidR="00D4672C" w:rsidRPr="00D341ED" w:rsidRDefault="00D4672C" w:rsidP="004E333C">
          <w:pPr>
            <w:rPr>
              <w:rFonts w:eastAsiaTheme="minorHAnsi"/>
              <w:color w:val="010000"/>
              <w:spacing w:val="4"/>
              <w:w w:val="103"/>
              <w:kern w:val="14"/>
              <w:lang w:val="en-GB"/>
            </w:rPr>
          </w:pPr>
          <w:r w:rsidRPr="00D341ED">
            <w:rPr>
              <w:rFonts w:eastAsiaTheme="minorHAnsi"/>
              <w:color w:val="010000"/>
              <w:spacing w:val="4"/>
              <w:w w:val="103"/>
              <w:kern w:val="14"/>
              <w:lang w:val="en-GB"/>
            </w:rPr>
            <w:t>Original: English</w:t>
          </w:r>
        </w:p>
        <w:p w14:paraId="5BBAB1A0" w14:textId="77777777" w:rsidR="00D4672C" w:rsidRPr="00D341ED" w:rsidRDefault="00D4672C" w:rsidP="004E333C">
          <w:pPr>
            <w:suppressAutoHyphens/>
            <w:spacing w:line="240" w:lineRule="exact"/>
            <w:rPr>
              <w:rFonts w:eastAsiaTheme="minorHAnsi"/>
              <w:spacing w:val="4"/>
              <w:w w:val="103"/>
              <w:kern w:val="14"/>
              <w:lang w:val="en-GB"/>
            </w:rPr>
          </w:pPr>
        </w:p>
      </w:tc>
    </w:tr>
  </w:tbl>
  <w:p w14:paraId="7CC253DB" w14:textId="77777777" w:rsidR="00D4672C" w:rsidRPr="00D341ED" w:rsidRDefault="00D4672C">
    <w:pPr>
      <w:pStyle w:val="Header"/>
      <w:rPr>
        <w:sz w:val="6"/>
        <w:szCs w:val="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4612"/>
    </w:tblGrid>
    <w:tr w:rsidR="00D4672C" w:rsidRPr="00FF6366" w14:paraId="71E80966" w14:textId="77777777" w:rsidTr="00306EEA">
      <w:trPr>
        <w:trHeight w:hRule="exact" w:val="864"/>
      </w:trPr>
      <w:tc>
        <w:tcPr>
          <w:tcW w:w="4838" w:type="dxa"/>
          <w:tcBorders>
            <w:bottom w:val="single" w:sz="4" w:space="0" w:color="auto"/>
          </w:tcBorders>
          <w:vAlign w:val="bottom"/>
        </w:tcPr>
        <w:p w14:paraId="640E0062" w14:textId="32F2B7E0" w:rsidR="00D4672C" w:rsidRPr="00A6289F" w:rsidRDefault="00D4672C" w:rsidP="00827838">
          <w:pPr>
            <w:widowControl w:val="0"/>
            <w:tabs>
              <w:tab w:val="center" w:pos="4320"/>
              <w:tab w:val="right" w:pos="8640"/>
            </w:tabs>
            <w:spacing w:after="80"/>
            <w:rPr>
              <w:b/>
              <w:sz w:val="17"/>
              <w:szCs w:val="17"/>
            </w:rPr>
          </w:pPr>
          <w:r>
            <w:rPr>
              <w:b/>
              <w:sz w:val="17"/>
              <w:szCs w:val="17"/>
            </w:rPr>
            <w:t>DP/DCP/GEO/4</w:t>
          </w:r>
        </w:p>
      </w:tc>
      <w:tc>
        <w:tcPr>
          <w:tcW w:w="4612" w:type="dxa"/>
          <w:tcBorders>
            <w:bottom w:val="single" w:sz="4" w:space="0" w:color="auto"/>
          </w:tcBorders>
          <w:vAlign w:val="bottom"/>
        </w:tcPr>
        <w:p w14:paraId="083199DB" w14:textId="77777777" w:rsidR="00D4672C" w:rsidRPr="00FF6366" w:rsidRDefault="00D4672C" w:rsidP="00827838">
          <w:pPr>
            <w:widowControl w:val="0"/>
            <w:tabs>
              <w:tab w:val="center" w:pos="4320"/>
              <w:tab w:val="right" w:pos="8640"/>
            </w:tabs>
            <w:rPr>
              <w:sz w:val="17"/>
              <w:szCs w:val="17"/>
            </w:rPr>
          </w:pPr>
        </w:p>
      </w:tc>
    </w:tr>
  </w:tbl>
  <w:p w14:paraId="6E9F57DE" w14:textId="77777777" w:rsidR="00D4672C" w:rsidRPr="00827838" w:rsidRDefault="00D4672C">
    <w:pPr>
      <w:pStyle w:val="Header"/>
      <w:rPr>
        <w:sz w:val="6"/>
        <w:szCs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04185" w14:textId="77777777" w:rsidR="00D4672C" w:rsidRDefault="00D4672C">
    <w:pPr>
      <w:pStyle w:val="Header"/>
    </w:pPr>
    <w:r>
      <w:rPr>
        <w:noProof/>
        <w:lang w:val="en-US" w:eastAsia="en-US"/>
      </w:rPr>
      <mc:AlternateContent>
        <mc:Choice Requires="wps">
          <w:drawing>
            <wp:anchor distT="0" distB="0" distL="114300" distR="114300" simplePos="0" relativeHeight="251659264" behindDoc="0" locked="0" layoutInCell="0" allowOverlap="1" wp14:anchorId="2440D56D" wp14:editId="2440D56E">
              <wp:simplePos x="0" y="0"/>
              <wp:positionH relativeFrom="column">
                <wp:posOffset>-73025</wp:posOffset>
              </wp:positionH>
              <wp:positionV relativeFrom="paragraph">
                <wp:posOffset>-302895</wp:posOffset>
              </wp:positionV>
              <wp:extent cx="8464550" cy="640080"/>
              <wp:effectExtent l="317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D4672C" w:rsidRPr="005841A3" w14:paraId="607A939B" w14:textId="77777777">
                            <w:trPr>
                              <w:trHeight w:hRule="exact" w:val="864"/>
                            </w:trPr>
                            <w:tc>
                              <w:tcPr>
                                <w:tcW w:w="4838" w:type="dxa"/>
                                <w:tcBorders>
                                  <w:bottom w:val="single" w:sz="4" w:space="0" w:color="auto"/>
                                </w:tcBorders>
                                <w:vAlign w:val="bottom"/>
                              </w:tcPr>
                              <w:p w14:paraId="2F76DDC3" w14:textId="147FC0AB" w:rsidR="00D4672C" w:rsidRPr="007C6F85" w:rsidRDefault="00D4672C"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GEO/4</w:t>
                                </w:r>
                              </w:p>
                            </w:tc>
                            <w:tc>
                              <w:tcPr>
                                <w:tcW w:w="8276" w:type="dxa"/>
                                <w:tcBorders>
                                  <w:bottom w:val="single" w:sz="4" w:space="0" w:color="auto"/>
                                </w:tcBorders>
                                <w:vAlign w:val="bottom"/>
                              </w:tcPr>
                              <w:p w14:paraId="6AA258D8" w14:textId="77777777" w:rsidR="00D4672C" w:rsidRPr="007C6F85" w:rsidRDefault="00D4672C">
                                <w:pPr>
                                  <w:pStyle w:val="Header"/>
                                  <w:rPr>
                                    <w:rFonts w:ascii="Times New Roman" w:hAnsi="Times New Roman"/>
                                    <w:sz w:val="17"/>
                                    <w:szCs w:val="17"/>
                                    <w:lang w:val="en-US" w:eastAsia="en-US"/>
                                  </w:rPr>
                                </w:pPr>
                              </w:p>
                            </w:tc>
                          </w:tr>
                        </w:tbl>
                        <w:p w14:paraId="6FFBD3EC" w14:textId="77777777" w:rsidR="00D4672C" w:rsidRDefault="00D4672C"/>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440D56D" id="_x0000_t202" coordsize="21600,21600" o:spt="202" path="m,l,21600r21600,l21600,xe">
              <v:stroke joinstyle="miter"/>
              <v:path gradientshapeok="t" o:connecttype="rect"/>
            </v:shapetype>
            <v:shape id="Text Box 2" o:spid="_x0000_s1026" type="#_x0000_t202" style="position:absolute;margin-left:-5.75pt;margin-top:-23.85pt;width:666.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D4672C" w:rsidRPr="005841A3" w14:paraId="607A939B" w14:textId="77777777">
                      <w:trPr>
                        <w:trHeight w:hRule="exact" w:val="864"/>
                      </w:trPr>
                      <w:tc>
                        <w:tcPr>
                          <w:tcW w:w="4838" w:type="dxa"/>
                          <w:tcBorders>
                            <w:bottom w:val="single" w:sz="4" w:space="0" w:color="auto"/>
                          </w:tcBorders>
                          <w:vAlign w:val="bottom"/>
                        </w:tcPr>
                        <w:p w14:paraId="2F76DDC3" w14:textId="147FC0AB" w:rsidR="00D4672C" w:rsidRPr="007C6F85" w:rsidRDefault="00D4672C"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GEO/4</w:t>
                          </w:r>
                        </w:p>
                      </w:tc>
                      <w:tc>
                        <w:tcPr>
                          <w:tcW w:w="8276" w:type="dxa"/>
                          <w:tcBorders>
                            <w:bottom w:val="single" w:sz="4" w:space="0" w:color="auto"/>
                          </w:tcBorders>
                          <w:vAlign w:val="bottom"/>
                        </w:tcPr>
                        <w:p w14:paraId="6AA258D8" w14:textId="77777777" w:rsidR="00D4672C" w:rsidRPr="007C6F85" w:rsidRDefault="00D4672C">
                          <w:pPr>
                            <w:pStyle w:val="Header"/>
                            <w:rPr>
                              <w:rFonts w:ascii="Times New Roman" w:hAnsi="Times New Roman"/>
                              <w:sz w:val="17"/>
                              <w:szCs w:val="17"/>
                              <w:lang w:val="en-US" w:eastAsia="en-US"/>
                            </w:rPr>
                          </w:pPr>
                        </w:p>
                      </w:tc>
                    </w:tr>
                  </w:tbl>
                  <w:p w14:paraId="6FFBD3EC" w14:textId="77777777" w:rsidR="00D4672C" w:rsidRDefault="00D4672C"/>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12"/>
    </w:tblGrid>
    <w:tr w:rsidR="00D4672C" w:rsidRPr="00FF6366" w14:paraId="0FC06573" w14:textId="77777777" w:rsidTr="000D3C23">
      <w:trPr>
        <w:trHeight w:hRule="exact" w:val="864"/>
      </w:trPr>
      <w:tc>
        <w:tcPr>
          <w:tcW w:w="4838" w:type="dxa"/>
          <w:tcBorders>
            <w:bottom w:val="single" w:sz="4" w:space="0" w:color="auto"/>
          </w:tcBorders>
          <w:vAlign w:val="bottom"/>
        </w:tcPr>
        <w:p w14:paraId="1EBAE6E0" w14:textId="77777777" w:rsidR="00D4672C" w:rsidRPr="00A6289F" w:rsidRDefault="00D4672C" w:rsidP="00827838">
          <w:pPr>
            <w:widowControl w:val="0"/>
            <w:tabs>
              <w:tab w:val="center" w:pos="4320"/>
              <w:tab w:val="right" w:pos="8640"/>
            </w:tabs>
            <w:spacing w:after="80"/>
            <w:rPr>
              <w:b/>
              <w:sz w:val="17"/>
              <w:szCs w:val="17"/>
            </w:rPr>
          </w:pPr>
        </w:p>
      </w:tc>
      <w:tc>
        <w:tcPr>
          <w:tcW w:w="8212" w:type="dxa"/>
          <w:tcBorders>
            <w:bottom w:val="single" w:sz="4" w:space="0" w:color="auto"/>
          </w:tcBorders>
          <w:vAlign w:val="bottom"/>
        </w:tcPr>
        <w:p w14:paraId="0337D3AE" w14:textId="77777777" w:rsidR="00D4672C" w:rsidRPr="00FF6366" w:rsidRDefault="00D4672C" w:rsidP="00827838">
          <w:pPr>
            <w:widowControl w:val="0"/>
            <w:tabs>
              <w:tab w:val="center" w:pos="4320"/>
              <w:tab w:val="right" w:pos="8640"/>
            </w:tabs>
            <w:spacing w:after="60"/>
            <w:jc w:val="right"/>
            <w:rPr>
              <w:sz w:val="17"/>
              <w:szCs w:val="17"/>
            </w:rPr>
          </w:pPr>
          <w:r>
            <w:rPr>
              <w:b/>
              <w:sz w:val="17"/>
              <w:szCs w:val="17"/>
            </w:rPr>
            <w:t>DP/DCP/GEO/4</w:t>
          </w:r>
        </w:p>
      </w:tc>
    </w:tr>
  </w:tbl>
  <w:p w14:paraId="630098D6" w14:textId="77777777" w:rsidR="00D4672C" w:rsidRPr="00827838" w:rsidRDefault="00D4672C">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00C3"/>
    <w:multiLevelType w:val="hybridMultilevel"/>
    <w:tmpl w:val="CE96C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3322B"/>
    <w:multiLevelType w:val="multilevel"/>
    <w:tmpl w:val="8620EF4A"/>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36A78CD"/>
    <w:multiLevelType w:val="hybridMultilevel"/>
    <w:tmpl w:val="4F5CD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C72F0"/>
    <w:multiLevelType w:val="hybridMultilevel"/>
    <w:tmpl w:val="4B4ACAF2"/>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16EC7E57"/>
    <w:multiLevelType w:val="hybridMultilevel"/>
    <w:tmpl w:val="5CEAE7DC"/>
    <w:lvl w:ilvl="0" w:tplc="91B0A29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2C93D21"/>
    <w:multiLevelType w:val="hybridMultilevel"/>
    <w:tmpl w:val="35FC68AE"/>
    <w:lvl w:ilvl="0" w:tplc="A2FAF58A">
      <w:start w:val="2"/>
      <w:numFmt w:val="upperLetter"/>
      <w:lvlText w:val="%1."/>
      <w:lvlJc w:val="left"/>
      <w:pPr>
        <w:ind w:left="162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278714FD"/>
    <w:multiLevelType w:val="hybridMultilevel"/>
    <w:tmpl w:val="DF7A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9374C"/>
    <w:multiLevelType w:val="hybridMultilevel"/>
    <w:tmpl w:val="441A1C0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15:restartNumberingAfterBreak="0">
    <w:nsid w:val="2B6923D7"/>
    <w:multiLevelType w:val="multilevel"/>
    <w:tmpl w:val="BC629AC4"/>
    <w:lvl w:ilvl="0">
      <w:start w:val="1"/>
      <w:numFmt w:val="upperLetter"/>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9" w15:restartNumberingAfterBreak="0">
    <w:nsid w:val="2E522C49"/>
    <w:multiLevelType w:val="hybridMultilevel"/>
    <w:tmpl w:val="4B381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730B7"/>
    <w:multiLevelType w:val="hybridMultilevel"/>
    <w:tmpl w:val="2FFC1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458C9"/>
    <w:multiLevelType w:val="hybridMultilevel"/>
    <w:tmpl w:val="DF6CE570"/>
    <w:lvl w:ilvl="0" w:tplc="C7B03E0A">
      <w:start w:val="9"/>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F0082"/>
    <w:multiLevelType w:val="hybridMultilevel"/>
    <w:tmpl w:val="58C0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D28DE"/>
    <w:multiLevelType w:val="hybridMultilevel"/>
    <w:tmpl w:val="0F14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1077D"/>
    <w:multiLevelType w:val="hybridMultilevel"/>
    <w:tmpl w:val="FE36E9C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46375E0F"/>
    <w:multiLevelType w:val="multilevel"/>
    <w:tmpl w:val="8620EF4A"/>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9493A8F"/>
    <w:multiLevelType w:val="hybridMultilevel"/>
    <w:tmpl w:val="BE96F23C"/>
    <w:lvl w:ilvl="0" w:tplc="3198F81A">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7A3067"/>
    <w:multiLevelType w:val="hybridMultilevel"/>
    <w:tmpl w:val="307C8722"/>
    <w:lvl w:ilvl="0" w:tplc="C7B03E0A">
      <w:start w:val="9"/>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63989"/>
    <w:multiLevelType w:val="hybridMultilevel"/>
    <w:tmpl w:val="FF62EFCA"/>
    <w:lvl w:ilvl="0" w:tplc="09BA8ECE">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745FD"/>
    <w:multiLevelType w:val="hybridMultilevel"/>
    <w:tmpl w:val="832EE038"/>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B70415"/>
    <w:multiLevelType w:val="hybridMultilevel"/>
    <w:tmpl w:val="AFEC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772F8"/>
    <w:multiLevelType w:val="hybridMultilevel"/>
    <w:tmpl w:val="A712C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66A6F"/>
    <w:multiLevelType w:val="hybridMultilevel"/>
    <w:tmpl w:val="0220F4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68986977"/>
    <w:multiLevelType w:val="multilevel"/>
    <w:tmpl w:val="780006CA"/>
    <w:lvl w:ilvl="0">
      <w:start w:val="4"/>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4" w15:restartNumberingAfterBreak="0">
    <w:nsid w:val="6AD2356B"/>
    <w:multiLevelType w:val="hybridMultilevel"/>
    <w:tmpl w:val="0DACEC5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6BEB64F8"/>
    <w:multiLevelType w:val="hybridMultilevel"/>
    <w:tmpl w:val="2956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3E72A1"/>
    <w:multiLevelType w:val="hybridMultilevel"/>
    <w:tmpl w:val="7ADCADC4"/>
    <w:lvl w:ilvl="0" w:tplc="84C646AA">
      <w:start w:val="1"/>
      <w:numFmt w:val="upp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70D73FD3"/>
    <w:multiLevelType w:val="multilevel"/>
    <w:tmpl w:val="2E2489E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8" w15:restartNumberingAfterBreak="0">
    <w:nsid w:val="71FB06B2"/>
    <w:multiLevelType w:val="hybridMultilevel"/>
    <w:tmpl w:val="115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22222E"/>
    <w:multiLevelType w:val="hybridMultilevel"/>
    <w:tmpl w:val="D2A0C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70FF0"/>
    <w:multiLevelType w:val="hybridMultilevel"/>
    <w:tmpl w:val="C4FC8398"/>
    <w:lvl w:ilvl="0" w:tplc="D66EC03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27"/>
  </w:num>
  <w:num w:numId="3">
    <w:abstractNumId w:val="14"/>
  </w:num>
  <w:num w:numId="4">
    <w:abstractNumId w:val="3"/>
  </w:num>
  <w:num w:numId="5">
    <w:abstractNumId w:val="12"/>
  </w:num>
  <w:num w:numId="6">
    <w:abstractNumId w:val="24"/>
  </w:num>
  <w:num w:numId="7">
    <w:abstractNumId w:val="22"/>
  </w:num>
  <w:num w:numId="8">
    <w:abstractNumId w:val="28"/>
  </w:num>
  <w:num w:numId="9">
    <w:abstractNumId w:val="20"/>
  </w:num>
  <w:num w:numId="10">
    <w:abstractNumId w:val="7"/>
  </w:num>
  <w:num w:numId="11">
    <w:abstractNumId w:val="13"/>
  </w:num>
  <w:num w:numId="12">
    <w:abstractNumId w:val="6"/>
  </w:num>
  <w:num w:numId="13">
    <w:abstractNumId w:val="25"/>
  </w:num>
  <w:num w:numId="14">
    <w:abstractNumId w:val="4"/>
  </w:num>
  <w:num w:numId="15">
    <w:abstractNumId w:val="30"/>
  </w:num>
  <w:num w:numId="16">
    <w:abstractNumId w:val="16"/>
  </w:num>
  <w:num w:numId="17">
    <w:abstractNumId w:val="23"/>
  </w:num>
  <w:num w:numId="18">
    <w:abstractNumId w:val="15"/>
  </w:num>
  <w:num w:numId="19">
    <w:abstractNumId w:val="26"/>
  </w:num>
  <w:num w:numId="20">
    <w:abstractNumId w:val="1"/>
  </w:num>
  <w:num w:numId="21">
    <w:abstractNumId w:val="18"/>
  </w:num>
  <w:num w:numId="22">
    <w:abstractNumId w:val="29"/>
  </w:num>
  <w:num w:numId="23">
    <w:abstractNumId w:val="0"/>
  </w:num>
  <w:num w:numId="24">
    <w:abstractNumId w:val="21"/>
  </w:num>
  <w:num w:numId="25">
    <w:abstractNumId w:val="10"/>
  </w:num>
  <w:num w:numId="26">
    <w:abstractNumId w:val="9"/>
  </w:num>
  <w:num w:numId="27">
    <w:abstractNumId w:val="2"/>
  </w:num>
  <w:num w:numId="28">
    <w:abstractNumId w:val="17"/>
  </w:num>
  <w:num w:numId="29">
    <w:abstractNumId w:val="5"/>
  </w:num>
  <w:num w:numId="30">
    <w:abstractNumId w:val="8"/>
  </w:num>
  <w:num w:numId="3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6145"/>
  </w:hdrShapeDefaults>
  <w:footnotePr>
    <w:numRestart w:val="eachSect"/>
    <w:footnote w:id="-1"/>
    <w:footnote w:id="0"/>
    <w:footnote w:id="1"/>
  </w:footnotePr>
  <w:endnotePr>
    <w:numFmt w:val="decimal"/>
    <w:numStart w:val="7"/>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3B"/>
    <w:rsid w:val="00000CDC"/>
    <w:rsid w:val="000010B5"/>
    <w:rsid w:val="000027D2"/>
    <w:rsid w:val="0000312F"/>
    <w:rsid w:val="00003E8B"/>
    <w:rsid w:val="00005E26"/>
    <w:rsid w:val="00006E59"/>
    <w:rsid w:val="0001067C"/>
    <w:rsid w:val="0001309E"/>
    <w:rsid w:val="000133A4"/>
    <w:rsid w:val="000135B2"/>
    <w:rsid w:val="00013601"/>
    <w:rsid w:val="000146B3"/>
    <w:rsid w:val="000153EB"/>
    <w:rsid w:val="00015FDE"/>
    <w:rsid w:val="00016217"/>
    <w:rsid w:val="00016861"/>
    <w:rsid w:val="00017D05"/>
    <w:rsid w:val="000200CF"/>
    <w:rsid w:val="000205F1"/>
    <w:rsid w:val="00022047"/>
    <w:rsid w:val="00023AEE"/>
    <w:rsid w:val="0002497E"/>
    <w:rsid w:val="000274B9"/>
    <w:rsid w:val="0002758B"/>
    <w:rsid w:val="000276A0"/>
    <w:rsid w:val="00031F49"/>
    <w:rsid w:val="0003257C"/>
    <w:rsid w:val="00032ABA"/>
    <w:rsid w:val="000330DB"/>
    <w:rsid w:val="0003429F"/>
    <w:rsid w:val="0003562A"/>
    <w:rsid w:val="00035774"/>
    <w:rsid w:val="00036095"/>
    <w:rsid w:val="000365CE"/>
    <w:rsid w:val="000367E0"/>
    <w:rsid w:val="00036AF4"/>
    <w:rsid w:val="000419DE"/>
    <w:rsid w:val="00041C10"/>
    <w:rsid w:val="00043804"/>
    <w:rsid w:val="000441A1"/>
    <w:rsid w:val="000444B3"/>
    <w:rsid w:val="00044918"/>
    <w:rsid w:val="00050869"/>
    <w:rsid w:val="00051122"/>
    <w:rsid w:val="00051E3C"/>
    <w:rsid w:val="000529E0"/>
    <w:rsid w:val="00055596"/>
    <w:rsid w:val="00056014"/>
    <w:rsid w:val="000561C1"/>
    <w:rsid w:val="00056204"/>
    <w:rsid w:val="000570D1"/>
    <w:rsid w:val="000571A9"/>
    <w:rsid w:val="00060290"/>
    <w:rsid w:val="000611AB"/>
    <w:rsid w:val="00063E24"/>
    <w:rsid w:val="00065F9D"/>
    <w:rsid w:val="00066124"/>
    <w:rsid w:val="0006781C"/>
    <w:rsid w:val="000715B9"/>
    <w:rsid w:val="00072229"/>
    <w:rsid w:val="000728F8"/>
    <w:rsid w:val="00072C85"/>
    <w:rsid w:val="00073CF1"/>
    <w:rsid w:val="00074BD0"/>
    <w:rsid w:val="00074D9A"/>
    <w:rsid w:val="00074DB9"/>
    <w:rsid w:val="000753C4"/>
    <w:rsid w:val="00075D71"/>
    <w:rsid w:val="00075DF0"/>
    <w:rsid w:val="000762CA"/>
    <w:rsid w:val="000803A4"/>
    <w:rsid w:val="000806E3"/>
    <w:rsid w:val="00082672"/>
    <w:rsid w:val="00082AFD"/>
    <w:rsid w:val="00082F85"/>
    <w:rsid w:val="000831C4"/>
    <w:rsid w:val="0008339E"/>
    <w:rsid w:val="000872E8"/>
    <w:rsid w:val="00090AD1"/>
    <w:rsid w:val="00090F4F"/>
    <w:rsid w:val="00091476"/>
    <w:rsid w:val="00091984"/>
    <w:rsid w:val="00092879"/>
    <w:rsid w:val="00094E87"/>
    <w:rsid w:val="00097FB2"/>
    <w:rsid w:val="000A151D"/>
    <w:rsid w:val="000A24C5"/>
    <w:rsid w:val="000A30A1"/>
    <w:rsid w:val="000A3A38"/>
    <w:rsid w:val="000A3F7F"/>
    <w:rsid w:val="000A47FD"/>
    <w:rsid w:val="000A56CE"/>
    <w:rsid w:val="000A5952"/>
    <w:rsid w:val="000A7192"/>
    <w:rsid w:val="000B0228"/>
    <w:rsid w:val="000B2E16"/>
    <w:rsid w:val="000B3A13"/>
    <w:rsid w:val="000B4BB2"/>
    <w:rsid w:val="000B6379"/>
    <w:rsid w:val="000B782B"/>
    <w:rsid w:val="000C4E54"/>
    <w:rsid w:val="000C76B0"/>
    <w:rsid w:val="000C7BBE"/>
    <w:rsid w:val="000C7EDC"/>
    <w:rsid w:val="000D2475"/>
    <w:rsid w:val="000D3C23"/>
    <w:rsid w:val="000D442C"/>
    <w:rsid w:val="000D4DC4"/>
    <w:rsid w:val="000E55D6"/>
    <w:rsid w:val="000E612D"/>
    <w:rsid w:val="000E6AB1"/>
    <w:rsid w:val="000E745A"/>
    <w:rsid w:val="000E7E9E"/>
    <w:rsid w:val="000F0044"/>
    <w:rsid w:val="000F0EFD"/>
    <w:rsid w:val="000F3452"/>
    <w:rsid w:val="000F5541"/>
    <w:rsid w:val="000F703B"/>
    <w:rsid w:val="000F72ED"/>
    <w:rsid w:val="000F7A4C"/>
    <w:rsid w:val="00103698"/>
    <w:rsid w:val="00106EF8"/>
    <w:rsid w:val="001079CD"/>
    <w:rsid w:val="001101A2"/>
    <w:rsid w:val="00111489"/>
    <w:rsid w:val="00111792"/>
    <w:rsid w:val="00111797"/>
    <w:rsid w:val="00111B19"/>
    <w:rsid w:val="0011392A"/>
    <w:rsid w:val="00114A64"/>
    <w:rsid w:val="0011585F"/>
    <w:rsid w:val="00115F59"/>
    <w:rsid w:val="00116C1A"/>
    <w:rsid w:val="00121554"/>
    <w:rsid w:val="00121F3E"/>
    <w:rsid w:val="0012229E"/>
    <w:rsid w:val="0012275E"/>
    <w:rsid w:val="00123849"/>
    <w:rsid w:val="00123A5E"/>
    <w:rsid w:val="00124A5D"/>
    <w:rsid w:val="00125010"/>
    <w:rsid w:val="001251C8"/>
    <w:rsid w:val="00125266"/>
    <w:rsid w:val="00125B82"/>
    <w:rsid w:val="001305E6"/>
    <w:rsid w:val="001315CD"/>
    <w:rsid w:val="0013239A"/>
    <w:rsid w:val="00132B61"/>
    <w:rsid w:val="00132D93"/>
    <w:rsid w:val="001334D3"/>
    <w:rsid w:val="0013761A"/>
    <w:rsid w:val="0014087E"/>
    <w:rsid w:val="001418CF"/>
    <w:rsid w:val="0014423A"/>
    <w:rsid w:val="00145C20"/>
    <w:rsid w:val="00147042"/>
    <w:rsid w:val="001471A7"/>
    <w:rsid w:val="001471DF"/>
    <w:rsid w:val="001506F6"/>
    <w:rsid w:val="001508E6"/>
    <w:rsid w:val="00154032"/>
    <w:rsid w:val="001547D3"/>
    <w:rsid w:val="00154F13"/>
    <w:rsid w:val="00155117"/>
    <w:rsid w:val="001559BD"/>
    <w:rsid w:val="00157F09"/>
    <w:rsid w:val="00157F79"/>
    <w:rsid w:val="00160E8C"/>
    <w:rsid w:val="00162609"/>
    <w:rsid w:val="00163E84"/>
    <w:rsid w:val="00165A12"/>
    <w:rsid w:val="001668AA"/>
    <w:rsid w:val="001675B1"/>
    <w:rsid w:val="0016789D"/>
    <w:rsid w:val="00167C87"/>
    <w:rsid w:val="001713C3"/>
    <w:rsid w:val="00171F01"/>
    <w:rsid w:val="00172EE3"/>
    <w:rsid w:val="00172F71"/>
    <w:rsid w:val="00174F19"/>
    <w:rsid w:val="00176B2A"/>
    <w:rsid w:val="00176E15"/>
    <w:rsid w:val="001770AE"/>
    <w:rsid w:val="00177E7E"/>
    <w:rsid w:val="00180338"/>
    <w:rsid w:val="00180BB5"/>
    <w:rsid w:val="00182B9A"/>
    <w:rsid w:val="0018356F"/>
    <w:rsid w:val="00183C35"/>
    <w:rsid w:val="00185528"/>
    <w:rsid w:val="001874A7"/>
    <w:rsid w:val="0018756A"/>
    <w:rsid w:val="001876C5"/>
    <w:rsid w:val="00187D68"/>
    <w:rsid w:val="00190155"/>
    <w:rsid w:val="001906B5"/>
    <w:rsid w:val="001913A7"/>
    <w:rsid w:val="00192198"/>
    <w:rsid w:val="00194163"/>
    <w:rsid w:val="00194359"/>
    <w:rsid w:val="00194FEB"/>
    <w:rsid w:val="001970A4"/>
    <w:rsid w:val="00197AD1"/>
    <w:rsid w:val="001A17DA"/>
    <w:rsid w:val="001A2E35"/>
    <w:rsid w:val="001A5475"/>
    <w:rsid w:val="001B0020"/>
    <w:rsid w:val="001B3F87"/>
    <w:rsid w:val="001B4026"/>
    <w:rsid w:val="001B528D"/>
    <w:rsid w:val="001B598C"/>
    <w:rsid w:val="001B5D8E"/>
    <w:rsid w:val="001B6419"/>
    <w:rsid w:val="001B76A6"/>
    <w:rsid w:val="001C07F8"/>
    <w:rsid w:val="001C1147"/>
    <w:rsid w:val="001C2D7D"/>
    <w:rsid w:val="001C2F59"/>
    <w:rsid w:val="001C3DDA"/>
    <w:rsid w:val="001C48B7"/>
    <w:rsid w:val="001C6A32"/>
    <w:rsid w:val="001C6C08"/>
    <w:rsid w:val="001D0646"/>
    <w:rsid w:val="001D1B55"/>
    <w:rsid w:val="001D2056"/>
    <w:rsid w:val="001D220F"/>
    <w:rsid w:val="001D42D1"/>
    <w:rsid w:val="001D5045"/>
    <w:rsid w:val="001D547F"/>
    <w:rsid w:val="001D5F99"/>
    <w:rsid w:val="001D64E5"/>
    <w:rsid w:val="001D6EB8"/>
    <w:rsid w:val="001D6EFA"/>
    <w:rsid w:val="001E05EC"/>
    <w:rsid w:val="001E1911"/>
    <w:rsid w:val="001E2165"/>
    <w:rsid w:val="001E4809"/>
    <w:rsid w:val="001E4C17"/>
    <w:rsid w:val="001E4F4F"/>
    <w:rsid w:val="001E673B"/>
    <w:rsid w:val="001F27F4"/>
    <w:rsid w:val="001F3DC0"/>
    <w:rsid w:val="001F42CC"/>
    <w:rsid w:val="001F4C5A"/>
    <w:rsid w:val="001F4EA9"/>
    <w:rsid w:val="001F4F73"/>
    <w:rsid w:val="001F6425"/>
    <w:rsid w:val="001F6671"/>
    <w:rsid w:val="001F6772"/>
    <w:rsid w:val="001F7421"/>
    <w:rsid w:val="00200195"/>
    <w:rsid w:val="00200B5F"/>
    <w:rsid w:val="00201208"/>
    <w:rsid w:val="00201EEF"/>
    <w:rsid w:val="00202476"/>
    <w:rsid w:val="00202B58"/>
    <w:rsid w:val="002047C8"/>
    <w:rsid w:val="002052B3"/>
    <w:rsid w:val="00205453"/>
    <w:rsid w:val="002058F9"/>
    <w:rsid w:val="0020650A"/>
    <w:rsid w:val="00207F32"/>
    <w:rsid w:val="00211699"/>
    <w:rsid w:val="0021237C"/>
    <w:rsid w:val="00212B1F"/>
    <w:rsid w:val="00213001"/>
    <w:rsid w:val="00213340"/>
    <w:rsid w:val="00213D48"/>
    <w:rsid w:val="00213D7C"/>
    <w:rsid w:val="00213E38"/>
    <w:rsid w:val="00214513"/>
    <w:rsid w:val="00214681"/>
    <w:rsid w:val="002155B7"/>
    <w:rsid w:val="0021766A"/>
    <w:rsid w:val="00220C88"/>
    <w:rsid w:val="002225D3"/>
    <w:rsid w:val="00222A35"/>
    <w:rsid w:val="0022301D"/>
    <w:rsid w:val="002236F0"/>
    <w:rsid w:val="00224B2C"/>
    <w:rsid w:val="00226F3A"/>
    <w:rsid w:val="002272E2"/>
    <w:rsid w:val="00227E55"/>
    <w:rsid w:val="0023009F"/>
    <w:rsid w:val="00232AA0"/>
    <w:rsid w:val="00234CDF"/>
    <w:rsid w:val="00236B91"/>
    <w:rsid w:val="00236BF6"/>
    <w:rsid w:val="00241BB5"/>
    <w:rsid w:val="002424C0"/>
    <w:rsid w:val="00242617"/>
    <w:rsid w:val="00242CAA"/>
    <w:rsid w:val="0024503B"/>
    <w:rsid w:val="0024573D"/>
    <w:rsid w:val="00245D74"/>
    <w:rsid w:val="00246D03"/>
    <w:rsid w:val="00246DDF"/>
    <w:rsid w:val="002573CC"/>
    <w:rsid w:val="00257BE9"/>
    <w:rsid w:val="00260378"/>
    <w:rsid w:val="00260FAA"/>
    <w:rsid w:val="00262211"/>
    <w:rsid w:val="00262338"/>
    <w:rsid w:val="00263694"/>
    <w:rsid w:val="00263938"/>
    <w:rsid w:val="002646D7"/>
    <w:rsid w:val="00264990"/>
    <w:rsid w:val="00266B89"/>
    <w:rsid w:val="002671D7"/>
    <w:rsid w:val="0027196F"/>
    <w:rsid w:val="00272027"/>
    <w:rsid w:val="0027259C"/>
    <w:rsid w:val="002728A7"/>
    <w:rsid w:val="00273543"/>
    <w:rsid w:val="00273687"/>
    <w:rsid w:val="00274C82"/>
    <w:rsid w:val="0027654D"/>
    <w:rsid w:val="002809C0"/>
    <w:rsid w:val="00280C36"/>
    <w:rsid w:val="002810DF"/>
    <w:rsid w:val="002812AB"/>
    <w:rsid w:val="002816D8"/>
    <w:rsid w:val="00281F8F"/>
    <w:rsid w:val="00282A8C"/>
    <w:rsid w:val="00284869"/>
    <w:rsid w:val="002854EE"/>
    <w:rsid w:val="0028565C"/>
    <w:rsid w:val="00286EB6"/>
    <w:rsid w:val="002875DE"/>
    <w:rsid w:val="00287E07"/>
    <w:rsid w:val="00290B77"/>
    <w:rsid w:val="00290EB3"/>
    <w:rsid w:val="00292303"/>
    <w:rsid w:val="00292846"/>
    <w:rsid w:val="002929A1"/>
    <w:rsid w:val="00292A90"/>
    <w:rsid w:val="00296F0A"/>
    <w:rsid w:val="002971D6"/>
    <w:rsid w:val="002A062B"/>
    <w:rsid w:val="002A2F08"/>
    <w:rsid w:val="002A3641"/>
    <w:rsid w:val="002A495F"/>
    <w:rsid w:val="002A4CE1"/>
    <w:rsid w:val="002A4E73"/>
    <w:rsid w:val="002A706F"/>
    <w:rsid w:val="002A70EA"/>
    <w:rsid w:val="002A7363"/>
    <w:rsid w:val="002A7F43"/>
    <w:rsid w:val="002B3082"/>
    <w:rsid w:val="002B365E"/>
    <w:rsid w:val="002B3E6C"/>
    <w:rsid w:val="002B489A"/>
    <w:rsid w:val="002B4BB0"/>
    <w:rsid w:val="002B606A"/>
    <w:rsid w:val="002B6341"/>
    <w:rsid w:val="002C031A"/>
    <w:rsid w:val="002C0526"/>
    <w:rsid w:val="002C27A8"/>
    <w:rsid w:val="002C333E"/>
    <w:rsid w:val="002C36C8"/>
    <w:rsid w:val="002C51A0"/>
    <w:rsid w:val="002C57E0"/>
    <w:rsid w:val="002C7971"/>
    <w:rsid w:val="002D0584"/>
    <w:rsid w:val="002D15B9"/>
    <w:rsid w:val="002D2E2A"/>
    <w:rsid w:val="002D4274"/>
    <w:rsid w:val="002D4F19"/>
    <w:rsid w:val="002D5295"/>
    <w:rsid w:val="002D52BF"/>
    <w:rsid w:val="002D6630"/>
    <w:rsid w:val="002D68FA"/>
    <w:rsid w:val="002D7ECA"/>
    <w:rsid w:val="002E0141"/>
    <w:rsid w:val="002E0B5D"/>
    <w:rsid w:val="002E0B76"/>
    <w:rsid w:val="002E1495"/>
    <w:rsid w:val="002E1F75"/>
    <w:rsid w:val="002E2466"/>
    <w:rsid w:val="002E2900"/>
    <w:rsid w:val="002E2B78"/>
    <w:rsid w:val="002E32B2"/>
    <w:rsid w:val="002E3C0D"/>
    <w:rsid w:val="002E43EC"/>
    <w:rsid w:val="002E4883"/>
    <w:rsid w:val="002E5B3C"/>
    <w:rsid w:val="002E7A37"/>
    <w:rsid w:val="002E7A79"/>
    <w:rsid w:val="002E7B92"/>
    <w:rsid w:val="002F1D9E"/>
    <w:rsid w:val="002F2207"/>
    <w:rsid w:val="002F2C6E"/>
    <w:rsid w:val="002F3C88"/>
    <w:rsid w:val="002F4067"/>
    <w:rsid w:val="002F47EB"/>
    <w:rsid w:val="002F7339"/>
    <w:rsid w:val="002F7461"/>
    <w:rsid w:val="002F7946"/>
    <w:rsid w:val="003025E2"/>
    <w:rsid w:val="00303CB0"/>
    <w:rsid w:val="00306D24"/>
    <w:rsid w:val="00306EEA"/>
    <w:rsid w:val="00307712"/>
    <w:rsid w:val="00312648"/>
    <w:rsid w:val="00313A81"/>
    <w:rsid w:val="0031404A"/>
    <w:rsid w:val="00314B7C"/>
    <w:rsid w:val="00314E49"/>
    <w:rsid w:val="00315445"/>
    <w:rsid w:val="00316E94"/>
    <w:rsid w:val="00317183"/>
    <w:rsid w:val="00317E89"/>
    <w:rsid w:val="003204AE"/>
    <w:rsid w:val="003208EF"/>
    <w:rsid w:val="00321A6A"/>
    <w:rsid w:val="00323D35"/>
    <w:rsid w:val="00324846"/>
    <w:rsid w:val="00324ABD"/>
    <w:rsid w:val="00324D9B"/>
    <w:rsid w:val="00324FC5"/>
    <w:rsid w:val="003272A6"/>
    <w:rsid w:val="003273CB"/>
    <w:rsid w:val="00327E70"/>
    <w:rsid w:val="00330E9B"/>
    <w:rsid w:val="0033125E"/>
    <w:rsid w:val="00332ED2"/>
    <w:rsid w:val="0033325E"/>
    <w:rsid w:val="00335B9B"/>
    <w:rsid w:val="00335C99"/>
    <w:rsid w:val="00336913"/>
    <w:rsid w:val="0033718C"/>
    <w:rsid w:val="00337407"/>
    <w:rsid w:val="00337BB8"/>
    <w:rsid w:val="00340E02"/>
    <w:rsid w:val="00341F33"/>
    <w:rsid w:val="00342E94"/>
    <w:rsid w:val="00343E6E"/>
    <w:rsid w:val="00343E9A"/>
    <w:rsid w:val="003450C8"/>
    <w:rsid w:val="003451A6"/>
    <w:rsid w:val="003458DE"/>
    <w:rsid w:val="00345BA7"/>
    <w:rsid w:val="0034782B"/>
    <w:rsid w:val="00347A40"/>
    <w:rsid w:val="00351E5C"/>
    <w:rsid w:val="00351E96"/>
    <w:rsid w:val="00351F5A"/>
    <w:rsid w:val="003538E0"/>
    <w:rsid w:val="003538F7"/>
    <w:rsid w:val="00354A61"/>
    <w:rsid w:val="0035580F"/>
    <w:rsid w:val="00355D71"/>
    <w:rsid w:val="00357CB4"/>
    <w:rsid w:val="003604EE"/>
    <w:rsid w:val="0036286B"/>
    <w:rsid w:val="00363371"/>
    <w:rsid w:val="00364989"/>
    <w:rsid w:val="00365141"/>
    <w:rsid w:val="003664C0"/>
    <w:rsid w:val="00366769"/>
    <w:rsid w:val="00367477"/>
    <w:rsid w:val="00367A28"/>
    <w:rsid w:val="00367E04"/>
    <w:rsid w:val="003726B5"/>
    <w:rsid w:val="0037312B"/>
    <w:rsid w:val="0037365C"/>
    <w:rsid w:val="003761F2"/>
    <w:rsid w:val="00376A05"/>
    <w:rsid w:val="003774FE"/>
    <w:rsid w:val="00382382"/>
    <w:rsid w:val="00382857"/>
    <w:rsid w:val="0038304C"/>
    <w:rsid w:val="00384F28"/>
    <w:rsid w:val="0038527B"/>
    <w:rsid w:val="00386710"/>
    <w:rsid w:val="00390E30"/>
    <w:rsid w:val="00392823"/>
    <w:rsid w:val="003938AC"/>
    <w:rsid w:val="00393ABE"/>
    <w:rsid w:val="0039458D"/>
    <w:rsid w:val="00394D61"/>
    <w:rsid w:val="00395201"/>
    <w:rsid w:val="003A05FC"/>
    <w:rsid w:val="003A0B92"/>
    <w:rsid w:val="003A1F5A"/>
    <w:rsid w:val="003A20C4"/>
    <w:rsid w:val="003A2ECE"/>
    <w:rsid w:val="003A4252"/>
    <w:rsid w:val="003A539A"/>
    <w:rsid w:val="003A5933"/>
    <w:rsid w:val="003A62A4"/>
    <w:rsid w:val="003A708F"/>
    <w:rsid w:val="003A7476"/>
    <w:rsid w:val="003A7D86"/>
    <w:rsid w:val="003B0AA1"/>
    <w:rsid w:val="003B1500"/>
    <w:rsid w:val="003B1AEF"/>
    <w:rsid w:val="003B243D"/>
    <w:rsid w:val="003B304F"/>
    <w:rsid w:val="003B5D18"/>
    <w:rsid w:val="003B5D29"/>
    <w:rsid w:val="003B795D"/>
    <w:rsid w:val="003C0430"/>
    <w:rsid w:val="003C26A6"/>
    <w:rsid w:val="003C26C1"/>
    <w:rsid w:val="003C3998"/>
    <w:rsid w:val="003C40D2"/>
    <w:rsid w:val="003C5C11"/>
    <w:rsid w:val="003C5EBC"/>
    <w:rsid w:val="003C6A5A"/>
    <w:rsid w:val="003C6AAD"/>
    <w:rsid w:val="003C76E4"/>
    <w:rsid w:val="003C79BE"/>
    <w:rsid w:val="003D1D4D"/>
    <w:rsid w:val="003D2D68"/>
    <w:rsid w:val="003D3682"/>
    <w:rsid w:val="003D37DD"/>
    <w:rsid w:val="003D45DF"/>
    <w:rsid w:val="003D47C6"/>
    <w:rsid w:val="003D6A71"/>
    <w:rsid w:val="003D7E38"/>
    <w:rsid w:val="003D7EAC"/>
    <w:rsid w:val="003E1AFA"/>
    <w:rsid w:val="003E23C6"/>
    <w:rsid w:val="003E2AE2"/>
    <w:rsid w:val="003E35DC"/>
    <w:rsid w:val="003E375F"/>
    <w:rsid w:val="003E379A"/>
    <w:rsid w:val="003E3C75"/>
    <w:rsid w:val="003E52B0"/>
    <w:rsid w:val="003E64DC"/>
    <w:rsid w:val="003E7A43"/>
    <w:rsid w:val="003F0B58"/>
    <w:rsid w:val="003F0D40"/>
    <w:rsid w:val="003F142C"/>
    <w:rsid w:val="003F2236"/>
    <w:rsid w:val="003F27B7"/>
    <w:rsid w:val="003F2F92"/>
    <w:rsid w:val="003F4051"/>
    <w:rsid w:val="003F527F"/>
    <w:rsid w:val="003F5812"/>
    <w:rsid w:val="003F625A"/>
    <w:rsid w:val="003F6AA4"/>
    <w:rsid w:val="003F6EA1"/>
    <w:rsid w:val="003F746A"/>
    <w:rsid w:val="00400E4A"/>
    <w:rsid w:val="004028E7"/>
    <w:rsid w:val="00402E9A"/>
    <w:rsid w:val="004038F0"/>
    <w:rsid w:val="00403FA8"/>
    <w:rsid w:val="00404040"/>
    <w:rsid w:val="00404213"/>
    <w:rsid w:val="004048AC"/>
    <w:rsid w:val="00404B8E"/>
    <w:rsid w:val="004068C2"/>
    <w:rsid w:val="00406E61"/>
    <w:rsid w:val="00407DD6"/>
    <w:rsid w:val="00410C26"/>
    <w:rsid w:val="00412559"/>
    <w:rsid w:val="00414033"/>
    <w:rsid w:val="004145F0"/>
    <w:rsid w:val="00415E7F"/>
    <w:rsid w:val="00420288"/>
    <w:rsid w:val="00421C78"/>
    <w:rsid w:val="004224CE"/>
    <w:rsid w:val="00423D5E"/>
    <w:rsid w:val="00424A78"/>
    <w:rsid w:val="00424F00"/>
    <w:rsid w:val="004254DB"/>
    <w:rsid w:val="00427EEA"/>
    <w:rsid w:val="00431836"/>
    <w:rsid w:val="004321E6"/>
    <w:rsid w:val="0043278E"/>
    <w:rsid w:val="004332A4"/>
    <w:rsid w:val="00436077"/>
    <w:rsid w:val="00436090"/>
    <w:rsid w:val="004360AC"/>
    <w:rsid w:val="00436B83"/>
    <w:rsid w:val="00437033"/>
    <w:rsid w:val="00441061"/>
    <w:rsid w:val="00441700"/>
    <w:rsid w:val="00443B43"/>
    <w:rsid w:val="0044560C"/>
    <w:rsid w:val="004501C9"/>
    <w:rsid w:val="00450C70"/>
    <w:rsid w:val="00452219"/>
    <w:rsid w:val="00453344"/>
    <w:rsid w:val="00454E76"/>
    <w:rsid w:val="00457080"/>
    <w:rsid w:val="00460891"/>
    <w:rsid w:val="00464FB2"/>
    <w:rsid w:val="004662A8"/>
    <w:rsid w:val="00466CDC"/>
    <w:rsid w:val="0046745E"/>
    <w:rsid w:val="00471F6F"/>
    <w:rsid w:val="004725ED"/>
    <w:rsid w:val="004736BE"/>
    <w:rsid w:val="0047556D"/>
    <w:rsid w:val="00475789"/>
    <w:rsid w:val="00475B8F"/>
    <w:rsid w:val="00476170"/>
    <w:rsid w:val="004801D4"/>
    <w:rsid w:val="00480284"/>
    <w:rsid w:val="00480344"/>
    <w:rsid w:val="004820B0"/>
    <w:rsid w:val="004820F5"/>
    <w:rsid w:val="00482117"/>
    <w:rsid w:val="00482544"/>
    <w:rsid w:val="00482E2F"/>
    <w:rsid w:val="004839C1"/>
    <w:rsid w:val="00484B0B"/>
    <w:rsid w:val="00484BE0"/>
    <w:rsid w:val="004859B4"/>
    <w:rsid w:val="00486ACD"/>
    <w:rsid w:val="00490B8D"/>
    <w:rsid w:val="0049255A"/>
    <w:rsid w:val="00492946"/>
    <w:rsid w:val="00492AD5"/>
    <w:rsid w:val="00492C65"/>
    <w:rsid w:val="00493FAB"/>
    <w:rsid w:val="0049403F"/>
    <w:rsid w:val="00494323"/>
    <w:rsid w:val="00494349"/>
    <w:rsid w:val="00494485"/>
    <w:rsid w:val="0049682B"/>
    <w:rsid w:val="0049762B"/>
    <w:rsid w:val="004A0F27"/>
    <w:rsid w:val="004A0F37"/>
    <w:rsid w:val="004A0F68"/>
    <w:rsid w:val="004A3608"/>
    <w:rsid w:val="004A4FBD"/>
    <w:rsid w:val="004A6228"/>
    <w:rsid w:val="004A76FF"/>
    <w:rsid w:val="004A7810"/>
    <w:rsid w:val="004A7E93"/>
    <w:rsid w:val="004A7ECC"/>
    <w:rsid w:val="004B021E"/>
    <w:rsid w:val="004B0A8A"/>
    <w:rsid w:val="004B23E4"/>
    <w:rsid w:val="004B35F4"/>
    <w:rsid w:val="004B3CFB"/>
    <w:rsid w:val="004B5D6B"/>
    <w:rsid w:val="004B621D"/>
    <w:rsid w:val="004B6251"/>
    <w:rsid w:val="004B76F8"/>
    <w:rsid w:val="004C0138"/>
    <w:rsid w:val="004C1FA6"/>
    <w:rsid w:val="004C2869"/>
    <w:rsid w:val="004C32E8"/>
    <w:rsid w:val="004C5CFD"/>
    <w:rsid w:val="004C5F14"/>
    <w:rsid w:val="004D0797"/>
    <w:rsid w:val="004D12C0"/>
    <w:rsid w:val="004D18EA"/>
    <w:rsid w:val="004D2B29"/>
    <w:rsid w:val="004D3713"/>
    <w:rsid w:val="004D6254"/>
    <w:rsid w:val="004D70FD"/>
    <w:rsid w:val="004D7E99"/>
    <w:rsid w:val="004E00CE"/>
    <w:rsid w:val="004E1ABA"/>
    <w:rsid w:val="004E2892"/>
    <w:rsid w:val="004E2BDB"/>
    <w:rsid w:val="004E307B"/>
    <w:rsid w:val="004E333C"/>
    <w:rsid w:val="004E5577"/>
    <w:rsid w:val="004E7846"/>
    <w:rsid w:val="004F0966"/>
    <w:rsid w:val="004F185F"/>
    <w:rsid w:val="004F35A9"/>
    <w:rsid w:val="004F50AF"/>
    <w:rsid w:val="004F681D"/>
    <w:rsid w:val="004F6E14"/>
    <w:rsid w:val="00501455"/>
    <w:rsid w:val="0050228C"/>
    <w:rsid w:val="00502857"/>
    <w:rsid w:val="005044A9"/>
    <w:rsid w:val="00504F68"/>
    <w:rsid w:val="005054DC"/>
    <w:rsid w:val="00505994"/>
    <w:rsid w:val="00505FD4"/>
    <w:rsid w:val="005062F0"/>
    <w:rsid w:val="00506E25"/>
    <w:rsid w:val="0051132C"/>
    <w:rsid w:val="00511426"/>
    <w:rsid w:val="005119D0"/>
    <w:rsid w:val="00512A71"/>
    <w:rsid w:val="005130EE"/>
    <w:rsid w:val="00513483"/>
    <w:rsid w:val="0051452E"/>
    <w:rsid w:val="00514A55"/>
    <w:rsid w:val="00514EF5"/>
    <w:rsid w:val="005158B6"/>
    <w:rsid w:val="0051782D"/>
    <w:rsid w:val="005178E7"/>
    <w:rsid w:val="0052087E"/>
    <w:rsid w:val="00520D97"/>
    <w:rsid w:val="0052315E"/>
    <w:rsid w:val="00523B73"/>
    <w:rsid w:val="00524E4F"/>
    <w:rsid w:val="00530ED3"/>
    <w:rsid w:val="00533BE3"/>
    <w:rsid w:val="00533D2D"/>
    <w:rsid w:val="0053438E"/>
    <w:rsid w:val="005343E5"/>
    <w:rsid w:val="005346B7"/>
    <w:rsid w:val="00534F99"/>
    <w:rsid w:val="005355EE"/>
    <w:rsid w:val="00535B16"/>
    <w:rsid w:val="005366D0"/>
    <w:rsid w:val="00537E27"/>
    <w:rsid w:val="00540B4D"/>
    <w:rsid w:val="00540FFA"/>
    <w:rsid w:val="00542930"/>
    <w:rsid w:val="005435B3"/>
    <w:rsid w:val="00545568"/>
    <w:rsid w:val="00546C42"/>
    <w:rsid w:val="00547815"/>
    <w:rsid w:val="00550849"/>
    <w:rsid w:val="00550866"/>
    <w:rsid w:val="005520BD"/>
    <w:rsid w:val="00553C14"/>
    <w:rsid w:val="00554BF3"/>
    <w:rsid w:val="0055655F"/>
    <w:rsid w:val="0055657D"/>
    <w:rsid w:val="005567AE"/>
    <w:rsid w:val="005579B9"/>
    <w:rsid w:val="00560D0D"/>
    <w:rsid w:val="00561604"/>
    <w:rsid w:val="00561A05"/>
    <w:rsid w:val="005632F1"/>
    <w:rsid w:val="005644AD"/>
    <w:rsid w:val="00565FB1"/>
    <w:rsid w:val="005662FB"/>
    <w:rsid w:val="00567781"/>
    <w:rsid w:val="00567ECC"/>
    <w:rsid w:val="0057019C"/>
    <w:rsid w:val="0057097B"/>
    <w:rsid w:val="005713B1"/>
    <w:rsid w:val="0057363E"/>
    <w:rsid w:val="00573C86"/>
    <w:rsid w:val="0057624B"/>
    <w:rsid w:val="0057644D"/>
    <w:rsid w:val="0057649A"/>
    <w:rsid w:val="005816B5"/>
    <w:rsid w:val="00583090"/>
    <w:rsid w:val="005835F4"/>
    <w:rsid w:val="00583EFE"/>
    <w:rsid w:val="00584076"/>
    <w:rsid w:val="005841A3"/>
    <w:rsid w:val="00586D9A"/>
    <w:rsid w:val="00590EAE"/>
    <w:rsid w:val="0059112A"/>
    <w:rsid w:val="0059116B"/>
    <w:rsid w:val="00591B65"/>
    <w:rsid w:val="00592A14"/>
    <w:rsid w:val="00592E63"/>
    <w:rsid w:val="00593216"/>
    <w:rsid w:val="00594BC3"/>
    <w:rsid w:val="00596CA7"/>
    <w:rsid w:val="00596DC8"/>
    <w:rsid w:val="00596E16"/>
    <w:rsid w:val="00597A78"/>
    <w:rsid w:val="00597DC7"/>
    <w:rsid w:val="005A0B4F"/>
    <w:rsid w:val="005A16A3"/>
    <w:rsid w:val="005A1C48"/>
    <w:rsid w:val="005A253A"/>
    <w:rsid w:val="005A2AD8"/>
    <w:rsid w:val="005A3152"/>
    <w:rsid w:val="005A353B"/>
    <w:rsid w:val="005A40AF"/>
    <w:rsid w:val="005A4676"/>
    <w:rsid w:val="005A64BF"/>
    <w:rsid w:val="005A6B4E"/>
    <w:rsid w:val="005A78AB"/>
    <w:rsid w:val="005B0565"/>
    <w:rsid w:val="005B0698"/>
    <w:rsid w:val="005B16FA"/>
    <w:rsid w:val="005B4421"/>
    <w:rsid w:val="005B513F"/>
    <w:rsid w:val="005B6F1E"/>
    <w:rsid w:val="005B7483"/>
    <w:rsid w:val="005B7929"/>
    <w:rsid w:val="005C056B"/>
    <w:rsid w:val="005C0643"/>
    <w:rsid w:val="005C23AF"/>
    <w:rsid w:val="005C25D1"/>
    <w:rsid w:val="005C35A9"/>
    <w:rsid w:val="005C464B"/>
    <w:rsid w:val="005C4E5F"/>
    <w:rsid w:val="005C5412"/>
    <w:rsid w:val="005C6027"/>
    <w:rsid w:val="005C74A0"/>
    <w:rsid w:val="005D052C"/>
    <w:rsid w:val="005D09F0"/>
    <w:rsid w:val="005D16FE"/>
    <w:rsid w:val="005D30D4"/>
    <w:rsid w:val="005D38F5"/>
    <w:rsid w:val="005D4084"/>
    <w:rsid w:val="005D4777"/>
    <w:rsid w:val="005D4C2B"/>
    <w:rsid w:val="005D5784"/>
    <w:rsid w:val="005E0E8B"/>
    <w:rsid w:val="005E1F9D"/>
    <w:rsid w:val="005E22CD"/>
    <w:rsid w:val="005E3097"/>
    <w:rsid w:val="005E4734"/>
    <w:rsid w:val="005E523D"/>
    <w:rsid w:val="005E56E6"/>
    <w:rsid w:val="005E6B93"/>
    <w:rsid w:val="005E7953"/>
    <w:rsid w:val="005E7E82"/>
    <w:rsid w:val="005F07CC"/>
    <w:rsid w:val="005F2968"/>
    <w:rsid w:val="005F2C42"/>
    <w:rsid w:val="005F4402"/>
    <w:rsid w:val="005F6BAB"/>
    <w:rsid w:val="005F6C28"/>
    <w:rsid w:val="005F7AB6"/>
    <w:rsid w:val="005F7E3C"/>
    <w:rsid w:val="005F7E96"/>
    <w:rsid w:val="00600FA8"/>
    <w:rsid w:val="00603376"/>
    <w:rsid w:val="006044AB"/>
    <w:rsid w:val="00604914"/>
    <w:rsid w:val="006063DA"/>
    <w:rsid w:val="00606CD0"/>
    <w:rsid w:val="00606CE3"/>
    <w:rsid w:val="00611DD3"/>
    <w:rsid w:val="00611EF0"/>
    <w:rsid w:val="00612219"/>
    <w:rsid w:val="00612E04"/>
    <w:rsid w:val="006173A4"/>
    <w:rsid w:val="00617C44"/>
    <w:rsid w:val="00620086"/>
    <w:rsid w:val="00622074"/>
    <w:rsid w:val="00622C65"/>
    <w:rsid w:val="00622CE4"/>
    <w:rsid w:val="006234A7"/>
    <w:rsid w:val="00623F8E"/>
    <w:rsid w:val="006255FA"/>
    <w:rsid w:val="00625917"/>
    <w:rsid w:val="0062789F"/>
    <w:rsid w:val="00627B68"/>
    <w:rsid w:val="006301BE"/>
    <w:rsid w:val="006308A6"/>
    <w:rsid w:val="0063096E"/>
    <w:rsid w:val="00630A44"/>
    <w:rsid w:val="00632DB2"/>
    <w:rsid w:val="00633349"/>
    <w:rsid w:val="00633D61"/>
    <w:rsid w:val="0063402B"/>
    <w:rsid w:val="00636570"/>
    <w:rsid w:val="00637859"/>
    <w:rsid w:val="00637901"/>
    <w:rsid w:val="00637E1B"/>
    <w:rsid w:val="006402DF"/>
    <w:rsid w:val="0064164B"/>
    <w:rsid w:val="00643523"/>
    <w:rsid w:val="0064416A"/>
    <w:rsid w:val="00644468"/>
    <w:rsid w:val="00645C67"/>
    <w:rsid w:val="00645F5E"/>
    <w:rsid w:val="006465FB"/>
    <w:rsid w:val="00647B1E"/>
    <w:rsid w:val="00647C55"/>
    <w:rsid w:val="0065008B"/>
    <w:rsid w:val="006530F2"/>
    <w:rsid w:val="00653721"/>
    <w:rsid w:val="00653A3B"/>
    <w:rsid w:val="00653FD9"/>
    <w:rsid w:val="006543A2"/>
    <w:rsid w:val="00654D42"/>
    <w:rsid w:val="00656328"/>
    <w:rsid w:val="00660279"/>
    <w:rsid w:val="00660A94"/>
    <w:rsid w:val="00661780"/>
    <w:rsid w:val="006622B9"/>
    <w:rsid w:val="00662E1E"/>
    <w:rsid w:val="0066371E"/>
    <w:rsid w:val="0066455B"/>
    <w:rsid w:val="006647BF"/>
    <w:rsid w:val="00664B44"/>
    <w:rsid w:val="00664EF9"/>
    <w:rsid w:val="0066628E"/>
    <w:rsid w:val="0067050E"/>
    <w:rsid w:val="00670BC4"/>
    <w:rsid w:val="006718ED"/>
    <w:rsid w:val="006724AD"/>
    <w:rsid w:val="00672BAB"/>
    <w:rsid w:val="0067314A"/>
    <w:rsid w:val="00673D1E"/>
    <w:rsid w:val="0067414D"/>
    <w:rsid w:val="0067557E"/>
    <w:rsid w:val="00675E9D"/>
    <w:rsid w:val="00676DBC"/>
    <w:rsid w:val="006779CF"/>
    <w:rsid w:val="00677A8F"/>
    <w:rsid w:val="00677D63"/>
    <w:rsid w:val="00677F8A"/>
    <w:rsid w:val="006821E3"/>
    <w:rsid w:val="0068300F"/>
    <w:rsid w:val="00683AD6"/>
    <w:rsid w:val="006842AE"/>
    <w:rsid w:val="00684B2C"/>
    <w:rsid w:val="00684E86"/>
    <w:rsid w:val="00684FFA"/>
    <w:rsid w:val="006875BA"/>
    <w:rsid w:val="0069097D"/>
    <w:rsid w:val="00690B94"/>
    <w:rsid w:val="00693FEA"/>
    <w:rsid w:val="00694C27"/>
    <w:rsid w:val="00694C68"/>
    <w:rsid w:val="006A014C"/>
    <w:rsid w:val="006A2B1E"/>
    <w:rsid w:val="006A5773"/>
    <w:rsid w:val="006A5804"/>
    <w:rsid w:val="006A58F0"/>
    <w:rsid w:val="006A5DA9"/>
    <w:rsid w:val="006A6262"/>
    <w:rsid w:val="006B0372"/>
    <w:rsid w:val="006B063A"/>
    <w:rsid w:val="006B0764"/>
    <w:rsid w:val="006B081C"/>
    <w:rsid w:val="006B4031"/>
    <w:rsid w:val="006B4467"/>
    <w:rsid w:val="006B5773"/>
    <w:rsid w:val="006B601E"/>
    <w:rsid w:val="006B6C46"/>
    <w:rsid w:val="006B6E78"/>
    <w:rsid w:val="006B7970"/>
    <w:rsid w:val="006C0039"/>
    <w:rsid w:val="006C0124"/>
    <w:rsid w:val="006C1090"/>
    <w:rsid w:val="006C1927"/>
    <w:rsid w:val="006C2585"/>
    <w:rsid w:val="006C4008"/>
    <w:rsid w:val="006C4E2C"/>
    <w:rsid w:val="006C5931"/>
    <w:rsid w:val="006C5D4B"/>
    <w:rsid w:val="006C73EF"/>
    <w:rsid w:val="006D1723"/>
    <w:rsid w:val="006D3AFB"/>
    <w:rsid w:val="006D5D3F"/>
    <w:rsid w:val="006D60ED"/>
    <w:rsid w:val="006E0B90"/>
    <w:rsid w:val="006E0FE2"/>
    <w:rsid w:val="006E1166"/>
    <w:rsid w:val="006E24D9"/>
    <w:rsid w:val="006E25BA"/>
    <w:rsid w:val="006E4602"/>
    <w:rsid w:val="006E596E"/>
    <w:rsid w:val="006E65E0"/>
    <w:rsid w:val="006F033F"/>
    <w:rsid w:val="006F14ED"/>
    <w:rsid w:val="006F24D8"/>
    <w:rsid w:val="006F290E"/>
    <w:rsid w:val="006F33B8"/>
    <w:rsid w:val="006F3F1F"/>
    <w:rsid w:val="006F4C9C"/>
    <w:rsid w:val="006F640F"/>
    <w:rsid w:val="006F6E96"/>
    <w:rsid w:val="006F762A"/>
    <w:rsid w:val="007017CF"/>
    <w:rsid w:val="00701B6B"/>
    <w:rsid w:val="0070228E"/>
    <w:rsid w:val="007026CB"/>
    <w:rsid w:val="00702D07"/>
    <w:rsid w:val="0070384F"/>
    <w:rsid w:val="00703A9E"/>
    <w:rsid w:val="00703D6D"/>
    <w:rsid w:val="00704095"/>
    <w:rsid w:val="00704152"/>
    <w:rsid w:val="00704987"/>
    <w:rsid w:val="00704FB5"/>
    <w:rsid w:val="00706B71"/>
    <w:rsid w:val="0071022A"/>
    <w:rsid w:val="00710AD7"/>
    <w:rsid w:val="00712444"/>
    <w:rsid w:val="00712523"/>
    <w:rsid w:val="0071277A"/>
    <w:rsid w:val="00712EE5"/>
    <w:rsid w:val="00713493"/>
    <w:rsid w:val="00713494"/>
    <w:rsid w:val="00713EA7"/>
    <w:rsid w:val="00714031"/>
    <w:rsid w:val="0071466E"/>
    <w:rsid w:val="00714A19"/>
    <w:rsid w:val="00714A6C"/>
    <w:rsid w:val="00714CD3"/>
    <w:rsid w:val="0071545E"/>
    <w:rsid w:val="0071582C"/>
    <w:rsid w:val="00716174"/>
    <w:rsid w:val="0071770B"/>
    <w:rsid w:val="007203D8"/>
    <w:rsid w:val="007206A8"/>
    <w:rsid w:val="0072116D"/>
    <w:rsid w:val="0072169F"/>
    <w:rsid w:val="00721A71"/>
    <w:rsid w:val="0072226F"/>
    <w:rsid w:val="007231ED"/>
    <w:rsid w:val="00723527"/>
    <w:rsid w:val="00723AEA"/>
    <w:rsid w:val="007246B6"/>
    <w:rsid w:val="00725B78"/>
    <w:rsid w:val="00727082"/>
    <w:rsid w:val="00730D30"/>
    <w:rsid w:val="0073233C"/>
    <w:rsid w:val="00732D0C"/>
    <w:rsid w:val="00733950"/>
    <w:rsid w:val="00733EAD"/>
    <w:rsid w:val="00734F54"/>
    <w:rsid w:val="00736D93"/>
    <w:rsid w:val="00737C04"/>
    <w:rsid w:val="00737F64"/>
    <w:rsid w:val="007422C9"/>
    <w:rsid w:val="00742A9E"/>
    <w:rsid w:val="00744110"/>
    <w:rsid w:val="00744595"/>
    <w:rsid w:val="0074695A"/>
    <w:rsid w:val="00747089"/>
    <w:rsid w:val="00747A52"/>
    <w:rsid w:val="00750F1E"/>
    <w:rsid w:val="00750FBF"/>
    <w:rsid w:val="00751C12"/>
    <w:rsid w:val="00752691"/>
    <w:rsid w:val="007528F2"/>
    <w:rsid w:val="007561B6"/>
    <w:rsid w:val="007575C4"/>
    <w:rsid w:val="00757D63"/>
    <w:rsid w:val="00762069"/>
    <w:rsid w:val="00762A1B"/>
    <w:rsid w:val="00762D6D"/>
    <w:rsid w:val="00763700"/>
    <w:rsid w:val="0076427C"/>
    <w:rsid w:val="00765217"/>
    <w:rsid w:val="007659AA"/>
    <w:rsid w:val="0076604E"/>
    <w:rsid w:val="00766334"/>
    <w:rsid w:val="0077144B"/>
    <w:rsid w:val="00771722"/>
    <w:rsid w:val="0077266C"/>
    <w:rsid w:val="00772802"/>
    <w:rsid w:val="007739DB"/>
    <w:rsid w:val="00774DE1"/>
    <w:rsid w:val="00775066"/>
    <w:rsid w:val="0077564F"/>
    <w:rsid w:val="00776406"/>
    <w:rsid w:val="0078005A"/>
    <w:rsid w:val="00781B6F"/>
    <w:rsid w:val="00781F9C"/>
    <w:rsid w:val="007820ED"/>
    <w:rsid w:val="00782DFD"/>
    <w:rsid w:val="00784424"/>
    <w:rsid w:val="00785474"/>
    <w:rsid w:val="0078772C"/>
    <w:rsid w:val="00787B99"/>
    <w:rsid w:val="007907C8"/>
    <w:rsid w:val="007925B6"/>
    <w:rsid w:val="00792FFD"/>
    <w:rsid w:val="007934F5"/>
    <w:rsid w:val="0079421C"/>
    <w:rsid w:val="0079526D"/>
    <w:rsid w:val="00795A2C"/>
    <w:rsid w:val="00797309"/>
    <w:rsid w:val="00797390"/>
    <w:rsid w:val="00797950"/>
    <w:rsid w:val="007A05B6"/>
    <w:rsid w:val="007A1C0A"/>
    <w:rsid w:val="007A1C59"/>
    <w:rsid w:val="007A2FC1"/>
    <w:rsid w:val="007A4397"/>
    <w:rsid w:val="007A5B41"/>
    <w:rsid w:val="007A6CA8"/>
    <w:rsid w:val="007B3A76"/>
    <w:rsid w:val="007B3E23"/>
    <w:rsid w:val="007B5792"/>
    <w:rsid w:val="007B709D"/>
    <w:rsid w:val="007C1D46"/>
    <w:rsid w:val="007C2934"/>
    <w:rsid w:val="007C31E2"/>
    <w:rsid w:val="007C3BB4"/>
    <w:rsid w:val="007C5CE1"/>
    <w:rsid w:val="007C6F85"/>
    <w:rsid w:val="007C77AE"/>
    <w:rsid w:val="007D0569"/>
    <w:rsid w:val="007D16B1"/>
    <w:rsid w:val="007D19E4"/>
    <w:rsid w:val="007D2001"/>
    <w:rsid w:val="007D7400"/>
    <w:rsid w:val="007D7761"/>
    <w:rsid w:val="007D79FF"/>
    <w:rsid w:val="007E02A7"/>
    <w:rsid w:val="007E0375"/>
    <w:rsid w:val="007E0936"/>
    <w:rsid w:val="007E468A"/>
    <w:rsid w:val="007E51A5"/>
    <w:rsid w:val="007E5629"/>
    <w:rsid w:val="007E5887"/>
    <w:rsid w:val="007E7F4C"/>
    <w:rsid w:val="007F2EC6"/>
    <w:rsid w:val="007F3018"/>
    <w:rsid w:val="007F34A3"/>
    <w:rsid w:val="007F6862"/>
    <w:rsid w:val="008013FC"/>
    <w:rsid w:val="00801B06"/>
    <w:rsid w:val="008060C3"/>
    <w:rsid w:val="008063A1"/>
    <w:rsid w:val="00806ECA"/>
    <w:rsid w:val="00807F00"/>
    <w:rsid w:val="00812095"/>
    <w:rsid w:val="008134BD"/>
    <w:rsid w:val="008139A5"/>
    <w:rsid w:val="00814656"/>
    <w:rsid w:val="00820E45"/>
    <w:rsid w:val="00821E2C"/>
    <w:rsid w:val="008220A3"/>
    <w:rsid w:val="00822835"/>
    <w:rsid w:val="0082459B"/>
    <w:rsid w:val="00826758"/>
    <w:rsid w:val="00827838"/>
    <w:rsid w:val="008313D1"/>
    <w:rsid w:val="00833261"/>
    <w:rsid w:val="008353E0"/>
    <w:rsid w:val="008365F0"/>
    <w:rsid w:val="00840FA8"/>
    <w:rsid w:val="00841534"/>
    <w:rsid w:val="00843B12"/>
    <w:rsid w:val="008460BE"/>
    <w:rsid w:val="008462F1"/>
    <w:rsid w:val="00846930"/>
    <w:rsid w:val="008506BF"/>
    <w:rsid w:val="00850FDE"/>
    <w:rsid w:val="00852876"/>
    <w:rsid w:val="008543F5"/>
    <w:rsid w:val="00855004"/>
    <w:rsid w:val="0085616B"/>
    <w:rsid w:val="00857249"/>
    <w:rsid w:val="008572C4"/>
    <w:rsid w:val="0085733E"/>
    <w:rsid w:val="0085765A"/>
    <w:rsid w:val="008600D5"/>
    <w:rsid w:val="008604A8"/>
    <w:rsid w:val="00860E64"/>
    <w:rsid w:val="008616F7"/>
    <w:rsid w:val="00861AFA"/>
    <w:rsid w:val="00861FF8"/>
    <w:rsid w:val="00862630"/>
    <w:rsid w:val="00862F48"/>
    <w:rsid w:val="00863C61"/>
    <w:rsid w:val="00865522"/>
    <w:rsid w:val="00865ADF"/>
    <w:rsid w:val="00865D42"/>
    <w:rsid w:val="008661FF"/>
    <w:rsid w:val="0086644C"/>
    <w:rsid w:val="008666B5"/>
    <w:rsid w:val="0086742D"/>
    <w:rsid w:val="008703B3"/>
    <w:rsid w:val="00870CEF"/>
    <w:rsid w:val="00871F13"/>
    <w:rsid w:val="00874059"/>
    <w:rsid w:val="00876985"/>
    <w:rsid w:val="008771AF"/>
    <w:rsid w:val="008808E6"/>
    <w:rsid w:val="00883780"/>
    <w:rsid w:val="00883B99"/>
    <w:rsid w:val="00885066"/>
    <w:rsid w:val="00885F85"/>
    <w:rsid w:val="0088665E"/>
    <w:rsid w:val="00887F48"/>
    <w:rsid w:val="008923C8"/>
    <w:rsid w:val="008924B5"/>
    <w:rsid w:val="00893260"/>
    <w:rsid w:val="008932A8"/>
    <w:rsid w:val="00893756"/>
    <w:rsid w:val="00893C96"/>
    <w:rsid w:val="0089440E"/>
    <w:rsid w:val="00894A9E"/>
    <w:rsid w:val="008950F6"/>
    <w:rsid w:val="0089519B"/>
    <w:rsid w:val="00896815"/>
    <w:rsid w:val="008A0744"/>
    <w:rsid w:val="008A0A6E"/>
    <w:rsid w:val="008A0D0F"/>
    <w:rsid w:val="008A0F78"/>
    <w:rsid w:val="008A2FB3"/>
    <w:rsid w:val="008A398B"/>
    <w:rsid w:val="008A5601"/>
    <w:rsid w:val="008A59AD"/>
    <w:rsid w:val="008B0EEB"/>
    <w:rsid w:val="008B431D"/>
    <w:rsid w:val="008B51FD"/>
    <w:rsid w:val="008B6269"/>
    <w:rsid w:val="008B6766"/>
    <w:rsid w:val="008B70F5"/>
    <w:rsid w:val="008B7186"/>
    <w:rsid w:val="008B7192"/>
    <w:rsid w:val="008C1939"/>
    <w:rsid w:val="008C2DD1"/>
    <w:rsid w:val="008C3396"/>
    <w:rsid w:val="008C429A"/>
    <w:rsid w:val="008C621C"/>
    <w:rsid w:val="008C697C"/>
    <w:rsid w:val="008C6A83"/>
    <w:rsid w:val="008C7448"/>
    <w:rsid w:val="008C75ED"/>
    <w:rsid w:val="008C7649"/>
    <w:rsid w:val="008D1EF2"/>
    <w:rsid w:val="008D34FE"/>
    <w:rsid w:val="008E0021"/>
    <w:rsid w:val="008E03B0"/>
    <w:rsid w:val="008E0991"/>
    <w:rsid w:val="008E338E"/>
    <w:rsid w:val="008E57FE"/>
    <w:rsid w:val="008F1818"/>
    <w:rsid w:val="008F2665"/>
    <w:rsid w:val="008F2ADC"/>
    <w:rsid w:val="008F351C"/>
    <w:rsid w:val="008F4325"/>
    <w:rsid w:val="008F507E"/>
    <w:rsid w:val="008F5251"/>
    <w:rsid w:val="008F6376"/>
    <w:rsid w:val="008F7AA9"/>
    <w:rsid w:val="008F7CEE"/>
    <w:rsid w:val="009005FF"/>
    <w:rsid w:val="00900CC2"/>
    <w:rsid w:val="0090158F"/>
    <w:rsid w:val="00901770"/>
    <w:rsid w:val="009019FB"/>
    <w:rsid w:val="00902AA5"/>
    <w:rsid w:val="00903AE0"/>
    <w:rsid w:val="009052B7"/>
    <w:rsid w:val="00905B05"/>
    <w:rsid w:val="009072EE"/>
    <w:rsid w:val="0090746D"/>
    <w:rsid w:val="0090753C"/>
    <w:rsid w:val="0090759D"/>
    <w:rsid w:val="0091156F"/>
    <w:rsid w:val="00911B66"/>
    <w:rsid w:val="00912557"/>
    <w:rsid w:val="00912A7E"/>
    <w:rsid w:val="00913AF6"/>
    <w:rsid w:val="00915330"/>
    <w:rsid w:val="00916E69"/>
    <w:rsid w:val="00917525"/>
    <w:rsid w:val="0091777D"/>
    <w:rsid w:val="00917C39"/>
    <w:rsid w:val="009201B5"/>
    <w:rsid w:val="0092057D"/>
    <w:rsid w:val="00920D3F"/>
    <w:rsid w:val="0092113B"/>
    <w:rsid w:val="009218DE"/>
    <w:rsid w:val="009224B6"/>
    <w:rsid w:val="00922D00"/>
    <w:rsid w:val="009233CC"/>
    <w:rsid w:val="00923F17"/>
    <w:rsid w:val="009266DA"/>
    <w:rsid w:val="00927F35"/>
    <w:rsid w:val="00930DE8"/>
    <w:rsid w:val="009318DD"/>
    <w:rsid w:val="009352C3"/>
    <w:rsid w:val="00935413"/>
    <w:rsid w:val="009357E4"/>
    <w:rsid w:val="00935F5D"/>
    <w:rsid w:val="0093669F"/>
    <w:rsid w:val="009368E0"/>
    <w:rsid w:val="00941065"/>
    <w:rsid w:val="0094260B"/>
    <w:rsid w:val="00942661"/>
    <w:rsid w:val="0094437B"/>
    <w:rsid w:val="00944966"/>
    <w:rsid w:val="00945307"/>
    <w:rsid w:val="0094558D"/>
    <w:rsid w:val="0094697C"/>
    <w:rsid w:val="00946FCE"/>
    <w:rsid w:val="009515BC"/>
    <w:rsid w:val="00951D39"/>
    <w:rsid w:val="009524D2"/>
    <w:rsid w:val="0095349A"/>
    <w:rsid w:val="00953B5B"/>
    <w:rsid w:val="00953ED0"/>
    <w:rsid w:val="0095492E"/>
    <w:rsid w:val="00955E8C"/>
    <w:rsid w:val="00955F7D"/>
    <w:rsid w:val="0096242F"/>
    <w:rsid w:val="00962585"/>
    <w:rsid w:val="00962E3B"/>
    <w:rsid w:val="00962FF5"/>
    <w:rsid w:val="00964A4E"/>
    <w:rsid w:val="00965B02"/>
    <w:rsid w:val="00965C07"/>
    <w:rsid w:val="00965D2D"/>
    <w:rsid w:val="00970A16"/>
    <w:rsid w:val="00971847"/>
    <w:rsid w:val="00972964"/>
    <w:rsid w:val="0097762F"/>
    <w:rsid w:val="00977C0A"/>
    <w:rsid w:val="009816B8"/>
    <w:rsid w:val="0098245B"/>
    <w:rsid w:val="00983B45"/>
    <w:rsid w:val="00983B5C"/>
    <w:rsid w:val="009849E0"/>
    <w:rsid w:val="00984F84"/>
    <w:rsid w:val="0098609C"/>
    <w:rsid w:val="0098766F"/>
    <w:rsid w:val="00993912"/>
    <w:rsid w:val="00994050"/>
    <w:rsid w:val="00994288"/>
    <w:rsid w:val="00995BE6"/>
    <w:rsid w:val="009962CF"/>
    <w:rsid w:val="009969D6"/>
    <w:rsid w:val="009A4543"/>
    <w:rsid w:val="009A5A8A"/>
    <w:rsid w:val="009A5DB1"/>
    <w:rsid w:val="009A7C5A"/>
    <w:rsid w:val="009A7E51"/>
    <w:rsid w:val="009B0997"/>
    <w:rsid w:val="009B21B9"/>
    <w:rsid w:val="009B2FAD"/>
    <w:rsid w:val="009B3A3B"/>
    <w:rsid w:val="009B4CD0"/>
    <w:rsid w:val="009B4DA7"/>
    <w:rsid w:val="009B7D8A"/>
    <w:rsid w:val="009C0E09"/>
    <w:rsid w:val="009C14B7"/>
    <w:rsid w:val="009C21C6"/>
    <w:rsid w:val="009C383B"/>
    <w:rsid w:val="009C3A80"/>
    <w:rsid w:val="009C41EC"/>
    <w:rsid w:val="009C5238"/>
    <w:rsid w:val="009C548D"/>
    <w:rsid w:val="009D059A"/>
    <w:rsid w:val="009D12B4"/>
    <w:rsid w:val="009D1E70"/>
    <w:rsid w:val="009D2135"/>
    <w:rsid w:val="009D2FA7"/>
    <w:rsid w:val="009D3673"/>
    <w:rsid w:val="009D4166"/>
    <w:rsid w:val="009D4CAE"/>
    <w:rsid w:val="009D55F9"/>
    <w:rsid w:val="009D5837"/>
    <w:rsid w:val="009D5A11"/>
    <w:rsid w:val="009D5B9D"/>
    <w:rsid w:val="009D609A"/>
    <w:rsid w:val="009D765F"/>
    <w:rsid w:val="009D7760"/>
    <w:rsid w:val="009E16E6"/>
    <w:rsid w:val="009E1C0D"/>
    <w:rsid w:val="009E1E62"/>
    <w:rsid w:val="009E2953"/>
    <w:rsid w:val="009E2C6B"/>
    <w:rsid w:val="009E30CE"/>
    <w:rsid w:val="009E4BA2"/>
    <w:rsid w:val="009E4CDF"/>
    <w:rsid w:val="009E5A25"/>
    <w:rsid w:val="009F04C3"/>
    <w:rsid w:val="009F0760"/>
    <w:rsid w:val="009F2509"/>
    <w:rsid w:val="009F2636"/>
    <w:rsid w:val="009F3B29"/>
    <w:rsid w:val="009F4860"/>
    <w:rsid w:val="009F7CFC"/>
    <w:rsid w:val="00A00057"/>
    <w:rsid w:val="00A00485"/>
    <w:rsid w:val="00A01A5F"/>
    <w:rsid w:val="00A025AC"/>
    <w:rsid w:val="00A02C96"/>
    <w:rsid w:val="00A02E65"/>
    <w:rsid w:val="00A0340A"/>
    <w:rsid w:val="00A0440C"/>
    <w:rsid w:val="00A047AE"/>
    <w:rsid w:val="00A04C82"/>
    <w:rsid w:val="00A0585F"/>
    <w:rsid w:val="00A05B9C"/>
    <w:rsid w:val="00A0694A"/>
    <w:rsid w:val="00A077AC"/>
    <w:rsid w:val="00A07A33"/>
    <w:rsid w:val="00A10A30"/>
    <w:rsid w:val="00A1137C"/>
    <w:rsid w:val="00A113D7"/>
    <w:rsid w:val="00A11F0F"/>
    <w:rsid w:val="00A13809"/>
    <w:rsid w:val="00A16126"/>
    <w:rsid w:val="00A1627D"/>
    <w:rsid w:val="00A165DB"/>
    <w:rsid w:val="00A20043"/>
    <w:rsid w:val="00A2083D"/>
    <w:rsid w:val="00A21A0E"/>
    <w:rsid w:val="00A21C6C"/>
    <w:rsid w:val="00A2365A"/>
    <w:rsid w:val="00A240BA"/>
    <w:rsid w:val="00A24133"/>
    <w:rsid w:val="00A24B81"/>
    <w:rsid w:val="00A262BF"/>
    <w:rsid w:val="00A27809"/>
    <w:rsid w:val="00A27DE8"/>
    <w:rsid w:val="00A30533"/>
    <w:rsid w:val="00A317B0"/>
    <w:rsid w:val="00A31BF6"/>
    <w:rsid w:val="00A34591"/>
    <w:rsid w:val="00A34E44"/>
    <w:rsid w:val="00A35B8F"/>
    <w:rsid w:val="00A3640F"/>
    <w:rsid w:val="00A37ECF"/>
    <w:rsid w:val="00A40CE2"/>
    <w:rsid w:val="00A40E35"/>
    <w:rsid w:val="00A42FAE"/>
    <w:rsid w:val="00A43553"/>
    <w:rsid w:val="00A47176"/>
    <w:rsid w:val="00A475C5"/>
    <w:rsid w:val="00A4768C"/>
    <w:rsid w:val="00A50A68"/>
    <w:rsid w:val="00A50D3B"/>
    <w:rsid w:val="00A50E38"/>
    <w:rsid w:val="00A510C6"/>
    <w:rsid w:val="00A518AA"/>
    <w:rsid w:val="00A525E7"/>
    <w:rsid w:val="00A52F9E"/>
    <w:rsid w:val="00A530D2"/>
    <w:rsid w:val="00A539ED"/>
    <w:rsid w:val="00A5474F"/>
    <w:rsid w:val="00A548F3"/>
    <w:rsid w:val="00A56348"/>
    <w:rsid w:val="00A5703F"/>
    <w:rsid w:val="00A57D39"/>
    <w:rsid w:val="00A603FD"/>
    <w:rsid w:val="00A61825"/>
    <w:rsid w:val="00A62191"/>
    <w:rsid w:val="00A6316B"/>
    <w:rsid w:val="00A6340E"/>
    <w:rsid w:val="00A65316"/>
    <w:rsid w:val="00A65D81"/>
    <w:rsid w:val="00A674FF"/>
    <w:rsid w:val="00A70F69"/>
    <w:rsid w:val="00A72611"/>
    <w:rsid w:val="00A726F6"/>
    <w:rsid w:val="00A73ABB"/>
    <w:rsid w:val="00A751A1"/>
    <w:rsid w:val="00A76138"/>
    <w:rsid w:val="00A76D2C"/>
    <w:rsid w:val="00A7710D"/>
    <w:rsid w:val="00A77746"/>
    <w:rsid w:val="00A806AA"/>
    <w:rsid w:val="00A8370E"/>
    <w:rsid w:val="00A83BF6"/>
    <w:rsid w:val="00A84BAC"/>
    <w:rsid w:val="00A87B4F"/>
    <w:rsid w:val="00A87F31"/>
    <w:rsid w:val="00A90D27"/>
    <w:rsid w:val="00A9103B"/>
    <w:rsid w:val="00A91284"/>
    <w:rsid w:val="00A918A7"/>
    <w:rsid w:val="00A92871"/>
    <w:rsid w:val="00A94417"/>
    <w:rsid w:val="00A955EB"/>
    <w:rsid w:val="00A9591E"/>
    <w:rsid w:val="00A96275"/>
    <w:rsid w:val="00AA1F49"/>
    <w:rsid w:val="00AA3A2E"/>
    <w:rsid w:val="00AA4099"/>
    <w:rsid w:val="00AA423F"/>
    <w:rsid w:val="00AA4D5A"/>
    <w:rsid w:val="00AA6913"/>
    <w:rsid w:val="00AB2190"/>
    <w:rsid w:val="00AB39EB"/>
    <w:rsid w:val="00AB3F27"/>
    <w:rsid w:val="00AB3FD9"/>
    <w:rsid w:val="00AB7DE7"/>
    <w:rsid w:val="00AC01D4"/>
    <w:rsid w:val="00AC03AB"/>
    <w:rsid w:val="00AC0650"/>
    <w:rsid w:val="00AC0CF3"/>
    <w:rsid w:val="00AC135E"/>
    <w:rsid w:val="00AC1BE7"/>
    <w:rsid w:val="00AC275F"/>
    <w:rsid w:val="00AC3EE4"/>
    <w:rsid w:val="00AC50A4"/>
    <w:rsid w:val="00AC5A95"/>
    <w:rsid w:val="00AC5B54"/>
    <w:rsid w:val="00AC6074"/>
    <w:rsid w:val="00AC6471"/>
    <w:rsid w:val="00AD0369"/>
    <w:rsid w:val="00AD103C"/>
    <w:rsid w:val="00AD1751"/>
    <w:rsid w:val="00AD1B83"/>
    <w:rsid w:val="00AD2B6E"/>
    <w:rsid w:val="00AD340D"/>
    <w:rsid w:val="00AD3443"/>
    <w:rsid w:val="00AD3E9B"/>
    <w:rsid w:val="00AD4A14"/>
    <w:rsid w:val="00AD4B3C"/>
    <w:rsid w:val="00AD66C0"/>
    <w:rsid w:val="00AD68A5"/>
    <w:rsid w:val="00AE185D"/>
    <w:rsid w:val="00AE1BFE"/>
    <w:rsid w:val="00AE1D71"/>
    <w:rsid w:val="00AE22F5"/>
    <w:rsid w:val="00AE2D08"/>
    <w:rsid w:val="00AE3842"/>
    <w:rsid w:val="00AE3D83"/>
    <w:rsid w:val="00AE4374"/>
    <w:rsid w:val="00AE466A"/>
    <w:rsid w:val="00AE47E9"/>
    <w:rsid w:val="00AE485C"/>
    <w:rsid w:val="00AE64B5"/>
    <w:rsid w:val="00AE7D4F"/>
    <w:rsid w:val="00AE7FE4"/>
    <w:rsid w:val="00AF0117"/>
    <w:rsid w:val="00AF17D3"/>
    <w:rsid w:val="00AF1D77"/>
    <w:rsid w:val="00AF1E50"/>
    <w:rsid w:val="00AF2DFA"/>
    <w:rsid w:val="00AF3539"/>
    <w:rsid w:val="00AF38BA"/>
    <w:rsid w:val="00AF4F67"/>
    <w:rsid w:val="00AF5094"/>
    <w:rsid w:val="00AF5811"/>
    <w:rsid w:val="00AF6509"/>
    <w:rsid w:val="00AF68F8"/>
    <w:rsid w:val="00B00243"/>
    <w:rsid w:val="00B00BBE"/>
    <w:rsid w:val="00B02CD0"/>
    <w:rsid w:val="00B0456E"/>
    <w:rsid w:val="00B04BFE"/>
    <w:rsid w:val="00B054AC"/>
    <w:rsid w:val="00B06A05"/>
    <w:rsid w:val="00B06BF6"/>
    <w:rsid w:val="00B06F7F"/>
    <w:rsid w:val="00B07676"/>
    <w:rsid w:val="00B100F0"/>
    <w:rsid w:val="00B13AA9"/>
    <w:rsid w:val="00B1402E"/>
    <w:rsid w:val="00B142FD"/>
    <w:rsid w:val="00B14865"/>
    <w:rsid w:val="00B21D50"/>
    <w:rsid w:val="00B229BE"/>
    <w:rsid w:val="00B22F9B"/>
    <w:rsid w:val="00B23747"/>
    <w:rsid w:val="00B23E0A"/>
    <w:rsid w:val="00B24090"/>
    <w:rsid w:val="00B257E3"/>
    <w:rsid w:val="00B260C7"/>
    <w:rsid w:val="00B27494"/>
    <w:rsid w:val="00B279B9"/>
    <w:rsid w:val="00B27BFD"/>
    <w:rsid w:val="00B307CA"/>
    <w:rsid w:val="00B30EA6"/>
    <w:rsid w:val="00B30FD0"/>
    <w:rsid w:val="00B32455"/>
    <w:rsid w:val="00B34F48"/>
    <w:rsid w:val="00B41730"/>
    <w:rsid w:val="00B45DF2"/>
    <w:rsid w:val="00B476C3"/>
    <w:rsid w:val="00B51BA0"/>
    <w:rsid w:val="00B535BD"/>
    <w:rsid w:val="00B53701"/>
    <w:rsid w:val="00B545BD"/>
    <w:rsid w:val="00B5509D"/>
    <w:rsid w:val="00B56A26"/>
    <w:rsid w:val="00B57287"/>
    <w:rsid w:val="00B5735F"/>
    <w:rsid w:val="00B573E6"/>
    <w:rsid w:val="00B6110A"/>
    <w:rsid w:val="00B6176A"/>
    <w:rsid w:val="00B62A20"/>
    <w:rsid w:val="00B6301A"/>
    <w:rsid w:val="00B640B7"/>
    <w:rsid w:val="00B64799"/>
    <w:rsid w:val="00B64CAD"/>
    <w:rsid w:val="00B651FA"/>
    <w:rsid w:val="00B66751"/>
    <w:rsid w:val="00B66B7C"/>
    <w:rsid w:val="00B66CD7"/>
    <w:rsid w:val="00B66ECE"/>
    <w:rsid w:val="00B67AA6"/>
    <w:rsid w:val="00B7066C"/>
    <w:rsid w:val="00B70E85"/>
    <w:rsid w:val="00B717D8"/>
    <w:rsid w:val="00B718E0"/>
    <w:rsid w:val="00B72C0D"/>
    <w:rsid w:val="00B72DF3"/>
    <w:rsid w:val="00B73F55"/>
    <w:rsid w:val="00B74146"/>
    <w:rsid w:val="00B747A3"/>
    <w:rsid w:val="00B75A27"/>
    <w:rsid w:val="00B75E52"/>
    <w:rsid w:val="00B76F6C"/>
    <w:rsid w:val="00B8080B"/>
    <w:rsid w:val="00B811EF"/>
    <w:rsid w:val="00B81568"/>
    <w:rsid w:val="00B8310D"/>
    <w:rsid w:val="00B831B9"/>
    <w:rsid w:val="00B84E1A"/>
    <w:rsid w:val="00B85A18"/>
    <w:rsid w:val="00B86EF1"/>
    <w:rsid w:val="00B90674"/>
    <w:rsid w:val="00B91FFF"/>
    <w:rsid w:val="00B934E3"/>
    <w:rsid w:val="00B93DE7"/>
    <w:rsid w:val="00B94323"/>
    <w:rsid w:val="00B94444"/>
    <w:rsid w:val="00B9566B"/>
    <w:rsid w:val="00B95F92"/>
    <w:rsid w:val="00B961B7"/>
    <w:rsid w:val="00B963D4"/>
    <w:rsid w:val="00B9772B"/>
    <w:rsid w:val="00BA2DEF"/>
    <w:rsid w:val="00BA35F2"/>
    <w:rsid w:val="00BA42FB"/>
    <w:rsid w:val="00BA4708"/>
    <w:rsid w:val="00BA4768"/>
    <w:rsid w:val="00BA4861"/>
    <w:rsid w:val="00BA4A92"/>
    <w:rsid w:val="00BA516F"/>
    <w:rsid w:val="00BA628C"/>
    <w:rsid w:val="00BA7059"/>
    <w:rsid w:val="00BB0051"/>
    <w:rsid w:val="00BB02C6"/>
    <w:rsid w:val="00BB0FE3"/>
    <w:rsid w:val="00BB1082"/>
    <w:rsid w:val="00BB2127"/>
    <w:rsid w:val="00BB3805"/>
    <w:rsid w:val="00BB4589"/>
    <w:rsid w:val="00BB52A5"/>
    <w:rsid w:val="00BB5893"/>
    <w:rsid w:val="00BB6740"/>
    <w:rsid w:val="00BB7EA1"/>
    <w:rsid w:val="00BB7F81"/>
    <w:rsid w:val="00BC269B"/>
    <w:rsid w:val="00BC27D2"/>
    <w:rsid w:val="00BC299D"/>
    <w:rsid w:val="00BC6D0F"/>
    <w:rsid w:val="00BD0CF8"/>
    <w:rsid w:val="00BD35E1"/>
    <w:rsid w:val="00BD3A56"/>
    <w:rsid w:val="00BD54FC"/>
    <w:rsid w:val="00BD60A0"/>
    <w:rsid w:val="00BD63C3"/>
    <w:rsid w:val="00BD67CE"/>
    <w:rsid w:val="00BD6909"/>
    <w:rsid w:val="00BD76A4"/>
    <w:rsid w:val="00BE0186"/>
    <w:rsid w:val="00BE0FED"/>
    <w:rsid w:val="00BE1C8A"/>
    <w:rsid w:val="00BE2381"/>
    <w:rsid w:val="00BE381D"/>
    <w:rsid w:val="00BE4857"/>
    <w:rsid w:val="00BE5847"/>
    <w:rsid w:val="00BE5BE0"/>
    <w:rsid w:val="00BE5D1D"/>
    <w:rsid w:val="00BE697B"/>
    <w:rsid w:val="00BE70E8"/>
    <w:rsid w:val="00BF0E76"/>
    <w:rsid w:val="00BF19DC"/>
    <w:rsid w:val="00BF2B3E"/>
    <w:rsid w:val="00BF2C3E"/>
    <w:rsid w:val="00BF2DAF"/>
    <w:rsid w:val="00BF4E1B"/>
    <w:rsid w:val="00BF5AB9"/>
    <w:rsid w:val="00BF6E56"/>
    <w:rsid w:val="00BF7AE1"/>
    <w:rsid w:val="00C01083"/>
    <w:rsid w:val="00C0480F"/>
    <w:rsid w:val="00C04C9A"/>
    <w:rsid w:val="00C07946"/>
    <w:rsid w:val="00C1043C"/>
    <w:rsid w:val="00C10D90"/>
    <w:rsid w:val="00C12982"/>
    <w:rsid w:val="00C12A51"/>
    <w:rsid w:val="00C12C65"/>
    <w:rsid w:val="00C12CD1"/>
    <w:rsid w:val="00C1591E"/>
    <w:rsid w:val="00C173EE"/>
    <w:rsid w:val="00C20D36"/>
    <w:rsid w:val="00C21038"/>
    <w:rsid w:val="00C2286B"/>
    <w:rsid w:val="00C2305A"/>
    <w:rsid w:val="00C2396B"/>
    <w:rsid w:val="00C26855"/>
    <w:rsid w:val="00C26865"/>
    <w:rsid w:val="00C2785F"/>
    <w:rsid w:val="00C30BA6"/>
    <w:rsid w:val="00C31467"/>
    <w:rsid w:val="00C33F0C"/>
    <w:rsid w:val="00C34CCB"/>
    <w:rsid w:val="00C34D57"/>
    <w:rsid w:val="00C35515"/>
    <w:rsid w:val="00C35807"/>
    <w:rsid w:val="00C35A4B"/>
    <w:rsid w:val="00C35CCF"/>
    <w:rsid w:val="00C36696"/>
    <w:rsid w:val="00C36720"/>
    <w:rsid w:val="00C36777"/>
    <w:rsid w:val="00C37518"/>
    <w:rsid w:val="00C37F00"/>
    <w:rsid w:val="00C41B7D"/>
    <w:rsid w:val="00C421C9"/>
    <w:rsid w:val="00C42A3A"/>
    <w:rsid w:val="00C437C6"/>
    <w:rsid w:val="00C4517F"/>
    <w:rsid w:val="00C45232"/>
    <w:rsid w:val="00C45931"/>
    <w:rsid w:val="00C46E94"/>
    <w:rsid w:val="00C4713F"/>
    <w:rsid w:val="00C51509"/>
    <w:rsid w:val="00C52097"/>
    <w:rsid w:val="00C52BA5"/>
    <w:rsid w:val="00C52F47"/>
    <w:rsid w:val="00C53323"/>
    <w:rsid w:val="00C53FD6"/>
    <w:rsid w:val="00C5470C"/>
    <w:rsid w:val="00C54D8C"/>
    <w:rsid w:val="00C57285"/>
    <w:rsid w:val="00C57493"/>
    <w:rsid w:val="00C6027A"/>
    <w:rsid w:val="00C605E6"/>
    <w:rsid w:val="00C611E1"/>
    <w:rsid w:val="00C61947"/>
    <w:rsid w:val="00C61D20"/>
    <w:rsid w:val="00C61F32"/>
    <w:rsid w:val="00C637C5"/>
    <w:rsid w:val="00C64D07"/>
    <w:rsid w:val="00C66CEF"/>
    <w:rsid w:val="00C670FE"/>
    <w:rsid w:val="00C67662"/>
    <w:rsid w:val="00C71087"/>
    <w:rsid w:val="00C719C9"/>
    <w:rsid w:val="00C71E3C"/>
    <w:rsid w:val="00C73C17"/>
    <w:rsid w:val="00C75492"/>
    <w:rsid w:val="00C759E0"/>
    <w:rsid w:val="00C76F22"/>
    <w:rsid w:val="00C7768D"/>
    <w:rsid w:val="00C77C78"/>
    <w:rsid w:val="00C8146C"/>
    <w:rsid w:val="00C8231E"/>
    <w:rsid w:val="00C846DD"/>
    <w:rsid w:val="00C85720"/>
    <w:rsid w:val="00C85CA6"/>
    <w:rsid w:val="00C8608D"/>
    <w:rsid w:val="00C873DA"/>
    <w:rsid w:val="00C90A7F"/>
    <w:rsid w:val="00C9147E"/>
    <w:rsid w:val="00C925ED"/>
    <w:rsid w:val="00C9339F"/>
    <w:rsid w:val="00C96618"/>
    <w:rsid w:val="00C96A10"/>
    <w:rsid w:val="00C9753B"/>
    <w:rsid w:val="00CA0C87"/>
    <w:rsid w:val="00CA19CD"/>
    <w:rsid w:val="00CA1F28"/>
    <w:rsid w:val="00CA20F3"/>
    <w:rsid w:val="00CA2747"/>
    <w:rsid w:val="00CA4A62"/>
    <w:rsid w:val="00CA4B17"/>
    <w:rsid w:val="00CA53EF"/>
    <w:rsid w:val="00CA561E"/>
    <w:rsid w:val="00CA5B58"/>
    <w:rsid w:val="00CA5E26"/>
    <w:rsid w:val="00CA659E"/>
    <w:rsid w:val="00CA6A39"/>
    <w:rsid w:val="00CA7DAD"/>
    <w:rsid w:val="00CB0B31"/>
    <w:rsid w:val="00CB1291"/>
    <w:rsid w:val="00CB23DD"/>
    <w:rsid w:val="00CB2757"/>
    <w:rsid w:val="00CB2FE7"/>
    <w:rsid w:val="00CB3B57"/>
    <w:rsid w:val="00CB42AE"/>
    <w:rsid w:val="00CB5100"/>
    <w:rsid w:val="00CB6768"/>
    <w:rsid w:val="00CB768F"/>
    <w:rsid w:val="00CC0848"/>
    <w:rsid w:val="00CC17DB"/>
    <w:rsid w:val="00CC2F01"/>
    <w:rsid w:val="00CC586C"/>
    <w:rsid w:val="00CC5F18"/>
    <w:rsid w:val="00CC6453"/>
    <w:rsid w:val="00CD0B85"/>
    <w:rsid w:val="00CD2D8A"/>
    <w:rsid w:val="00CD31EA"/>
    <w:rsid w:val="00CD350A"/>
    <w:rsid w:val="00CD4B6F"/>
    <w:rsid w:val="00CD55F0"/>
    <w:rsid w:val="00CD692F"/>
    <w:rsid w:val="00CD7D0D"/>
    <w:rsid w:val="00CE0392"/>
    <w:rsid w:val="00CE2303"/>
    <w:rsid w:val="00CE5481"/>
    <w:rsid w:val="00CE5866"/>
    <w:rsid w:val="00CE59EC"/>
    <w:rsid w:val="00CF003F"/>
    <w:rsid w:val="00CF0045"/>
    <w:rsid w:val="00CF346E"/>
    <w:rsid w:val="00CF396A"/>
    <w:rsid w:val="00CF3C18"/>
    <w:rsid w:val="00CF7194"/>
    <w:rsid w:val="00CF74AE"/>
    <w:rsid w:val="00CF7C90"/>
    <w:rsid w:val="00CF7EA0"/>
    <w:rsid w:val="00D00600"/>
    <w:rsid w:val="00D00A29"/>
    <w:rsid w:val="00D02612"/>
    <w:rsid w:val="00D0329F"/>
    <w:rsid w:val="00D04372"/>
    <w:rsid w:val="00D04F9C"/>
    <w:rsid w:val="00D05DB1"/>
    <w:rsid w:val="00D06299"/>
    <w:rsid w:val="00D1045D"/>
    <w:rsid w:val="00D133AA"/>
    <w:rsid w:val="00D13B0B"/>
    <w:rsid w:val="00D13CCF"/>
    <w:rsid w:val="00D14BD0"/>
    <w:rsid w:val="00D14CF7"/>
    <w:rsid w:val="00D1576E"/>
    <w:rsid w:val="00D15BBC"/>
    <w:rsid w:val="00D15E67"/>
    <w:rsid w:val="00D20ABB"/>
    <w:rsid w:val="00D21661"/>
    <w:rsid w:val="00D21EDB"/>
    <w:rsid w:val="00D23443"/>
    <w:rsid w:val="00D235E0"/>
    <w:rsid w:val="00D24AEE"/>
    <w:rsid w:val="00D25166"/>
    <w:rsid w:val="00D25315"/>
    <w:rsid w:val="00D25565"/>
    <w:rsid w:val="00D25729"/>
    <w:rsid w:val="00D26A33"/>
    <w:rsid w:val="00D3073E"/>
    <w:rsid w:val="00D308D4"/>
    <w:rsid w:val="00D31676"/>
    <w:rsid w:val="00D316C8"/>
    <w:rsid w:val="00D328B9"/>
    <w:rsid w:val="00D337D5"/>
    <w:rsid w:val="00D33FB9"/>
    <w:rsid w:val="00D341ED"/>
    <w:rsid w:val="00D34817"/>
    <w:rsid w:val="00D365BB"/>
    <w:rsid w:val="00D3697D"/>
    <w:rsid w:val="00D3795A"/>
    <w:rsid w:val="00D37AB5"/>
    <w:rsid w:val="00D40C74"/>
    <w:rsid w:val="00D43282"/>
    <w:rsid w:val="00D43EA4"/>
    <w:rsid w:val="00D44508"/>
    <w:rsid w:val="00D46182"/>
    <w:rsid w:val="00D4672C"/>
    <w:rsid w:val="00D46962"/>
    <w:rsid w:val="00D47810"/>
    <w:rsid w:val="00D507B1"/>
    <w:rsid w:val="00D5128E"/>
    <w:rsid w:val="00D52FD0"/>
    <w:rsid w:val="00D54385"/>
    <w:rsid w:val="00D5782C"/>
    <w:rsid w:val="00D606D9"/>
    <w:rsid w:val="00D6093A"/>
    <w:rsid w:val="00D60A55"/>
    <w:rsid w:val="00D6259C"/>
    <w:rsid w:val="00D63025"/>
    <w:rsid w:val="00D63B91"/>
    <w:rsid w:val="00D647CE"/>
    <w:rsid w:val="00D64A4A"/>
    <w:rsid w:val="00D65BF4"/>
    <w:rsid w:val="00D6679C"/>
    <w:rsid w:val="00D66F40"/>
    <w:rsid w:val="00D7133B"/>
    <w:rsid w:val="00D72F5D"/>
    <w:rsid w:val="00D7370C"/>
    <w:rsid w:val="00D73EE6"/>
    <w:rsid w:val="00D742D2"/>
    <w:rsid w:val="00D744DC"/>
    <w:rsid w:val="00D74556"/>
    <w:rsid w:val="00D74AC1"/>
    <w:rsid w:val="00D758E8"/>
    <w:rsid w:val="00D75CF7"/>
    <w:rsid w:val="00D75F59"/>
    <w:rsid w:val="00D77498"/>
    <w:rsid w:val="00D776C3"/>
    <w:rsid w:val="00D80153"/>
    <w:rsid w:val="00D814BC"/>
    <w:rsid w:val="00D81AC7"/>
    <w:rsid w:val="00D83E45"/>
    <w:rsid w:val="00D842CD"/>
    <w:rsid w:val="00D8495C"/>
    <w:rsid w:val="00D86737"/>
    <w:rsid w:val="00D8696A"/>
    <w:rsid w:val="00D90419"/>
    <w:rsid w:val="00D90551"/>
    <w:rsid w:val="00D90F5A"/>
    <w:rsid w:val="00D91359"/>
    <w:rsid w:val="00D9153B"/>
    <w:rsid w:val="00D9160A"/>
    <w:rsid w:val="00D924AD"/>
    <w:rsid w:val="00D940C4"/>
    <w:rsid w:val="00D95903"/>
    <w:rsid w:val="00D95D78"/>
    <w:rsid w:val="00D96380"/>
    <w:rsid w:val="00D96979"/>
    <w:rsid w:val="00DA03A1"/>
    <w:rsid w:val="00DA06D5"/>
    <w:rsid w:val="00DA0810"/>
    <w:rsid w:val="00DA2BD7"/>
    <w:rsid w:val="00DA3FCE"/>
    <w:rsid w:val="00DA4B42"/>
    <w:rsid w:val="00DB2BE7"/>
    <w:rsid w:val="00DB4203"/>
    <w:rsid w:val="00DB6B88"/>
    <w:rsid w:val="00DB6C1E"/>
    <w:rsid w:val="00DB7CA1"/>
    <w:rsid w:val="00DC094F"/>
    <w:rsid w:val="00DC24B5"/>
    <w:rsid w:val="00DC25DA"/>
    <w:rsid w:val="00DC3E4D"/>
    <w:rsid w:val="00DC3ED3"/>
    <w:rsid w:val="00DC4325"/>
    <w:rsid w:val="00DC4915"/>
    <w:rsid w:val="00DC4C59"/>
    <w:rsid w:val="00DC5149"/>
    <w:rsid w:val="00DC5B77"/>
    <w:rsid w:val="00DC68E1"/>
    <w:rsid w:val="00DC7FCE"/>
    <w:rsid w:val="00DD0452"/>
    <w:rsid w:val="00DD1B88"/>
    <w:rsid w:val="00DD334C"/>
    <w:rsid w:val="00DD3C08"/>
    <w:rsid w:val="00DD4D4E"/>
    <w:rsid w:val="00DD7AC4"/>
    <w:rsid w:val="00DE0476"/>
    <w:rsid w:val="00DE0F9D"/>
    <w:rsid w:val="00DE1B2F"/>
    <w:rsid w:val="00DE1C5A"/>
    <w:rsid w:val="00DE2AAC"/>
    <w:rsid w:val="00DE5E04"/>
    <w:rsid w:val="00DE65C1"/>
    <w:rsid w:val="00DE6634"/>
    <w:rsid w:val="00DE7DD5"/>
    <w:rsid w:val="00DF0B2B"/>
    <w:rsid w:val="00DF1125"/>
    <w:rsid w:val="00DF22E5"/>
    <w:rsid w:val="00DF27AC"/>
    <w:rsid w:val="00DF28E7"/>
    <w:rsid w:val="00DF2FD1"/>
    <w:rsid w:val="00DF3078"/>
    <w:rsid w:val="00DF399A"/>
    <w:rsid w:val="00DF447B"/>
    <w:rsid w:val="00DF4DCA"/>
    <w:rsid w:val="00DF6280"/>
    <w:rsid w:val="00DF6BF8"/>
    <w:rsid w:val="00DF7B14"/>
    <w:rsid w:val="00DF7B16"/>
    <w:rsid w:val="00E00009"/>
    <w:rsid w:val="00E01EF4"/>
    <w:rsid w:val="00E02CF2"/>
    <w:rsid w:val="00E04947"/>
    <w:rsid w:val="00E052D3"/>
    <w:rsid w:val="00E069F7"/>
    <w:rsid w:val="00E06C35"/>
    <w:rsid w:val="00E0710D"/>
    <w:rsid w:val="00E07F71"/>
    <w:rsid w:val="00E07FD2"/>
    <w:rsid w:val="00E101C6"/>
    <w:rsid w:val="00E114D8"/>
    <w:rsid w:val="00E1256E"/>
    <w:rsid w:val="00E12BDE"/>
    <w:rsid w:val="00E1347F"/>
    <w:rsid w:val="00E1621B"/>
    <w:rsid w:val="00E21114"/>
    <w:rsid w:val="00E22299"/>
    <w:rsid w:val="00E22B84"/>
    <w:rsid w:val="00E25E8A"/>
    <w:rsid w:val="00E26045"/>
    <w:rsid w:val="00E26BDB"/>
    <w:rsid w:val="00E27304"/>
    <w:rsid w:val="00E304D5"/>
    <w:rsid w:val="00E33084"/>
    <w:rsid w:val="00E3345C"/>
    <w:rsid w:val="00E337F5"/>
    <w:rsid w:val="00E339E4"/>
    <w:rsid w:val="00E34EBC"/>
    <w:rsid w:val="00E3529F"/>
    <w:rsid w:val="00E352D0"/>
    <w:rsid w:val="00E37211"/>
    <w:rsid w:val="00E37848"/>
    <w:rsid w:val="00E4034D"/>
    <w:rsid w:val="00E404B3"/>
    <w:rsid w:val="00E41877"/>
    <w:rsid w:val="00E41EE7"/>
    <w:rsid w:val="00E42084"/>
    <w:rsid w:val="00E4380C"/>
    <w:rsid w:val="00E44854"/>
    <w:rsid w:val="00E4540D"/>
    <w:rsid w:val="00E501C6"/>
    <w:rsid w:val="00E50B82"/>
    <w:rsid w:val="00E51630"/>
    <w:rsid w:val="00E552CC"/>
    <w:rsid w:val="00E55654"/>
    <w:rsid w:val="00E55808"/>
    <w:rsid w:val="00E559EA"/>
    <w:rsid w:val="00E5696D"/>
    <w:rsid w:val="00E56E45"/>
    <w:rsid w:val="00E6161C"/>
    <w:rsid w:val="00E62DEC"/>
    <w:rsid w:val="00E63233"/>
    <w:rsid w:val="00E6397D"/>
    <w:rsid w:val="00E63F26"/>
    <w:rsid w:val="00E63FE6"/>
    <w:rsid w:val="00E64F1E"/>
    <w:rsid w:val="00E65960"/>
    <w:rsid w:val="00E65F8A"/>
    <w:rsid w:val="00E66ECB"/>
    <w:rsid w:val="00E67486"/>
    <w:rsid w:val="00E727CE"/>
    <w:rsid w:val="00E73D84"/>
    <w:rsid w:val="00E749E1"/>
    <w:rsid w:val="00E74F26"/>
    <w:rsid w:val="00E765C5"/>
    <w:rsid w:val="00E8007A"/>
    <w:rsid w:val="00E800A1"/>
    <w:rsid w:val="00E80578"/>
    <w:rsid w:val="00E80B43"/>
    <w:rsid w:val="00E81D68"/>
    <w:rsid w:val="00E823CE"/>
    <w:rsid w:val="00E827AB"/>
    <w:rsid w:val="00E833CB"/>
    <w:rsid w:val="00E83995"/>
    <w:rsid w:val="00E83CBA"/>
    <w:rsid w:val="00E83D2E"/>
    <w:rsid w:val="00E83FB2"/>
    <w:rsid w:val="00E844D4"/>
    <w:rsid w:val="00E8491B"/>
    <w:rsid w:val="00E85A82"/>
    <w:rsid w:val="00E85F86"/>
    <w:rsid w:val="00E90615"/>
    <w:rsid w:val="00E9163C"/>
    <w:rsid w:val="00E91FE0"/>
    <w:rsid w:val="00E95AC2"/>
    <w:rsid w:val="00E97167"/>
    <w:rsid w:val="00E97787"/>
    <w:rsid w:val="00E97DBB"/>
    <w:rsid w:val="00EA0169"/>
    <w:rsid w:val="00EA0690"/>
    <w:rsid w:val="00EA093A"/>
    <w:rsid w:val="00EA3781"/>
    <w:rsid w:val="00EA5023"/>
    <w:rsid w:val="00EA7061"/>
    <w:rsid w:val="00EA7C5B"/>
    <w:rsid w:val="00EB0A08"/>
    <w:rsid w:val="00EB13FE"/>
    <w:rsid w:val="00EB254B"/>
    <w:rsid w:val="00EB39F1"/>
    <w:rsid w:val="00EB460F"/>
    <w:rsid w:val="00EB472E"/>
    <w:rsid w:val="00EB4BE1"/>
    <w:rsid w:val="00EB5434"/>
    <w:rsid w:val="00EB5D6C"/>
    <w:rsid w:val="00EB6A9B"/>
    <w:rsid w:val="00EB6C3B"/>
    <w:rsid w:val="00EB7516"/>
    <w:rsid w:val="00EB76D6"/>
    <w:rsid w:val="00EC0178"/>
    <w:rsid w:val="00EC0213"/>
    <w:rsid w:val="00EC049F"/>
    <w:rsid w:val="00EC06D2"/>
    <w:rsid w:val="00EC11E3"/>
    <w:rsid w:val="00EC25DF"/>
    <w:rsid w:val="00EC3363"/>
    <w:rsid w:val="00EC524A"/>
    <w:rsid w:val="00EC6F60"/>
    <w:rsid w:val="00ED024E"/>
    <w:rsid w:val="00ED194C"/>
    <w:rsid w:val="00ED19E1"/>
    <w:rsid w:val="00ED2C26"/>
    <w:rsid w:val="00ED3464"/>
    <w:rsid w:val="00ED3898"/>
    <w:rsid w:val="00ED38BF"/>
    <w:rsid w:val="00ED5DB2"/>
    <w:rsid w:val="00ED5EC2"/>
    <w:rsid w:val="00EE02EA"/>
    <w:rsid w:val="00EE0DF2"/>
    <w:rsid w:val="00EE1124"/>
    <w:rsid w:val="00EE21DD"/>
    <w:rsid w:val="00EE56DF"/>
    <w:rsid w:val="00EE587F"/>
    <w:rsid w:val="00EE5ED7"/>
    <w:rsid w:val="00EE64CC"/>
    <w:rsid w:val="00EE6D6B"/>
    <w:rsid w:val="00EF1A24"/>
    <w:rsid w:val="00EF1BF1"/>
    <w:rsid w:val="00EF1C3F"/>
    <w:rsid w:val="00EF51A9"/>
    <w:rsid w:val="00EF5716"/>
    <w:rsid w:val="00EF71E1"/>
    <w:rsid w:val="00F003B9"/>
    <w:rsid w:val="00F01BD5"/>
    <w:rsid w:val="00F024E3"/>
    <w:rsid w:val="00F0264E"/>
    <w:rsid w:val="00F02815"/>
    <w:rsid w:val="00F02E10"/>
    <w:rsid w:val="00F03E6C"/>
    <w:rsid w:val="00F041B2"/>
    <w:rsid w:val="00F0505F"/>
    <w:rsid w:val="00F05EAF"/>
    <w:rsid w:val="00F06BFC"/>
    <w:rsid w:val="00F06D7C"/>
    <w:rsid w:val="00F1031E"/>
    <w:rsid w:val="00F1049D"/>
    <w:rsid w:val="00F10D02"/>
    <w:rsid w:val="00F117FD"/>
    <w:rsid w:val="00F119F0"/>
    <w:rsid w:val="00F126EB"/>
    <w:rsid w:val="00F147FD"/>
    <w:rsid w:val="00F15FC1"/>
    <w:rsid w:val="00F166CE"/>
    <w:rsid w:val="00F17762"/>
    <w:rsid w:val="00F23C5A"/>
    <w:rsid w:val="00F23E91"/>
    <w:rsid w:val="00F261BC"/>
    <w:rsid w:val="00F277D4"/>
    <w:rsid w:val="00F30A70"/>
    <w:rsid w:val="00F31104"/>
    <w:rsid w:val="00F31C4F"/>
    <w:rsid w:val="00F33E65"/>
    <w:rsid w:val="00F34E93"/>
    <w:rsid w:val="00F4187A"/>
    <w:rsid w:val="00F42970"/>
    <w:rsid w:val="00F43F5A"/>
    <w:rsid w:val="00F44511"/>
    <w:rsid w:val="00F4474B"/>
    <w:rsid w:val="00F47031"/>
    <w:rsid w:val="00F5097D"/>
    <w:rsid w:val="00F513E5"/>
    <w:rsid w:val="00F514FC"/>
    <w:rsid w:val="00F5219B"/>
    <w:rsid w:val="00F527A6"/>
    <w:rsid w:val="00F52C1F"/>
    <w:rsid w:val="00F53138"/>
    <w:rsid w:val="00F534C0"/>
    <w:rsid w:val="00F54930"/>
    <w:rsid w:val="00F550A4"/>
    <w:rsid w:val="00F5523B"/>
    <w:rsid w:val="00F57F4D"/>
    <w:rsid w:val="00F6217B"/>
    <w:rsid w:val="00F623B6"/>
    <w:rsid w:val="00F6280F"/>
    <w:rsid w:val="00F62819"/>
    <w:rsid w:val="00F6394B"/>
    <w:rsid w:val="00F6653B"/>
    <w:rsid w:val="00F665E1"/>
    <w:rsid w:val="00F708D9"/>
    <w:rsid w:val="00F720FB"/>
    <w:rsid w:val="00F721C2"/>
    <w:rsid w:val="00F7648B"/>
    <w:rsid w:val="00F76CD0"/>
    <w:rsid w:val="00F8055F"/>
    <w:rsid w:val="00F80602"/>
    <w:rsid w:val="00F80C39"/>
    <w:rsid w:val="00F81376"/>
    <w:rsid w:val="00F81491"/>
    <w:rsid w:val="00F814DF"/>
    <w:rsid w:val="00F81E48"/>
    <w:rsid w:val="00F84C20"/>
    <w:rsid w:val="00F87614"/>
    <w:rsid w:val="00F92112"/>
    <w:rsid w:val="00F9230A"/>
    <w:rsid w:val="00F92366"/>
    <w:rsid w:val="00F92753"/>
    <w:rsid w:val="00F93838"/>
    <w:rsid w:val="00F93BF6"/>
    <w:rsid w:val="00F93D9D"/>
    <w:rsid w:val="00F9598E"/>
    <w:rsid w:val="00F9633A"/>
    <w:rsid w:val="00F96B32"/>
    <w:rsid w:val="00F9727C"/>
    <w:rsid w:val="00F9735A"/>
    <w:rsid w:val="00FA1C28"/>
    <w:rsid w:val="00FA2174"/>
    <w:rsid w:val="00FA2581"/>
    <w:rsid w:val="00FA42F4"/>
    <w:rsid w:val="00FA6502"/>
    <w:rsid w:val="00FA7B72"/>
    <w:rsid w:val="00FB037C"/>
    <w:rsid w:val="00FB0730"/>
    <w:rsid w:val="00FB0BC1"/>
    <w:rsid w:val="00FB14A0"/>
    <w:rsid w:val="00FB1BD4"/>
    <w:rsid w:val="00FB28FF"/>
    <w:rsid w:val="00FB34A3"/>
    <w:rsid w:val="00FB3ACE"/>
    <w:rsid w:val="00FB4E4A"/>
    <w:rsid w:val="00FB6582"/>
    <w:rsid w:val="00FB6D3A"/>
    <w:rsid w:val="00FB760E"/>
    <w:rsid w:val="00FB7924"/>
    <w:rsid w:val="00FB7DF4"/>
    <w:rsid w:val="00FB7F35"/>
    <w:rsid w:val="00FC11B1"/>
    <w:rsid w:val="00FC11D6"/>
    <w:rsid w:val="00FC12E0"/>
    <w:rsid w:val="00FC3464"/>
    <w:rsid w:val="00FC3488"/>
    <w:rsid w:val="00FC48DD"/>
    <w:rsid w:val="00FC569E"/>
    <w:rsid w:val="00FC67E5"/>
    <w:rsid w:val="00FC6BFF"/>
    <w:rsid w:val="00FC7B5F"/>
    <w:rsid w:val="00FD0292"/>
    <w:rsid w:val="00FD04EB"/>
    <w:rsid w:val="00FD0CA3"/>
    <w:rsid w:val="00FD0F06"/>
    <w:rsid w:val="00FD1036"/>
    <w:rsid w:val="00FD1062"/>
    <w:rsid w:val="00FD131D"/>
    <w:rsid w:val="00FD3049"/>
    <w:rsid w:val="00FD5177"/>
    <w:rsid w:val="00FD5398"/>
    <w:rsid w:val="00FE35E1"/>
    <w:rsid w:val="00FE3AFC"/>
    <w:rsid w:val="00FE3DF9"/>
    <w:rsid w:val="00FE6876"/>
    <w:rsid w:val="00FE6D86"/>
    <w:rsid w:val="00FE6E4A"/>
    <w:rsid w:val="00FE7FB0"/>
    <w:rsid w:val="00FF0DA7"/>
    <w:rsid w:val="00FF3276"/>
    <w:rsid w:val="00FF4397"/>
    <w:rsid w:val="00FF5B26"/>
    <w:rsid w:val="00FF69CB"/>
    <w:rsid w:val="00FF7DE7"/>
    <w:rsid w:val="01AA28B2"/>
    <w:rsid w:val="15BA2D43"/>
    <w:rsid w:val="20F5C623"/>
    <w:rsid w:val="2231C121"/>
    <w:rsid w:val="288415BC"/>
    <w:rsid w:val="292414C1"/>
    <w:rsid w:val="298976B6"/>
    <w:rsid w:val="49392052"/>
    <w:rsid w:val="53442DD5"/>
    <w:rsid w:val="59376789"/>
    <w:rsid w:val="59C59C0E"/>
    <w:rsid w:val="5E1F933A"/>
    <w:rsid w:val="5F365FB9"/>
    <w:rsid w:val="73975D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6021A7A"/>
  <w15:docId w15:val="{E4B58687-C4E0-4E78-9648-B6CB4ABA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aliases w:val="9,A,ADB,ALTS FOOTNOTE,FOOTNOTES,Footnote Text Char Char,Footnote Text Char1 Char,Footnote Text Char1 Char Char,Footnote Text Char2 Char,Footnote Text Char2 Char Char Char,Footnote Text Char3,Footnote ak,Geneva 9,f,fn,footn,footnote text,ft"/>
    <w:basedOn w:val="Normal"/>
    <w:link w:val="FootnoteTextChar"/>
    <w:uiPriority w:val="99"/>
    <w:qFormat/>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16 Point,BVI fnr,Char Char Char Char Car Char,Footnote,Footnote Reference Number,Footnote Reference_LVL6,Footnote Reference_LVL61,Footnote Reference_LVL62,R,Ref,Ref. de nota al pie.,Style 6,Superscript 6 Point,de nota al pie,fr,ftref"/>
    <w:link w:val="FNRefeCharChar"/>
    <w:uiPriority w:val="99"/>
    <w:qFormat/>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uiPriority w:val="99"/>
    <w:rsid w:val="0079421C"/>
    <w:rPr>
      <w:rFonts w:cs="Times New Roman"/>
      <w:color w:val="336699"/>
      <w:u w:val="none"/>
      <w:effect w:val="none"/>
    </w:rPr>
  </w:style>
  <w:style w:type="paragraph" w:styleId="ListParagraph">
    <w:name w:val="List Paragraph"/>
    <w:aliases w:val="List Paragraph (numbered (a)),List Paragraph1,WB Para,Lapis Bulleted List,Dot pt,F5 List Paragraph,No Spacing1,List Paragraph Char Char Char,Indicator Text,Numbered Para 1,Bullet 1,List Paragraph12,Bullet Points,MAIN CONTENT,List 100s,L,3"/>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uiPriority w:val="99"/>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uiPriority w:val="99"/>
    <w:rsid w:val="008543F5"/>
  </w:style>
  <w:style w:type="character" w:customStyle="1" w:styleId="CommentTextChar">
    <w:name w:val="Comment Text Char"/>
    <w:basedOn w:val="DefaultParagraphFont"/>
    <w:link w:val="CommentText"/>
    <w:uiPriority w:val="99"/>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9 Char,A Char,ADB Char,ALTS FOOTNOTE Char,FOOTNOTES Char,Footnote Text Char Char Char,Footnote Text Char1 Char Char1,Footnote Text Char1 Char Char Char,Footnote Text Char2 Char Char,Footnote Text Char2 Char Char Char Char,f Char"/>
    <w:basedOn w:val="DefaultParagraphFont"/>
    <w:link w:val="FootnoteText"/>
    <w:uiPriority w:val="99"/>
    <w:qFormat/>
    <w:rsid w:val="00D6679C"/>
    <w:rPr>
      <w:rFonts w:ascii="Courier" w:hAnsi="Courier"/>
      <w:lang w:val="en-US" w:eastAsia="en-US"/>
    </w:rPr>
  </w:style>
  <w:style w:type="character" w:customStyle="1" w:styleId="ListParagraphChar">
    <w:name w:val="List Paragraph Char"/>
    <w:aliases w:val="List Paragraph (numbered (a)) Char,List Paragraph1 Char,WB Para Char,Lapis Bulleted List Char,Dot pt Char,F5 List Paragraph Char,No Spacing1 Char,List Paragraph Char Char Char Char,Indicator Text Char,Numbered Para 1 Char,L Char"/>
    <w:link w:val="ListParagraph"/>
    <w:uiPriority w:val="34"/>
    <w:qFormat/>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character" w:customStyle="1" w:styleId="UnresolvedMention1">
    <w:name w:val="Unresolved Mention1"/>
    <w:basedOn w:val="DefaultParagraphFont"/>
    <w:uiPriority w:val="99"/>
    <w:semiHidden/>
    <w:unhideWhenUsed/>
    <w:rsid w:val="00523B73"/>
    <w:rPr>
      <w:color w:val="605E5C"/>
      <w:shd w:val="clear" w:color="auto" w:fill="E1DFDD"/>
    </w:rPr>
  </w:style>
  <w:style w:type="paragraph" w:customStyle="1" w:styleId="Default">
    <w:name w:val="Default"/>
    <w:rsid w:val="007A2FC1"/>
    <w:pPr>
      <w:autoSpaceDE w:val="0"/>
      <w:autoSpaceDN w:val="0"/>
      <w:adjustRightInd w:val="0"/>
    </w:pPr>
    <w:rPr>
      <w:rFonts w:ascii="Roboto" w:hAnsi="Roboto" w:cs="Roboto"/>
      <w:color w:val="000000"/>
      <w:sz w:val="24"/>
      <w:szCs w:val="24"/>
      <w:lang w:val="en-US"/>
    </w:rPr>
  </w:style>
  <w:style w:type="paragraph" w:styleId="NormalWeb">
    <w:name w:val="Normal (Web)"/>
    <w:basedOn w:val="Normal"/>
    <w:uiPriority w:val="99"/>
    <w:unhideWhenUsed/>
    <w:rsid w:val="008C6A83"/>
    <w:pPr>
      <w:spacing w:before="100" w:beforeAutospacing="1" w:after="100" w:afterAutospacing="1"/>
    </w:pPr>
    <w:rPr>
      <w:sz w:val="24"/>
      <w:szCs w:val="24"/>
    </w:rPr>
  </w:style>
  <w:style w:type="character" w:customStyle="1" w:styleId="normaltextrun">
    <w:name w:val="normaltextrun"/>
    <w:basedOn w:val="DefaultParagraphFont"/>
    <w:rsid w:val="008C6A83"/>
  </w:style>
  <w:style w:type="paragraph" w:customStyle="1" w:styleId="FNRefeCharChar">
    <w:name w:val="FNRefe Char Char"/>
    <w:aliases w:val="4_G,BVI fnr Car Car Car Car Char Char Char Char Char,BVI fnr Car Car Char Char Char,BVI fnr Car Char Char Char,BVI fnr Char Char,BVI fnr Char Char Char"/>
    <w:basedOn w:val="Normal"/>
    <w:link w:val="FootnoteReference"/>
    <w:uiPriority w:val="99"/>
    <w:rsid w:val="00C35CCF"/>
    <w:pPr>
      <w:spacing w:after="160" w:line="240" w:lineRule="exact"/>
    </w:pPr>
    <w:rPr>
      <w:vertAlign w:val="superscript"/>
      <w:lang w:val="en-GB" w:eastAsia="en-GB"/>
    </w:rPr>
  </w:style>
  <w:style w:type="table" w:styleId="TableGrid">
    <w:name w:val="Table Grid"/>
    <w:basedOn w:val="TableNormal"/>
    <w:uiPriority w:val="59"/>
    <w:rsid w:val="00324FC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382857"/>
    <w:rPr>
      <w:color w:val="605E5C"/>
      <w:shd w:val="clear" w:color="auto" w:fill="E1DFDD"/>
    </w:rPr>
  </w:style>
  <w:style w:type="character" w:customStyle="1" w:styleId="UnresolvedMention3">
    <w:name w:val="Unresolved Mention3"/>
    <w:basedOn w:val="DefaultParagraphFont"/>
    <w:uiPriority w:val="99"/>
    <w:semiHidden/>
    <w:unhideWhenUsed/>
    <w:rsid w:val="00EC25DF"/>
    <w:rPr>
      <w:color w:val="605E5C"/>
      <w:shd w:val="clear" w:color="auto" w:fill="E1DFDD"/>
    </w:rPr>
  </w:style>
  <w:style w:type="character" w:styleId="UnresolvedMention">
    <w:name w:val="Unresolved Mention"/>
    <w:basedOn w:val="DefaultParagraphFont"/>
    <w:uiPriority w:val="99"/>
    <w:semiHidden/>
    <w:unhideWhenUsed/>
    <w:rsid w:val="00FC1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63533437">
      <w:bodyDiv w:val="1"/>
      <w:marLeft w:val="0"/>
      <w:marRight w:val="0"/>
      <w:marTop w:val="0"/>
      <w:marBottom w:val="0"/>
      <w:divBdr>
        <w:top w:val="none" w:sz="0" w:space="0" w:color="auto"/>
        <w:left w:val="none" w:sz="0" w:space="0" w:color="auto"/>
        <w:bottom w:val="none" w:sz="0" w:space="0" w:color="auto"/>
        <w:right w:val="none" w:sz="0" w:space="0" w:color="auto"/>
      </w:divBdr>
    </w:div>
    <w:div w:id="163277847">
      <w:bodyDiv w:val="1"/>
      <w:marLeft w:val="0"/>
      <w:marRight w:val="0"/>
      <w:marTop w:val="0"/>
      <w:marBottom w:val="0"/>
      <w:divBdr>
        <w:top w:val="none" w:sz="0" w:space="0" w:color="auto"/>
        <w:left w:val="none" w:sz="0" w:space="0" w:color="auto"/>
        <w:bottom w:val="none" w:sz="0" w:space="0" w:color="auto"/>
        <w:right w:val="none" w:sz="0" w:space="0" w:color="auto"/>
      </w:divBdr>
    </w:div>
    <w:div w:id="183642474">
      <w:bodyDiv w:val="1"/>
      <w:marLeft w:val="0"/>
      <w:marRight w:val="0"/>
      <w:marTop w:val="0"/>
      <w:marBottom w:val="0"/>
      <w:divBdr>
        <w:top w:val="none" w:sz="0" w:space="0" w:color="auto"/>
        <w:left w:val="none" w:sz="0" w:space="0" w:color="auto"/>
        <w:bottom w:val="none" w:sz="0" w:space="0" w:color="auto"/>
        <w:right w:val="none" w:sz="0" w:space="0" w:color="auto"/>
      </w:divBdr>
    </w:div>
    <w:div w:id="211230414">
      <w:bodyDiv w:val="1"/>
      <w:marLeft w:val="0"/>
      <w:marRight w:val="0"/>
      <w:marTop w:val="0"/>
      <w:marBottom w:val="0"/>
      <w:divBdr>
        <w:top w:val="none" w:sz="0" w:space="0" w:color="auto"/>
        <w:left w:val="none" w:sz="0" w:space="0" w:color="auto"/>
        <w:bottom w:val="none" w:sz="0" w:space="0" w:color="auto"/>
        <w:right w:val="none" w:sz="0" w:space="0" w:color="auto"/>
      </w:divBdr>
    </w:div>
    <w:div w:id="270825794">
      <w:bodyDiv w:val="1"/>
      <w:marLeft w:val="0"/>
      <w:marRight w:val="0"/>
      <w:marTop w:val="0"/>
      <w:marBottom w:val="0"/>
      <w:divBdr>
        <w:top w:val="none" w:sz="0" w:space="0" w:color="auto"/>
        <w:left w:val="none" w:sz="0" w:space="0" w:color="auto"/>
        <w:bottom w:val="none" w:sz="0" w:space="0" w:color="auto"/>
        <w:right w:val="none" w:sz="0" w:space="0" w:color="auto"/>
      </w:divBdr>
    </w:div>
    <w:div w:id="305477558">
      <w:bodyDiv w:val="1"/>
      <w:marLeft w:val="0"/>
      <w:marRight w:val="0"/>
      <w:marTop w:val="0"/>
      <w:marBottom w:val="0"/>
      <w:divBdr>
        <w:top w:val="none" w:sz="0" w:space="0" w:color="auto"/>
        <w:left w:val="none" w:sz="0" w:space="0" w:color="auto"/>
        <w:bottom w:val="none" w:sz="0" w:space="0" w:color="auto"/>
        <w:right w:val="none" w:sz="0" w:space="0" w:color="auto"/>
      </w:divBdr>
    </w:div>
    <w:div w:id="345445171">
      <w:bodyDiv w:val="1"/>
      <w:marLeft w:val="0"/>
      <w:marRight w:val="0"/>
      <w:marTop w:val="0"/>
      <w:marBottom w:val="0"/>
      <w:divBdr>
        <w:top w:val="none" w:sz="0" w:space="0" w:color="auto"/>
        <w:left w:val="none" w:sz="0" w:space="0" w:color="auto"/>
        <w:bottom w:val="none" w:sz="0" w:space="0" w:color="auto"/>
        <w:right w:val="none" w:sz="0" w:space="0" w:color="auto"/>
      </w:divBdr>
    </w:div>
    <w:div w:id="666833984">
      <w:bodyDiv w:val="1"/>
      <w:marLeft w:val="0"/>
      <w:marRight w:val="0"/>
      <w:marTop w:val="0"/>
      <w:marBottom w:val="0"/>
      <w:divBdr>
        <w:top w:val="none" w:sz="0" w:space="0" w:color="auto"/>
        <w:left w:val="none" w:sz="0" w:space="0" w:color="auto"/>
        <w:bottom w:val="none" w:sz="0" w:space="0" w:color="auto"/>
        <w:right w:val="none" w:sz="0" w:space="0" w:color="auto"/>
      </w:divBdr>
    </w:div>
    <w:div w:id="688605221">
      <w:bodyDiv w:val="1"/>
      <w:marLeft w:val="0"/>
      <w:marRight w:val="0"/>
      <w:marTop w:val="0"/>
      <w:marBottom w:val="0"/>
      <w:divBdr>
        <w:top w:val="none" w:sz="0" w:space="0" w:color="auto"/>
        <w:left w:val="none" w:sz="0" w:space="0" w:color="auto"/>
        <w:bottom w:val="none" w:sz="0" w:space="0" w:color="auto"/>
        <w:right w:val="none" w:sz="0" w:space="0" w:color="auto"/>
      </w:divBdr>
    </w:div>
    <w:div w:id="870067868">
      <w:bodyDiv w:val="1"/>
      <w:marLeft w:val="0"/>
      <w:marRight w:val="0"/>
      <w:marTop w:val="0"/>
      <w:marBottom w:val="0"/>
      <w:divBdr>
        <w:top w:val="none" w:sz="0" w:space="0" w:color="auto"/>
        <w:left w:val="none" w:sz="0" w:space="0" w:color="auto"/>
        <w:bottom w:val="none" w:sz="0" w:space="0" w:color="auto"/>
        <w:right w:val="none" w:sz="0" w:space="0" w:color="auto"/>
      </w:divBdr>
    </w:div>
    <w:div w:id="1032145007">
      <w:bodyDiv w:val="1"/>
      <w:marLeft w:val="0"/>
      <w:marRight w:val="0"/>
      <w:marTop w:val="0"/>
      <w:marBottom w:val="0"/>
      <w:divBdr>
        <w:top w:val="none" w:sz="0" w:space="0" w:color="auto"/>
        <w:left w:val="none" w:sz="0" w:space="0" w:color="auto"/>
        <w:bottom w:val="none" w:sz="0" w:space="0" w:color="auto"/>
        <w:right w:val="none" w:sz="0" w:space="0" w:color="auto"/>
      </w:divBdr>
    </w:div>
    <w:div w:id="1171532463">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361274247">
      <w:bodyDiv w:val="1"/>
      <w:marLeft w:val="0"/>
      <w:marRight w:val="0"/>
      <w:marTop w:val="0"/>
      <w:marBottom w:val="0"/>
      <w:divBdr>
        <w:top w:val="none" w:sz="0" w:space="0" w:color="auto"/>
        <w:left w:val="none" w:sz="0" w:space="0" w:color="auto"/>
        <w:bottom w:val="none" w:sz="0" w:space="0" w:color="auto"/>
        <w:right w:val="none" w:sz="0" w:space="0" w:color="auto"/>
      </w:divBdr>
    </w:div>
    <w:div w:id="1405832698">
      <w:bodyDiv w:val="1"/>
      <w:marLeft w:val="0"/>
      <w:marRight w:val="0"/>
      <w:marTop w:val="0"/>
      <w:marBottom w:val="0"/>
      <w:divBdr>
        <w:top w:val="none" w:sz="0" w:space="0" w:color="auto"/>
        <w:left w:val="none" w:sz="0" w:space="0" w:color="auto"/>
        <w:bottom w:val="none" w:sz="0" w:space="0" w:color="auto"/>
        <w:right w:val="none" w:sz="0" w:space="0" w:color="auto"/>
      </w:divBdr>
    </w:div>
    <w:div w:id="1455320500">
      <w:bodyDiv w:val="1"/>
      <w:marLeft w:val="0"/>
      <w:marRight w:val="0"/>
      <w:marTop w:val="0"/>
      <w:marBottom w:val="0"/>
      <w:divBdr>
        <w:top w:val="none" w:sz="0" w:space="0" w:color="auto"/>
        <w:left w:val="none" w:sz="0" w:space="0" w:color="auto"/>
        <w:bottom w:val="none" w:sz="0" w:space="0" w:color="auto"/>
        <w:right w:val="none" w:sz="0" w:space="0" w:color="auto"/>
      </w:divBdr>
    </w:div>
    <w:div w:id="200770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popp.undp.org/SitePages/POPPSubject.aspx?SBJID=7&amp;Menu=BusinessUnit" TargetMode="External"/><Relationship Id="rId26" Type="http://schemas.openxmlformats.org/officeDocument/2006/relationships/hyperlink" Target="https://giwps.georgetown.edu/the-index/chapters/"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popp.undp.org/" TargetMode="External"/><Relationship Id="rId25" Type="http://schemas.openxmlformats.org/officeDocument/2006/relationships/hyperlink" Target="http://visionofhumanity.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nfo.worldbank.org/governance/wgi/Home/Report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datacatalog.worldbank.org"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s://eur03.safelinks.protection.outlook.com/?url=https%3A%2F%2Fgeorgia.unwomen.org%2Fen%2Fdigital-library%2Fpublications%2F2020%2F05%2Fthe-country-gender-equality-profile&amp;data=04%7C01%7Clouisa.vinton%40undp.org%7C51ac98e103be492cf0e608d8772e690f%7Cb3e5db5e2944483799f57488ace54319%7C0%7C0%7C637390388805303827%7CUnknown%7CTWFpbGZsb3d8eyJWIjoiMC4wLjAwMDAiLCJQIjoiV2luMzIiLCJBTiI6Ik1haWwiLCJXVCI6Mn0%3D%7C1000&amp;sdata=15Zj2W6pq6JIx2cebmRxpZje3bWegjfP%2BPb5FORD%2BrM%3D&amp;reserved=0" TargetMode="External"/><Relationship Id="rId2" Type="http://schemas.openxmlformats.org/officeDocument/2006/relationships/hyperlink" Target="https://eur03.safelinks.protection.outlook.com/?url=https%3A%2F%2Fsustainabledevelopment.un.org%2Fcontent%2Fdocuments%2F26389VNR_2020_Georgia_Report.pdf&amp;data=04%7C01%7Clouisa.vinton%40undp.org%7Ceb5eccdbd4244ede1e4e08d884ad5519%7Cb3e5db5e2944483799f57488ace54319%7C0%7C0%7C637405227588124675%7CUnknown%7CTWFpbGZsb3d8eyJWIjoiMC4wLjAwMDAiLCJQIjoiV2luMzIiLCJBTiI6Ik1haWwiLCJXVCI6Mn0%3D%7C1000&amp;sdata=BvxjXW2pjuWGJkEfAt770SDbUW7p8aZiY%2BaTGXvJQQg%3D&amp;reserved=0" TargetMode="External"/><Relationship Id="rId1" Type="http://schemas.openxmlformats.org/officeDocument/2006/relationships/hyperlink" Target="https://sustainabledevelopment.un.org/content/documents/26390VNR_2020_Georgia_Report.pdf" TargetMode="External"/><Relationship Id="rId5" Type="http://schemas.openxmlformats.org/officeDocument/2006/relationships/hyperlink" Target="https://www.ge.undp.org/content/georgia/en/home/library/MAPS.html" TargetMode="External"/><Relationship Id="rId4" Type="http://schemas.openxmlformats.org/officeDocument/2006/relationships/hyperlink" Target="https://eur03.safelinks.protection.outlook.com/?url=https%3A%2F%2Ferc.undp.org%2Fevaluation%2Fevaluations%2Fdetail%2F12665&amp;data=04%7C01%7Ckhatuna.chanukvadze%40undp.org%7C93bcd7a228e0427a5e6408d8759155cb%7Cb3e5db5e2944483799f57488ace54319%7C0%7C0%7C637388614353342153%7CUnknown%7CTWFpbGZsb3d8eyJWIjoiMC4wLjAwMDAiLCJQIjoiV2luMzIiLCJBTiI6Ik1haWwiLCJXVCI6Mn0%3D%7C1000&amp;sdata=77QaCVNxelnKIakhBt%2F4a272R1bR9Q%2FJ5x%2Bhy%2BMxKwU%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71905AED9CB45BA4149E3D72A32E2" ma:contentTypeVersion="1" ma:contentTypeDescription="Create a new document." ma:contentTypeScope="" ma:versionID="f9a99f5d4d551b70a107d01b16d9f4da">
  <xsd:schema xmlns:xsd="http://www.w3.org/2001/XMLSchema" xmlns:xs="http://www.w3.org/2001/XMLSchema" xmlns:p="http://schemas.microsoft.com/office/2006/metadata/properties" xmlns:ns2="2d5f716b-b52a-4ee0-a811-6b2cc631bd0b" xmlns:ns3="05e84800-ff9a-43bb-bb7e-6161dfe90000" targetNamespace="http://schemas.microsoft.com/office/2006/metadata/properties" ma:root="true" ma:fieldsID="ec99c671dc2aa336c1ae248f85e86fd8" ns2:_="" ns3:_="">
    <xsd:import namespace="2d5f716b-b52a-4ee0-a811-6b2cc631bd0b"/>
    <xsd:import namespace="05e84800-ff9a-43bb-bb7e-6161dfe90000"/>
    <xsd:element name="properties">
      <xsd:complexType>
        <xsd:sequence>
          <xsd:element name="documentManagement">
            <xsd:complexType>
              <xsd:all>
                <xsd:element ref="ns2:Yea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f716b-b52a-4ee0-a811-6b2cc631bd0b" elementFormDefault="qualified">
    <xsd:import namespace="http://schemas.microsoft.com/office/2006/documentManagement/types"/>
    <xsd:import namespace="http://schemas.microsoft.com/office/infopath/2007/PartnerControls"/>
    <xsd:element name="Years" ma:index="8" nillable="true" ma:displayName="Years" ma:internalName="Yea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Country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Years xmlns="2d5f716b-b52a-4ee0-a811-6b2cc631bd0b" xsi:nil="true"/>
    <_dlc_DocId xmlns="05e84800-ff9a-43bb-bb7e-6161dfe90000">KKKATZMDSDUY-96-797</_dlc_DocId>
    <_dlc_DocIdUrl xmlns="05e84800-ff9a-43bb-bb7e-6161dfe90000">
      <Url>https://intranet.undp.org/unit/bpps/DI/CPDs/_layouts/15/DocIdRedir.aspx?ID=KKKATZMDSDUY-96-797</Url>
      <Description>KKKATZMDSDUY-96-797</Description>
    </_dlc_DocIdUrl>
  </documentManagement>
</p:properties>
</file>

<file path=customXml/itemProps1.xml><?xml version="1.0" encoding="utf-8"?>
<ds:datastoreItem xmlns:ds="http://schemas.openxmlformats.org/officeDocument/2006/customXml" ds:itemID="{1CF11995-B229-457B-8644-645DE65D3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f716b-b52a-4ee0-a811-6b2cc631bd0b"/>
    <ds:schemaRef ds:uri="05e84800-ff9a-43bb-bb7e-6161dfe9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3.xml><?xml version="1.0" encoding="utf-8"?>
<ds:datastoreItem xmlns:ds="http://schemas.openxmlformats.org/officeDocument/2006/customXml" ds:itemID="{190A69EB-EE4A-4ADA-AF5A-404E080BEA00}">
  <ds:schemaRefs>
    <ds:schemaRef ds:uri="http://schemas.microsoft.com/sharepoint/events"/>
  </ds:schemaRefs>
</ds:datastoreItem>
</file>

<file path=customXml/itemProps4.xml><?xml version="1.0" encoding="utf-8"?>
<ds:datastoreItem xmlns:ds="http://schemas.openxmlformats.org/officeDocument/2006/customXml" ds:itemID="{F87D1636-4686-4607-A1AD-0E973BFB3800}">
  <ds:schemaRefs>
    <ds:schemaRef ds:uri="http://schemas.openxmlformats.org/officeDocument/2006/bibliography"/>
  </ds:schemaRefs>
</ds:datastoreItem>
</file>

<file path=customXml/itemProps5.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2d5f716b-b52a-4ee0-a811-6b2cc631bd0b"/>
    <ds:schemaRef ds:uri="05e84800-ff9a-43bb-bb7e-6161dfe9000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6370</Words>
  <Characters>36310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42595</CharactersWithSpaces>
  <SharedDoc>false</SharedDoc>
  <HLinks>
    <vt:vector size="54" baseType="variant">
      <vt:variant>
        <vt:i4>655429</vt:i4>
      </vt:variant>
      <vt:variant>
        <vt:i4>18</vt:i4>
      </vt:variant>
      <vt:variant>
        <vt:i4>0</vt:i4>
      </vt:variant>
      <vt:variant>
        <vt:i4>5</vt:i4>
      </vt:variant>
      <vt:variant>
        <vt:lpwstr>https://giwps.georgetown.edu/the-index/chapters/</vt:lpwstr>
      </vt:variant>
      <vt:variant>
        <vt:lpwstr/>
      </vt:variant>
      <vt:variant>
        <vt:i4>1245198</vt:i4>
      </vt:variant>
      <vt:variant>
        <vt:i4>15</vt:i4>
      </vt:variant>
      <vt:variant>
        <vt:i4>0</vt:i4>
      </vt:variant>
      <vt:variant>
        <vt:i4>5</vt:i4>
      </vt:variant>
      <vt:variant>
        <vt:lpwstr>http://visionofhumanity.org/reports/</vt:lpwstr>
      </vt:variant>
      <vt:variant>
        <vt:lpwstr/>
      </vt:variant>
      <vt:variant>
        <vt:i4>6291567</vt:i4>
      </vt:variant>
      <vt:variant>
        <vt:i4>12</vt:i4>
      </vt:variant>
      <vt:variant>
        <vt:i4>0</vt:i4>
      </vt:variant>
      <vt:variant>
        <vt:i4>5</vt:i4>
      </vt:variant>
      <vt:variant>
        <vt:lpwstr>http://visionofhumanity.org/indexes/global-peace-index/</vt:lpwstr>
      </vt:variant>
      <vt:variant>
        <vt:lpwstr/>
      </vt:variant>
      <vt:variant>
        <vt:i4>8126520</vt:i4>
      </vt:variant>
      <vt:variant>
        <vt:i4>9</vt:i4>
      </vt:variant>
      <vt:variant>
        <vt:i4>0</vt:i4>
      </vt:variant>
      <vt:variant>
        <vt:i4>5</vt:i4>
      </vt:variant>
      <vt:variant>
        <vt:lpwstr>https://info.worldbank.org/governance/wgi/Home/Reports</vt:lpwstr>
      </vt:variant>
      <vt:variant>
        <vt:lpwstr/>
      </vt:variant>
      <vt:variant>
        <vt:i4>6881317</vt:i4>
      </vt:variant>
      <vt:variant>
        <vt:i4>6</vt:i4>
      </vt:variant>
      <vt:variant>
        <vt:i4>0</vt:i4>
      </vt:variant>
      <vt:variant>
        <vt:i4>5</vt:i4>
      </vt:variant>
      <vt:variant>
        <vt:lpwstr>https://popp.undp.org/SitePages/POPPSubject.aspx?SBJID=7&amp;Menu=BusinessUnit</vt:lpwstr>
      </vt:variant>
      <vt:variant>
        <vt:lpwstr/>
      </vt:variant>
      <vt:variant>
        <vt:i4>7078008</vt:i4>
      </vt:variant>
      <vt:variant>
        <vt:i4>3</vt:i4>
      </vt:variant>
      <vt:variant>
        <vt:i4>0</vt:i4>
      </vt:variant>
      <vt:variant>
        <vt:i4>5</vt:i4>
      </vt:variant>
      <vt:variant>
        <vt:lpwstr>https://popp.undp.org/</vt:lpwstr>
      </vt:variant>
      <vt:variant>
        <vt:lpwstr/>
      </vt:variant>
      <vt:variant>
        <vt:i4>4456564</vt:i4>
      </vt:variant>
      <vt:variant>
        <vt:i4>0</vt:i4>
      </vt:variant>
      <vt:variant>
        <vt:i4>0</vt:i4>
      </vt:variant>
      <vt:variant>
        <vt:i4>5</vt:i4>
      </vt:variant>
      <vt:variant>
        <vt:lpwstr>https://info.undp.org/sites/bpps/SES_Toolkit/default.aspx</vt:lpwstr>
      </vt:variant>
      <vt:variant>
        <vt:lpwstr/>
      </vt:variant>
      <vt:variant>
        <vt:i4>5701696</vt:i4>
      </vt:variant>
      <vt:variant>
        <vt:i4>3</vt:i4>
      </vt:variant>
      <vt:variant>
        <vt:i4>0</vt:i4>
      </vt:variant>
      <vt:variant>
        <vt:i4>5</vt:i4>
      </vt:variant>
      <vt:variant>
        <vt:lpwstr>https://drmkc.jrc.ec.europa.eu/inform-index)</vt:lpwstr>
      </vt:variant>
      <vt:variant>
        <vt:lpwstr/>
      </vt:variant>
      <vt:variant>
        <vt:i4>7471226</vt:i4>
      </vt:variant>
      <vt:variant>
        <vt:i4>0</vt:i4>
      </vt:variant>
      <vt:variant>
        <vt:i4>0</vt:i4>
      </vt:variant>
      <vt:variant>
        <vt:i4>5</vt:i4>
      </vt:variant>
      <vt:variant>
        <vt:lpwstr>https://noharm-uscanada.org/climatefootprintreport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subject/>
  <dc:creator>John Magoha</dc:creator>
  <cp:keywords/>
  <cp:lastModifiedBy>Svetlana Iazykova</cp:lastModifiedBy>
  <cp:revision>3</cp:revision>
  <cp:lastPrinted>2014-09-17T05:01:00Z</cp:lastPrinted>
  <dcterms:created xsi:type="dcterms:W3CDTF">2020-11-09T21:30:00Z</dcterms:created>
  <dcterms:modified xsi:type="dcterms:W3CDTF">2020-11-09T22:22:00Z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0x0101006B071905AED9CB45BA4149E3D72A32E2</vt:lpwstr>
  </property>
  <property fmtid="{D5CDD505-2E9C-101B-9397-08002B2CF9AE}" pid="3" name="_dlc_DocIdItemGuid">
    <vt:lpwstr>188b7312-0ce9-4416-851e-34c7018de2d1</vt:lpwstr>
  </property>
  <property fmtid="{D5CDD505-2E9C-101B-9397-08002B2CF9AE}" pid="4" name="Order">
    <vt:r8>25300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